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10D" w:rsidRPr="00F059C7" w:rsidRDefault="0098410D" w:rsidP="00CD33DA">
      <w:pPr>
        <w:jc w:val="center"/>
      </w:pPr>
    </w:p>
    <w:p w:rsidR="004D60E2" w:rsidRPr="00F059C7" w:rsidRDefault="004D60E2" w:rsidP="00CD33DA">
      <w:pPr>
        <w:pStyle w:val="DecHTitle"/>
        <w:rPr>
          <w:b/>
        </w:rPr>
      </w:pPr>
      <w:r w:rsidRPr="00F059C7">
        <w:rPr>
          <w:b/>
        </w:rPr>
        <w:t>CURTEA EUROPEANĂ A DREPTURILO</w:t>
      </w:r>
      <w:bookmarkStart w:id="0" w:name="_GoBack"/>
      <w:bookmarkEnd w:id="0"/>
      <w:r w:rsidRPr="00F059C7">
        <w:rPr>
          <w:b/>
        </w:rPr>
        <w:t>R OMULUI</w:t>
      </w:r>
    </w:p>
    <w:p w:rsidR="0098410D" w:rsidRPr="00F059C7" w:rsidRDefault="00F1201D" w:rsidP="00CD33DA">
      <w:pPr>
        <w:pStyle w:val="DecHTitle"/>
      </w:pPr>
      <w:r w:rsidRPr="00F059C7">
        <w:t>SECȚIA A PATRA</w:t>
      </w:r>
    </w:p>
    <w:p w:rsidR="008E6217" w:rsidRPr="00F059C7" w:rsidRDefault="00F1201D" w:rsidP="00CD33DA">
      <w:pPr>
        <w:pStyle w:val="JuTitle"/>
      </w:pPr>
      <w:r w:rsidRPr="00F059C7">
        <w:rPr>
          <w:color w:val="000000" w:themeColor="text1"/>
        </w:rPr>
        <w:t>CAUZA BADEA ÎMPOTRIVA</w:t>
      </w:r>
      <w:r w:rsidRPr="00F059C7">
        <w:t xml:space="preserve"> ROMÂNIEI</w:t>
      </w:r>
    </w:p>
    <w:p w:rsidR="00D74888" w:rsidRPr="00F059C7" w:rsidRDefault="00F1201D" w:rsidP="00CD33DA">
      <w:pPr>
        <w:pStyle w:val="ECHRCoverTitle4"/>
      </w:pPr>
      <w:r w:rsidRPr="00F059C7">
        <w:t>(Cererea nr. 24011/23)</w:t>
      </w:r>
    </w:p>
    <w:p w:rsidR="0098410D" w:rsidRPr="00F059C7" w:rsidRDefault="0098410D" w:rsidP="00CD33DA">
      <w:pPr>
        <w:pStyle w:val="DecHCase"/>
      </w:pPr>
    </w:p>
    <w:p w:rsidR="0054716E" w:rsidRPr="00F059C7" w:rsidRDefault="0054716E" w:rsidP="00CD33DA">
      <w:pPr>
        <w:pStyle w:val="DecHCase"/>
      </w:pPr>
    </w:p>
    <w:p w:rsidR="0054716E" w:rsidRPr="00F059C7" w:rsidRDefault="0054716E" w:rsidP="00CD33DA">
      <w:pPr>
        <w:pStyle w:val="DecHCase"/>
      </w:pPr>
    </w:p>
    <w:p w:rsidR="0098410D" w:rsidRPr="00F059C7" w:rsidRDefault="0098410D" w:rsidP="00CD33DA">
      <w:pPr>
        <w:pStyle w:val="DecHCase"/>
      </w:pPr>
    </w:p>
    <w:p w:rsidR="00AC4CD4" w:rsidRPr="00F059C7" w:rsidRDefault="00AC4CD4" w:rsidP="00CD33DA">
      <w:pPr>
        <w:pStyle w:val="DecHCase"/>
      </w:pPr>
    </w:p>
    <w:p w:rsidR="0098410D" w:rsidRPr="00F059C7" w:rsidRDefault="0098410D" w:rsidP="00CD33DA">
      <w:pPr>
        <w:pStyle w:val="DecHCase"/>
      </w:pPr>
    </w:p>
    <w:p w:rsidR="0098410D" w:rsidRPr="00F059C7" w:rsidRDefault="00F1201D" w:rsidP="00CD33DA">
      <w:pPr>
        <w:pStyle w:val="DecHCase"/>
      </w:pPr>
      <w:r w:rsidRPr="00F059C7">
        <w:t>HOTĂRÂRE</w:t>
      </w:r>
      <w:r w:rsidRPr="00F059C7">
        <w:br/>
      </w:r>
    </w:p>
    <w:p w:rsidR="0098410D" w:rsidRPr="00F059C7" w:rsidRDefault="00F1201D" w:rsidP="00CD33DA">
      <w:pPr>
        <w:pStyle w:val="DecHCase"/>
      </w:pPr>
      <w:r w:rsidRPr="00F059C7">
        <w:t>STRASBOURG</w:t>
      </w:r>
    </w:p>
    <w:p w:rsidR="0098410D" w:rsidRPr="00F059C7" w:rsidRDefault="00F1201D" w:rsidP="00CD33DA">
      <w:pPr>
        <w:pStyle w:val="DecHCase"/>
      </w:pPr>
      <w:r w:rsidRPr="00F059C7">
        <w:rPr>
          <w:rFonts w:ascii="Times New Roman" w:hAnsi="Times New Roman"/>
        </w:rPr>
        <w:t>24 martie 2026</w:t>
      </w:r>
    </w:p>
    <w:p w:rsidR="00AC4CD4" w:rsidRPr="00F059C7" w:rsidRDefault="00AC4CD4" w:rsidP="00CD33DA">
      <w:pPr>
        <w:pStyle w:val="JuPara"/>
      </w:pPr>
    </w:p>
    <w:p w:rsidR="002422B6" w:rsidRPr="00F059C7" w:rsidRDefault="00F1201D" w:rsidP="00CD33DA">
      <w:pPr>
        <w:rPr>
          <w:i/>
          <w:sz w:val="22"/>
        </w:rPr>
      </w:pPr>
      <w:r w:rsidRPr="00F059C7">
        <w:rPr>
          <w:i/>
          <w:sz w:val="22"/>
        </w:rPr>
        <w:t>Prezenta hotărâre este definitivă, dar poate suferi modificări de formă.</w:t>
      </w:r>
    </w:p>
    <w:p w:rsidR="0098410D" w:rsidRPr="00F059C7" w:rsidRDefault="0098410D" w:rsidP="00CD33DA">
      <w:pPr>
        <w:sectPr w:rsidR="0098410D" w:rsidRPr="00F059C7" w:rsidSect="00405A51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134" w:bottom="1134" w:left="1701" w:header="1247" w:footer="720" w:gutter="0"/>
          <w:pgNumType w:start="1"/>
          <w:cols w:space="720"/>
          <w:noEndnote/>
          <w:titlePg/>
          <w:docGrid w:linePitch="326"/>
        </w:sectPr>
      </w:pPr>
    </w:p>
    <w:p w:rsidR="0098410D" w:rsidRPr="00F059C7" w:rsidRDefault="00F1201D" w:rsidP="00CD33DA">
      <w:pPr>
        <w:pStyle w:val="JuCase"/>
      </w:pPr>
      <w:r w:rsidRPr="00F059C7">
        <w:lastRenderedPageBreak/>
        <w:t>În cauza Badea împotriva României,</w:t>
      </w:r>
    </w:p>
    <w:p w:rsidR="009F4C8F" w:rsidRPr="00F059C7" w:rsidRDefault="00F1201D" w:rsidP="00CD33DA">
      <w:pPr>
        <w:pStyle w:val="JuPara"/>
      </w:pPr>
      <w:r w:rsidRPr="00F059C7">
        <w:t>Curtea Europeană a Drepturilor Omului (Secția a patra), reunită într-o cameră compusă din:</w:t>
      </w:r>
    </w:p>
    <w:p w:rsidR="00A92625" w:rsidRPr="00F059C7" w:rsidRDefault="00F1201D" w:rsidP="00CD33DA">
      <w:pPr>
        <w:pStyle w:val="JuJudges"/>
      </w:pPr>
      <w:r w:rsidRPr="00F059C7">
        <w:tab/>
      </w:r>
      <w:proofErr w:type="spellStart"/>
      <w:r w:rsidRPr="00F059C7">
        <w:t>Faris</w:t>
      </w:r>
      <w:proofErr w:type="spellEnd"/>
      <w:r w:rsidRPr="00F059C7">
        <w:t xml:space="preserve"> </w:t>
      </w:r>
      <w:proofErr w:type="spellStart"/>
      <w:r w:rsidRPr="00F059C7">
        <w:t>Vehabović</w:t>
      </w:r>
      <w:proofErr w:type="spellEnd"/>
      <w:r w:rsidRPr="00F059C7">
        <w:rPr>
          <w:i/>
        </w:rPr>
        <w:t>, președinte</w:t>
      </w:r>
      <w:r w:rsidRPr="00F059C7">
        <w:t>,</w:t>
      </w:r>
      <w:r w:rsidRPr="00F059C7">
        <w:br/>
      </w:r>
      <w:r w:rsidRPr="00F059C7">
        <w:tab/>
      </w:r>
      <w:proofErr w:type="spellStart"/>
      <w:r w:rsidRPr="00F059C7">
        <w:t>Lorraine</w:t>
      </w:r>
      <w:proofErr w:type="spellEnd"/>
      <w:r w:rsidRPr="00F059C7">
        <w:t xml:space="preserve"> </w:t>
      </w:r>
      <w:proofErr w:type="spellStart"/>
      <w:r w:rsidRPr="00F059C7">
        <w:t>Schembri</w:t>
      </w:r>
      <w:proofErr w:type="spellEnd"/>
      <w:r w:rsidRPr="00F059C7">
        <w:t xml:space="preserve"> </w:t>
      </w:r>
      <w:proofErr w:type="spellStart"/>
      <w:r w:rsidRPr="00F059C7">
        <w:t>Orland</w:t>
      </w:r>
      <w:proofErr w:type="spellEnd"/>
      <w:r w:rsidRPr="00F059C7">
        <w:t>,</w:t>
      </w:r>
      <w:r w:rsidRPr="00F059C7">
        <w:br/>
      </w:r>
      <w:r w:rsidRPr="00F059C7">
        <w:tab/>
        <w:t xml:space="preserve">Sebastian </w:t>
      </w:r>
      <w:proofErr w:type="spellStart"/>
      <w:r w:rsidRPr="00F059C7">
        <w:t>Rădulețu</w:t>
      </w:r>
      <w:proofErr w:type="spellEnd"/>
      <w:r w:rsidRPr="00F059C7">
        <w:rPr>
          <w:i/>
        </w:rPr>
        <w:t>, judecători</w:t>
      </w:r>
      <w:r w:rsidRPr="00F059C7">
        <w:t>,</w:t>
      </w:r>
      <w:r w:rsidRPr="00F059C7">
        <w:br/>
        <w:t xml:space="preserve">și Valentin Nicolescu, </w:t>
      </w:r>
      <w:r w:rsidRPr="00F059C7">
        <w:rPr>
          <w:i/>
        </w:rPr>
        <w:t>grefier adjunct interimar de secție,</w:t>
      </w:r>
    </w:p>
    <w:p w:rsidR="00A33FB9" w:rsidRPr="00F059C7" w:rsidRDefault="00F1201D" w:rsidP="00CD33DA">
      <w:pPr>
        <w:pStyle w:val="JuPara"/>
      </w:pPr>
      <w:r w:rsidRPr="00F059C7">
        <w:t>având în vedere:</w:t>
      </w:r>
    </w:p>
    <w:p w:rsidR="00A33FB9" w:rsidRPr="00F059C7" w:rsidRDefault="00F1201D" w:rsidP="00CD33DA">
      <w:pPr>
        <w:pStyle w:val="JuPara"/>
      </w:pPr>
      <w:r w:rsidRPr="00F059C7">
        <w:t xml:space="preserve">cererea (nr. 24011/23) îndreptată împotriva României, prin care un resortisant al acestui stat, domnul Corneliu-Gabriel Badea („reclamantul”), născut în 1979, cu domiciliul în </w:t>
      </w:r>
      <w:proofErr w:type="spellStart"/>
      <w:r w:rsidRPr="00F059C7">
        <w:t>Maggia</w:t>
      </w:r>
      <w:proofErr w:type="spellEnd"/>
      <w:r w:rsidRPr="00F059C7">
        <w:t xml:space="preserve"> (Elveția) și care a fost reprezentat de domnul A. Grigoriu, avocat în București, a sesizat Curtea la 31 mai 2023, în temeiul art. 34 din Convenția pentru apărarea drepturilor omului și a libertăților fundamentale („Convenția”);</w:t>
      </w:r>
    </w:p>
    <w:p w:rsidR="00A33FB9" w:rsidRPr="00F059C7" w:rsidRDefault="00F1201D" w:rsidP="00CD33DA">
      <w:pPr>
        <w:pStyle w:val="JuPara"/>
      </w:pPr>
      <w:r w:rsidRPr="00F059C7">
        <w:t>decizia de a comunica această cerere Guvernului României („Guvernul”), reprezentat de agentul guvernamental, doamna O.F. Ezer, din cadrul Ministerului Afacerilor Externe;</w:t>
      </w:r>
    </w:p>
    <w:p w:rsidR="00A33FB9" w:rsidRPr="00F059C7" w:rsidRDefault="00F1201D" w:rsidP="00CD33DA">
      <w:pPr>
        <w:pStyle w:val="JuPara"/>
      </w:pPr>
      <w:r w:rsidRPr="00F059C7">
        <w:t>decizia de examinare a cererii cu prioritate (art. 41 din Regulamentul de procedură);</w:t>
      </w:r>
    </w:p>
    <w:p w:rsidR="00A33FB9" w:rsidRPr="00F059C7" w:rsidRDefault="00F1201D" w:rsidP="00CD33DA">
      <w:pPr>
        <w:pStyle w:val="JuPara"/>
      </w:pPr>
      <w:r w:rsidRPr="00F059C7">
        <w:t>observațiile părților;</w:t>
      </w:r>
    </w:p>
    <w:p w:rsidR="00A33FB9" w:rsidRPr="00F059C7" w:rsidRDefault="00F1201D" w:rsidP="00CD33DA">
      <w:pPr>
        <w:pStyle w:val="JuPara"/>
      </w:pPr>
      <w:r w:rsidRPr="00F059C7">
        <w:t>decizia de respingere a excepției ridicate de Guvern cu privire la examinarea cererii de către un comitet;</w:t>
      </w:r>
    </w:p>
    <w:p w:rsidR="009F4C8F" w:rsidRPr="00F059C7" w:rsidRDefault="00F1201D" w:rsidP="00CD33DA">
      <w:pPr>
        <w:pStyle w:val="JuPara"/>
      </w:pPr>
      <w:r w:rsidRPr="00F059C7">
        <w:t>după ce a deliberat în camera de consiliu, la 3 martie 2026,</w:t>
      </w:r>
    </w:p>
    <w:p w:rsidR="009F4C8F" w:rsidRPr="00F059C7" w:rsidRDefault="00F1201D" w:rsidP="00CD33DA">
      <w:pPr>
        <w:pStyle w:val="JuPara"/>
      </w:pPr>
      <w:r w:rsidRPr="00F059C7">
        <w:t>pronunță prezenta hotărâre, adoptată la aceeași dată:</w:t>
      </w:r>
    </w:p>
    <w:p w:rsidR="00A33FB9" w:rsidRPr="00F059C7" w:rsidRDefault="00F1201D" w:rsidP="00CD33DA">
      <w:pPr>
        <w:pStyle w:val="JuHHead"/>
        <w:numPr>
          <w:ilvl w:val="0"/>
          <w:numId w:val="0"/>
        </w:numPr>
      </w:pPr>
      <w:r w:rsidRPr="00F059C7">
        <w:t>OBIECTUL CAUZEI</w:t>
      </w:r>
    </w:p>
    <w:bookmarkStart w:id="1" w:name="paragraph00001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</w:t>
      </w:r>
      <w:r w:rsidRPr="00F059C7">
        <w:fldChar w:fldCharType="end"/>
      </w:r>
      <w:bookmarkEnd w:id="1"/>
      <w:r w:rsidRPr="00F059C7">
        <w:t>. Cererea privește procedura de înapoiere a copilului reclamantului, X, în Elveția, statul reședinței sale obișnuite.</w:t>
      </w:r>
    </w:p>
    <w:p w:rsidR="00A33FB9" w:rsidRPr="00F059C7" w:rsidRDefault="00F1201D" w:rsidP="00CD33DA">
      <w:pPr>
        <w:pStyle w:val="JuHIRoman"/>
        <w:numPr>
          <w:ilvl w:val="0"/>
          <w:numId w:val="0"/>
        </w:numPr>
        <w:ind w:left="369"/>
      </w:pPr>
      <w:r w:rsidRPr="00F059C7">
        <w:t>Contextul factual și procedural</w:t>
      </w:r>
    </w:p>
    <w:bookmarkStart w:id="2" w:name="paragraph00002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2</w:t>
      </w:r>
      <w:r w:rsidRPr="00F059C7">
        <w:fldChar w:fldCharType="end"/>
      </w:r>
      <w:bookmarkEnd w:id="2"/>
      <w:r w:rsidRPr="00F059C7">
        <w:t>. Reclamantul, resortisant român, este tatăl lui X, născută în anul 2007, din relația acestuia cu Y.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</w:t>
        </w:r>
      </w:fldSimple>
      <w:r w:rsidR="00215093" w:rsidRPr="00F059C7">
        <w:t>. Începând cu anul 2018, după separarea părinților săi, conform acordului acestora, X a locuit cu reclamantul în Elveția și a venit în vizită la mama ei în România.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4</w:t>
        </w:r>
      </w:fldSimple>
      <w:r w:rsidR="00215093" w:rsidRPr="00F059C7">
        <w:t>. La 24 august 2021, X, în vârstă de 15 ani la acea vreme, a refuzat să se întoarcă în Elveția, după o vacanță petrecută în România.</w:t>
      </w:r>
    </w:p>
    <w:bookmarkStart w:id="3" w:name="paragraph00005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5</w:t>
      </w:r>
      <w:r w:rsidRPr="00F059C7">
        <w:fldChar w:fldCharType="end"/>
      </w:r>
      <w:bookmarkEnd w:id="3"/>
      <w:r w:rsidRPr="00F059C7">
        <w:t>. La 13 octombrie 2021, reclamantul a inițiat o procedură de înapoiere a lui X în Elveția, în temeiul Convenției din 25 octombrie 1980 asupra aspectelor civile ale răpirii internaționale de copii („Convenția de la Haga”).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6</w:t>
        </w:r>
      </w:fldSimple>
      <w:r w:rsidR="00215093" w:rsidRPr="00F059C7">
        <w:t>. Y s-a opus înapoierii lui X, susținând, printre altele, că X refuzase să se întoarcă în Elveția din cauza comportamentului tatălui său.</w:t>
      </w:r>
    </w:p>
    <w:bookmarkStart w:id="4" w:name="paragraph00007"/>
    <w:p w:rsidR="00A33FB9" w:rsidRPr="00F059C7" w:rsidRDefault="00F1201D" w:rsidP="00CD33DA">
      <w:pPr>
        <w:pStyle w:val="JuPara"/>
        <w:rPr>
          <w:b/>
          <w:bCs/>
        </w:rPr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7</w:t>
      </w:r>
      <w:r w:rsidRPr="00F059C7">
        <w:fldChar w:fldCharType="end"/>
      </w:r>
      <w:bookmarkEnd w:id="4"/>
      <w:r w:rsidRPr="00F059C7">
        <w:t>. La 17 ianuarie 2022, Tribunalul București („Tribunalul”) a respins cererea de înapoiere. La 28 martie 2022, Curtea de Apel București („Curtea de apel”) a casat această sentință și a trimis cauza spre rejudecare aceleiași instanțe.</w:t>
      </w:r>
    </w:p>
    <w:bookmarkStart w:id="5" w:name="paragraph00008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8</w:t>
      </w:r>
      <w:r w:rsidRPr="00F059C7">
        <w:fldChar w:fldCharType="end"/>
      </w:r>
      <w:bookmarkEnd w:id="5"/>
      <w:r w:rsidRPr="00F059C7">
        <w:t>. La 6 iunie 2022, noul complet desemnat al Tribunalului a dispus ca Direcția Generală de Asistență Socială și Protecția Copilului (DGASPC) („autoritatea pentru protecția copilului”) să evalueze dacă X (i) prezenta semne de abuz fizic sau emoțional din partea reclamantului; (ii) exista riscul ca tulburările sale comportamentale să se agraveze dacă ar fi înapoiată forțat în Elveția; și (iii) dacă era suficient de matură pentru a decide unde ar fi în interesul ei să locuiască. De asemenea, Tribunalul a dispus ca X să fie audiată în prezența unui psiholog.</w:t>
      </w:r>
    </w:p>
    <w:bookmarkStart w:id="6" w:name="paragraph00009"/>
    <w:p w:rsidR="00A33FB9" w:rsidRPr="00F059C7" w:rsidRDefault="00F1201D" w:rsidP="00CD33DA">
      <w:pPr>
        <w:pStyle w:val="JuPara"/>
      </w:pPr>
      <w:r w:rsidRPr="00F059C7">
        <w:lastRenderedPageBreak/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9</w:t>
      </w:r>
      <w:r w:rsidRPr="00F059C7">
        <w:fldChar w:fldCharType="end"/>
      </w:r>
      <w:bookmarkEnd w:id="6"/>
      <w:r w:rsidRPr="00F059C7">
        <w:t>. La 18 august 2022, un psiholog, D.A., din cadrul autorității pentru protecția copilului, a întocmit un raport de evaluare psihologică.</w:t>
      </w:r>
    </w:p>
    <w:bookmarkStart w:id="7" w:name="paragraph00010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10</w:t>
      </w:r>
      <w:r w:rsidRPr="00F059C7">
        <w:fldChar w:fldCharType="end"/>
      </w:r>
      <w:bookmarkEnd w:id="7"/>
      <w:r w:rsidRPr="00F059C7">
        <w:t xml:space="preserve">. Potrivit raportului, X a relatat, printre altele, un incident în care tatăl ei, în timp ce o ajuta să-și descurce părul, i-a aplicat un balsam și i-a spus să-și scoată </w:t>
      </w:r>
      <w:proofErr w:type="spellStart"/>
      <w:r w:rsidRPr="00F059C7">
        <w:t>bustiera</w:t>
      </w:r>
      <w:proofErr w:type="spellEnd"/>
      <w:r w:rsidRPr="00F059C7">
        <w:t xml:space="preserve"> ca să nu se murdărească și apoi s-a uitat încontinuu la sânii ei. De asemenea, X a declarat că, atunci când o ridica, acesta îi atingea fesele.</w:t>
      </w:r>
    </w:p>
    <w:bookmarkStart w:id="8" w:name="paragraph00011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11</w:t>
      </w:r>
      <w:r w:rsidRPr="00F059C7">
        <w:fldChar w:fldCharType="end"/>
      </w:r>
      <w:bookmarkEnd w:id="8"/>
      <w:r w:rsidRPr="00F059C7">
        <w:t>. În ceea ce privește posibila ei înapoiere în Elveția, X a declarat că, dacă ar fi obligată să se întoarcă, s-ar putea automutila, așa cum a făcut și altă dată în Elveția, după ce niște colegi de școală au râs de ea.</w:t>
      </w:r>
    </w:p>
    <w:bookmarkStart w:id="9" w:name="paragraph00012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12</w:t>
      </w:r>
      <w:r w:rsidRPr="00F059C7">
        <w:fldChar w:fldCharType="end"/>
      </w:r>
      <w:bookmarkEnd w:id="9"/>
      <w:r w:rsidRPr="00F059C7">
        <w:t xml:space="preserve">. Raportul a concluzionat că rezultatele evaluării clinice indicau prezența simptomatologiei asociate pentru forme de abuz emoțional sau pentru alte tipuri de traume, ce puteau avea ca afect alterarea stării </w:t>
      </w:r>
      <w:proofErr w:type="spellStart"/>
      <w:r w:rsidRPr="00F059C7">
        <w:t>psiho</w:t>
      </w:r>
      <w:proofErr w:type="spellEnd"/>
      <w:r w:rsidRPr="00F059C7">
        <w:t>-emoționale a lui X. X a obținut un punctaj foarte ridicat în ceea ce privește anxietatea, simptomele de stres post-traumatic și semnele unor abuzuri suferite în copilărie. X avea o dezvoltare cognitivă sub medie, însă avea un nivel de dezvoltare corespunzător vârstei și suficient pentru a</w:t>
      </w:r>
      <w:r w:rsidRPr="00F059C7">
        <w:noBreakHyphen/>
        <w:t xml:space="preserve">și forma și a exprima o opinie motivată cu privire la locul în care era în interesul ei să locuiască. În cadrul raportului, relatările lui X cu privire la o posibilă întoarcere în Elveția au fost asociate unui comportament de risc pe care aceasta a declarat că l-a mai manifestat în perioada în care a locuit acolo; de asemenea, s-a afirmat că, având în vedere interesul superior al lui X și ținând seama de nevoile sale, aceasta nu trebuia să fie expusă unor situații care i-ar fi putut augmenta eventualele stări de tulburare </w:t>
      </w:r>
      <w:proofErr w:type="spellStart"/>
      <w:r w:rsidRPr="00F059C7">
        <w:t>psiho</w:t>
      </w:r>
      <w:proofErr w:type="spellEnd"/>
      <w:r w:rsidRPr="00F059C7">
        <w:t>-comportamentală. S-a recomandat ca X să urmeze ședințe de psihoterapie și să beneficieze de educație psihologică în domeniul sexualității.</w:t>
      </w:r>
    </w:p>
    <w:bookmarkStart w:id="10" w:name="paragraph00013"/>
    <w:p w:rsidR="00A33FB9" w:rsidRPr="00F059C7" w:rsidRDefault="00F1201D" w:rsidP="00CD33DA">
      <w:pPr>
        <w:pStyle w:val="JuPara"/>
      </w:pPr>
      <w:r w:rsidRPr="00F059C7">
        <w:rPr>
          <w:rFonts w:eastAsia="Times New Roman"/>
        </w:rPr>
        <w:fldChar w:fldCharType="begin"/>
      </w:r>
      <w:r w:rsidRPr="00F059C7">
        <w:rPr>
          <w:rFonts w:eastAsia="Times New Roman"/>
        </w:rPr>
        <w:instrText xml:space="preserve"> SEQ level0 \*arabic \* MERGEFORMAT </w:instrText>
      </w:r>
      <w:r w:rsidRPr="00F059C7">
        <w:rPr>
          <w:rFonts w:eastAsia="Times New Roman"/>
        </w:rPr>
        <w:fldChar w:fldCharType="separate"/>
      </w:r>
      <w:r w:rsidR="00CD33DA" w:rsidRPr="00F059C7">
        <w:rPr>
          <w:rFonts w:eastAsia="Times New Roman"/>
        </w:rPr>
        <w:t>13</w:t>
      </w:r>
      <w:r w:rsidRPr="00F059C7">
        <w:rPr>
          <w:rFonts w:eastAsia="Times New Roman"/>
        </w:rPr>
        <w:fldChar w:fldCharType="end"/>
      </w:r>
      <w:bookmarkEnd w:id="10"/>
      <w:r w:rsidRPr="00F059C7">
        <w:t>. La 23 august 2022, Tribunalul a audiat-o pe X în prezența unui psiholog. X a declarat că nu dorea să se întoarcă la tatăl său deoarece acesta consuma droguri (canabis), țipa la ea și nu îi dădea voie să se spele. Nu i-a plăcut la școala din Elveția deoarece colegii ei de clasă au râs de ea. Cu ocazia zilei sale de naștere, în 2021, tatăl său i-a dat o băutură care conținea extract de canabis.</w:t>
      </w:r>
    </w:p>
    <w:bookmarkStart w:id="11" w:name="paragraph00014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14</w:t>
      </w:r>
      <w:r w:rsidRPr="00F059C7">
        <w:fldChar w:fldCharType="end"/>
      </w:r>
      <w:bookmarkEnd w:id="11"/>
      <w:r w:rsidRPr="00F059C7">
        <w:t>. La 17 octombrie 2022 (sentință redactată la 16 decembrie 2022), Tribunalul a respins cererea de înapoiere ca neîntemeiată, constatând că erau aplicabile excepțiile prevăzute la art. 13 alin. 1 lit. b) și alineatul următor din Convenția de la Haga.</w:t>
      </w:r>
    </w:p>
    <w:bookmarkStart w:id="12" w:name="paragraph00015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15</w:t>
      </w:r>
      <w:r w:rsidRPr="00F059C7">
        <w:fldChar w:fldCharType="end"/>
      </w:r>
      <w:bookmarkEnd w:id="12"/>
      <w:r w:rsidRPr="00F059C7">
        <w:t>. Făcând referire la concluziile raportului de evaluare psihologică (a se vedea supra, pct. </w:t>
      </w:r>
      <w:r w:rsidRPr="00F059C7">
        <w:fldChar w:fldCharType="begin"/>
      </w:r>
      <w:r w:rsidRPr="00F059C7">
        <w:instrText xml:space="preserve">REF paragraph00012 \h \* CharFormat </w:instrText>
      </w:r>
      <w:r w:rsidRPr="00F059C7">
        <w:fldChar w:fldCharType="separate"/>
      </w:r>
      <w:r w:rsidR="00CD33DA" w:rsidRPr="00F059C7">
        <w:t>12</w:t>
      </w:r>
      <w:r w:rsidRPr="00F059C7">
        <w:fldChar w:fldCharType="end"/>
      </w:r>
      <w:r w:rsidRPr="00F059C7">
        <w:t>), pe care l-a reprodus textual, Tribunalul a constatat că atitudinea reclamantului față de X a plasat-o pe aceasta într-o „situație intolerabilă”. În plus, Tribunalul a constatat refuzul lui X de a se întoarce în Elveția (a se vedea supra, pct. </w:t>
      </w:r>
      <w:r w:rsidRPr="00F059C7">
        <w:fldChar w:fldCharType="begin"/>
      </w:r>
      <w:r w:rsidRPr="00F059C7">
        <w:instrText xml:space="preserve">REF paragraph00013 \h \* CharFormat </w:instrText>
      </w:r>
      <w:r w:rsidRPr="00F059C7">
        <w:fldChar w:fldCharType="separate"/>
      </w:r>
      <w:r w:rsidR="00CD33DA" w:rsidRPr="00F059C7">
        <w:t>13</w:t>
      </w:r>
      <w:r w:rsidRPr="00F059C7">
        <w:fldChar w:fldCharType="end"/>
      </w:r>
      <w:r w:rsidRPr="00F059C7">
        <w:t>) și a statuat că opinia ei, astfel cum a fost exprimată în cadrul audierii sale, justifica refuzul instanței de a dispune înapoierea, întrucât aceasta, în vârstă de 15 ani, avea maturitatea necesară pentru a decide ce anume era în interesul ei, fapt confirmat și de raportul de psihodiagnostic și evaluare psihologică (a se vedea supra, pct. </w:t>
      </w:r>
      <w:r w:rsidRPr="00F059C7">
        <w:fldChar w:fldCharType="begin"/>
      </w:r>
      <w:r w:rsidRPr="00F059C7">
        <w:instrText xml:space="preserve">REF paragraph00012 \h \* CharFormat </w:instrText>
      </w:r>
      <w:r w:rsidRPr="00F059C7">
        <w:fldChar w:fldCharType="separate"/>
      </w:r>
      <w:r w:rsidR="00CD33DA" w:rsidRPr="00F059C7">
        <w:t>12</w:t>
      </w:r>
      <w:r w:rsidRPr="00F059C7">
        <w:fldChar w:fldCharType="end"/>
      </w:r>
      <w:r w:rsidRPr="00F059C7">
        <w:t>).</w:t>
      </w:r>
    </w:p>
    <w:bookmarkStart w:id="13" w:name="paragraph00016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16</w:t>
      </w:r>
      <w:r w:rsidRPr="00F059C7">
        <w:fldChar w:fldCharType="end"/>
      </w:r>
      <w:bookmarkEnd w:id="13"/>
      <w:r w:rsidRPr="00F059C7">
        <w:t>. În ceea ce privește aplicabilitatea excepției de la înapoiere, prevăzută la art. 13 lit. b) din Convenția de la Haga, Tribunalul a concluzionat că ansamblul probatoriului (a se vedea supra, pct. </w:t>
      </w:r>
      <w:r w:rsidRPr="00F059C7">
        <w:fldChar w:fldCharType="begin"/>
      </w:r>
      <w:r w:rsidRPr="00F059C7">
        <w:instrText xml:space="preserve">REF paragraph00009 \h \* CharFormat </w:instrText>
      </w:r>
      <w:r w:rsidRPr="00F059C7">
        <w:fldChar w:fldCharType="separate"/>
      </w:r>
      <w:r w:rsidR="00CD33DA" w:rsidRPr="00F059C7">
        <w:t>9</w:t>
      </w:r>
      <w:r w:rsidRPr="00F059C7">
        <w:fldChar w:fldCharType="end"/>
      </w:r>
      <w:r w:rsidRPr="00F059C7">
        <w:t xml:space="preserve"> și </w:t>
      </w:r>
      <w:r w:rsidRPr="00F059C7">
        <w:fldChar w:fldCharType="begin"/>
      </w:r>
      <w:r w:rsidRPr="00F059C7">
        <w:instrText xml:space="preserve">REF paragraph00013 \h \* CharFormat </w:instrText>
      </w:r>
      <w:r w:rsidRPr="00F059C7">
        <w:fldChar w:fldCharType="separate"/>
      </w:r>
      <w:r w:rsidR="00CD33DA" w:rsidRPr="00F059C7">
        <w:t>13</w:t>
      </w:r>
      <w:r w:rsidRPr="00F059C7">
        <w:fldChar w:fldCharType="end"/>
      </w:r>
      <w:r w:rsidRPr="00F059C7">
        <w:t>) confirma faptul că X dorea să locuiască în continuare în România și că întoarcerea în Elveția, care îi provoca o stare de teamă și anxietate, nu ar fi benefică pentru aceasta din punct de vedere psihologic. Astfel, având în vedere refuzul lui X de a se întoarce și potențialele consecințe ale înapoierii sale, instanța a apreciat că interesul superior al lui X impunea menținerea ei în mediul său familial actual. În sfârșit, Tribunalul a constatat că riscul potențial ca X să fie supusă din nou unor abuzuri emoționale din partea tatălui său justifica refuzul înapoierii sale în Elveția, în temeiul art. 13 alin. 1 lit. b) din Convenția de la Haga.</w:t>
      </w:r>
    </w:p>
    <w:bookmarkStart w:id="14" w:name="paragraph00017"/>
    <w:p w:rsidR="00A33FB9" w:rsidRPr="00F059C7" w:rsidRDefault="00F1201D" w:rsidP="00CD33DA">
      <w:pPr>
        <w:pStyle w:val="JuPara"/>
      </w:pPr>
      <w:r w:rsidRPr="00F059C7">
        <w:lastRenderedPageBreak/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17</w:t>
      </w:r>
      <w:r w:rsidRPr="00F059C7">
        <w:fldChar w:fldCharType="end"/>
      </w:r>
      <w:bookmarkEnd w:id="14"/>
      <w:r w:rsidRPr="00F059C7">
        <w:t>. Reclamantul a formulat recurs, susținând că instanța de fond nu a examinat aspectele esențiale ale cauzei, nu a ținut seama de probele prezentate de acesta și și-a întemeiat decizia exclusiv pe declarațiile minorei, care nu au fost coroborate cu niciun alt element de probă. Reclamantul s-a plâns de asemenea că, deși instanța a audiat-o pe X, aceasta nu i-a pus întrebări cu privire la acuzațiile sale de abuz din partea tatălui și nici nu a examinat probele prezentate de el, precizând că, în fapt, X avea o relație afectuoasă cu familia sa din Elveția.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18</w:t>
        </w:r>
      </w:fldSimple>
      <w:r w:rsidR="00215093" w:rsidRPr="00F059C7">
        <w:t>. La 1 februarie 2023, Curtea de apel a respins recursul și a menținut hotărârea Tribunalului (a se vedea supra, pct. </w:t>
      </w:r>
      <w:r w:rsidR="00F1201D" w:rsidRPr="00F059C7">
        <w:fldChar w:fldCharType="begin"/>
      </w:r>
      <w:r w:rsidR="00F1201D" w:rsidRPr="00F059C7">
        <w:instrText xml:space="preserve">REF paragraph00014 \h \* CharFormat </w:instrText>
      </w:r>
      <w:r w:rsidR="00F1201D" w:rsidRPr="00F059C7">
        <w:fldChar w:fldCharType="separate"/>
      </w:r>
      <w:r w:rsidR="00F1201D" w:rsidRPr="00F059C7">
        <w:t>14</w:t>
      </w:r>
      <w:r w:rsidR="00F1201D" w:rsidRPr="00F059C7">
        <w:fldChar w:fldCharType="end"/>
      </w:r>
      <w:r w:rsidR="00215093" w:rsidRPr="00F059C7">
        <w:t>-</w:t>
      </w:r>
      <w:r w:rsidR="00F1201D" w:rsidRPr="00F059C7">
        <w:fldChar w:fldCharType="begin"/>
      </w:r>
      <w:r w:rsidR="00F1201D" w:rsidRPr="00F059C7">
        <w:instrText xml:space="preserve">REF paragraph00016 \h \* CharFormat </w:instrText>
      </w:r>
      <w:r w:rsidR="00F1201D" w:rsidRPr="00F059C7">
        <w:fldChar w:fldCharType="separate"/>
      </w:r>
      <w:r w:rsidR="00F1201D" w:rsidRPr="00F059C7">
        <w:t>16</w:t>
      </w:r>
      <w:r w:rsidR="00F1201D" w:rsidRPr="00F059C7">
        <w:fldChar w:fldCharType="end"/>
      </w:r>
      <w:r w:rsidR="00215093" w:rsidRPr="00F059C7">
        <w:t>).</w:t>
      </w:r>
    </w:p>
    <w:bookmarkStart w:id="15" w:name="paragraph00019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19</w:t>
      </w:r>
      <w:r w:rsidRPr="00F059C7">
        <w:fldChar w:fldCharType="end"/>
      </w:r>
      <w:bookmarkEnd w:id="15"/>
      <w:r w:rsidRPr="00F059C7">
        <w:t>. Curtea de apel a examinat constatările Tribunalului și a statuat că, în opinia sa, riscul de reapariție a comportamentului pe care X l-a manifestat anterior în perioada în care a locuit în Elveția (automutilarea) constituia aspectul esențial care încadra situația lui X în domeniul de aplicare al excepției de la înapoiere, prevăzută la art. 13 lit. b) din Convenția de la Haga. Probele depuse de reclamant nu înlăturau concluzia la care a ajuns Tribunalul, care s-a bazat pe opinia psihologului, coroborată cu relatările lui X privind „episoadele de automutilare” petrecute în Elveția.</w:t>
      </w:r>
    </w:p>
    <w:bookmarkStart w:id="16" w:name="paragraph00020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20</w:t>
      </w:r>
      <w:r w:rsidRPr="00F059C7">
        <w:fldChar w:fldCharType="end"/>
      </w:r>
      <w:bookmarkEnd w:id="16"/>
      <w:r w:rsidRPr="00F059C7">
        <w:t>. În ceea ce privește aplicabilitatea art. 13 alin. 2 din Convenția de la Haga, Curtea de apel a subliniat că excepția în cauză impunea existența cumulativă a două elemente, aceasta fiind stabilită de Tribunal. Curtea de apel a confirmat că opinia lui X a fost luată în considerare numai după o evaluare corespunzătoare a nivelului ei de maturitate (a se vedea supra, pct. </w:t>
      </w:r>
      <w:r w:rsidRPr="00F059C7">
        <w:fldChar w:fldCharType="begin"/>
      </w:r>
      <w:r w:rsidRPr="00F059C7">
        <w:instrText xml:space="preserve">REF paragraph00016 \h \* CharFormat </w:instrText>
      </w:r>
      <w:r w:rsidRPr="00F059C7">
        <w:fldChar w:fldCharType="separate"/>
      </w:r>
      <w:r w:rsidR="00CD33DA" w:rsidRPr="00F059C7">
        <w:t>16</w:t>
      </w:r>
      <w:r w:rsidRPr="00F059C7">
        <w:fldChar w:fldCharType="end"/>
      </w:r>
      <w:r w:rsidRPr="00F059C7">
        <w:t>) și că chestiunile de fapt pe care s-a întemeiat această analiză nu intrau sub incidența unui recurs.</w:t>
      </w:r>
    </w:p>
    <w:bookmarkStart w:id="17" w:name="paragraph00021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21</w:t>
      </w:r>
      <w:r w:rsidRPr="00F059C7">
        <w:fldChar w:fldCharType="end"/>
      </w:r>
      <w:bookmarkEnd w:id="17"/>
      <w:r w:rsidRPr="00F059C7">
        <w:t>. În observațiile sale pe fond din 26 septembrie 2024, reclamantul a informat Curtea că D.A., care o evaluase pe X (a se vedea supra, pct. </w:t>
      </w:r>
      <w:r w:rsidRPr="00F059C7">
        <w:fldChar w:fldCharType="begin"/>
      </w:r>
      <w:r w:rsidRPr="00F059C7">
        <w:instrText xml:space="preserve">REF paragraph00009 \h \* CharFormat </w:instrText>
      </w:r>
      <w:r w:rsidRPr="00F059C7">
        <w:fldChar w:fldCharType="separate"/>
      </w:r>
      <w:r w:rsidR="00CD33DA" w:rsidRPr="00F059C7">
        <w:t>9</w:t>
      </w:r>
      <w:r w:rsidRPr="00F059C7">
        <w:fldChar w:fldCharType="end"/>
      </w:r>
      <w:r w:rsidRPr="00F059C7">
        <w:t>), ar fi primit un avertisment scris pentru încălcări ale eticii la întocmirea raportului de evaluare.</w:t>
      </w:r>
    </w:p>
    <w:p w:rsidR="00A33FB9" w:rsidRPr="00F059C7" w:rsidRDefault="00F1201D" w:rsidP="00CD33DA">
      <w:pPr>
        <w:pStyle w:val="JuHHead"/>
        <w:numPr>
          <w:ilvl w:val="0"/>
          <w:numId w:val="0"/>
        </w:numPr>
      </w:pPr>
      <w:r w:rsidRPr="00F059C7">
        <w:t>MOTIVAREA CURȚII</w:t>
      </w:r>
    </w:p>
    <w:p w:rsidR="00A33FB9" w:rsidRPr="00F059C7" w:rsidRDefault="00F1201D" w:rsidP="00CD33DA">
      <w:pPr>
        <w:pStyle w:val="JuHIRoman"/>
        <w:numPr>
          <w:ilvl w:val="0"/>
          <w:numId w:val="0"/>
        </w:numPr>
        <w:ind w:left="369"/>
      </w:pPr>
      <w:r w:rsidRPr="00F059C7">
        <w:t xml:space="preserve">CU PRIVIRE LA PRETINSA ÎNCĂLCARE A ART. 8 DIN CONVENȚIE 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22</w:t>
        </w:r>
      </w:fldSimple>
      <w:r w:rsidR="00215093" w:rsidRPr="00F059C7">
        <w:t>. Invocând art. 8 din Convenție, reclamantul s-a plâns de rezultatul procedurii de înapoiere și de durata acesteia.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23</w:t>
        </w:r>
      </w:fldSimple>
      <w:r w:rsidR="00215093" w:rsidRPr="00F059C7">
        <w:t>. Curtea observă că cererea nu este în mod vădit nefondată în sensul art. 35 § 3 lit. a) din Convenție și că nu prezintă niciun alt motiv de inadmisibilitate. Prin urmare, trebuie declarată admisibilă.</w:t>
      </w:r>
    </w:p>
    <w:bookmarkStart w:id="18" w:name="_cl22282THECOURTSASSESSMENT"/>
    <w:p w:rsidR="00A33FB9" w:rsidRPr="00F059C7" w:rsidRDefault="00F1201D" w:rsidP="00CD33DA">
      <w:pPr>
        <w:pStyle w:val="JuPara"/>
      </w:pPr>
      <w:r w:rsidRPr="00F059C7">
        <w:fldChar w:fldCharType="begin"/>
      </w:r>
      <w:r w:rsidRPr="00F059C7">
        <w:instrText xml:space="preserve"> SEQ level0 \*arabic \* MERGEFORMAT </w:instrText>
      </w:r>
      <w:r w:rsidRPr="00F059C7">
        <w:fldChar w:fldCharType="separate"/>
      </w:r>
      <w:r w:rsidR="00CD33DA" w:rsidRPr="00F059C7">
        <w:t>24</w:t>
      </w:r>
      <w:r w:rsidRPr="00F059C7">
        <w:fldChar w:fldCharType="end"/>
      </w:r>
      <w:r w:rsidRPr="00F059C7">
        <w:t xml:space="preserve">. Principiile referitoare la aplicarea art. 8 din Convenție în cazul procedurilor de înapoiere, în temeiul Convenției de la Haga, au fost reiterate în hotărârea </w:t>
      </w:r>
      <w:r w:rsidRPr="00F059C7">
        <w:rPr>
          <w:i/>
        </w:rPr>
        <w:t>X împotriva</w:t>
      </w:r>
      <w:r w:rsidR="00F059C7">
        <w:rPr>
          <w:i/>
        </w:rPr>
        <w:t xml:space="preserve"> </w:t>
      </w:r>
      <w:r w:rsidRPr="00F059C7">
        <w:rPr>
          <w:i/>
        </w:rPr>
        <w:t>Letoniei</w:t>
      </w:r>
      <w:r w:rsidRPr="00F059C7">
        <w:t xml:space="preserve"> [(MC), nr. 27853/09, pct. 92-108, CEDO 2013], iar cele referitoare la cerința de celeritate în procedurile de înapoiere, în hotărârea </w:t>
      </w:r>
      <w:proofErr w:type="spellStart"/>
      <w:r w:rsidRPr="00F059C7">
        <w:rPr>
          <w:i/>
        </w:rPr>
        <w:t>Adzic</w:t>
      </w:r>
      <w:proofErr w:type="spellEnd"/>
      <w:r w:rsidRPr="00F059C7">
        <w:rPr>
          <w:i/>
        </w:rPr>
        <w:t xml:space="preserve"> împotriva</w:t>
      </w:r>
      <w:r w:rsidR="00F059C7">
        <w:rPr>
          <w:i/>
        </w:rPr>
        <w:t xml:space="preserve"> </w:t>
      </w:r>
      <w:r w:rsidRPr="00F059C7">
        <w:rPr>
          <w:i/>
        </w:rPr>
        <w:t>Croației</w:t>
      </w:r>
      <w:r w:rsidRPr="00F059C7">
        <w:t xml:space="preserve"> (nr. 22643/14, pct. 94-95, 12 martie 2015).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25</w:t>
        </w:r>
      </w:fldSimple>
      <w:r w:rsidR="00215093" w:rsidRPr="00F059C7">
        <w:t>. Curtea observă că instanțele naționale au refuzat să dispună înapoierea lui X în Elveția, în temeiul art. 13 alin. 1 lit. b) și al alineatului următor din Convenția de la Haga. Tribunalul s</w:t>
      </w:r>
      <w:r>
        <w:noBreakHyphen/>
      </w:r>
      <w:r w:rsidR="00215093" w:rsidRPr="00F059C7">
        <w:t>a bazat în principal pe raportul de psihodiagnostic și evaluare psihologică a lui X și pe declarația dată de ea în instanță (a se vedea supra, pct. </w:t>
      </w:r>
      <w:r w:rsidR="00F1201D" w:rsidRPr="00F059C7">
        <w:fldChar w:fldCharType="begin"/>
      </w:r>
      <w:r w:rsidR="00F1201D" w:rsidRPr="00F059C7">
        <w:instrText xml:space="preserve">REF paragraph00014 \h \* CharFormat </w:instrText>
      </w:r>
      <w:r w:rsidR="00F1201D" w:rsidRPr="00F059C7">
        <w:fldChar w:fldCharType="separate"/>
      </w:r>
      <w:r w:rsidR="00F1201D" w:rsidRPr="00F059C7">
        <w:t>14</w:t>
      </w:r>
      <w:r w:rsidR="00F1201D" w:rsidRPr="00F059C7">
        <w:fldChar w:fldCharType="end"/>
      </w:r>
      <w:r w:rsidR="00215093" w:rsidRPr="00F059C7">
        <w:t>-</w:t>
      </w:r>
      <w:r w:rsidR="00F1201D" w:rsidRPr="00F059C7">
        <w:fldChar w:fldCharType="begin"/>
      </w:r>
      <w:r w:rsidR="00F1201D" w:rsidRPr="00F059C7">
        <w:instrText xml:space="preserve">REF paragraph00016 \h \* CharFormat </w:instrText>
      </w:r>
      <w:r w:rsidR="00F1201D" w:rsidRPr="00F059C7">
        <w:fldChar w:fldCharType="separate"/>
      </w:r>
      <w:r w:rsidR="00F1201D" w:rsidRPr="00F059C7">
        <w:t>16</w:t>
      </w:r>
      <w:r w:rsidR="00F1201D" w:rsidRPr="00F059C7">
        <w:fldChar w:fldCharType="end"/>
      </w:r>
      <w:r w:rsidR="00215093" w:rsidRPr="00F059C7">
        <w:t>) și a constatat că atitudinea reclamantului față de X a plasat-o pe aceasta într-o „situație intolerabilă” și că, din aceleași motive, ea a refuzat să se întoarcă. Curtea de apel a menținut aceste constatări și, în plus, a evidențiat concluzia psihologului potrivit căreia înapoierea lui X era asociată cu riscul ca ea să se automutileze din nou, aspect pe care l</w:t>
      </w:r>
      <w:r w:rsidR="00215093" w:rsidRPr="00F059C7">
        <w:noBreakHyphen/>
        <w:t>a considerat decisiv pentru aplicarea art. 13 lit. b) (a</w:t>
      </w:r>
      <w:r>
        <w:t> </w:t>
      </w:r>
      <w:r w:rsidR="00215093" w:rsidRPr="00F059C7">
        <w:t>se vedea supra, pct. </w:t>
      </w:r>
      <w:r w:rsidR="00F1201D" w:rsidRPr="00F059C7">
        <w:fldChar w:fldCharType="begin"/>
      </w:r>
      <w:r w:rsidR="00F1201D" w:rsidRPr="00F059C7">
        <w:instrText xml:space="preserve">REF paragraph00019 \h \* CharFormat </w:instrText>
      </w:r>
      <w:r w:rsidR="00F1201D" w:rsidRPr="00F059C7">
        <w:fldChar w:fldCharType="separate"/>
      </w:r>
      <w:r w:rsidR="00F1201D" w:rsidRPr="00F059C7">
        <w:t>19</w:t>
      </w:r>
      <w:r w:rsidR="00F1201D" w:rsidRPr="00F059C7">
        <w:fldChar w:fldCharType="end"/>
      </w:r>
      <w:r w:rsidR="00215093" w:rsidRPr="00F059C7">
        <w:t>-</w:t>
      </w:r>
      <w:r w:rsidR="00F1201D" w:rsidRPr="00F059C7">
        <w:fldChar w:fldCharType="begin"/>
      </w:r>
      <w:r w:rsidR="00F1201D" w:rsidRPr="00F059C7">
        <w:instrText xml:space="preserve">REF paragraph00020 \h \* CharFormat </w:instrText>
      </w:r>
      <w:r w:rsidR="00F1201D" w:rsidRPr="00F059C7">
        <w:fldChar w:fldCharType="separate"/>
      </w:r>
      <w:r w:rsidR="00F1201D" w:rsidRPr="00F059C7">
        <w:t>20</w:t>
      </w:r>
      <w:r w:rsidR="00F1201D" w:rsidRPr="00F059C7">
        <w:fldChar w:fldCharType="end"/>
      </w:r>
      <w:r w:rsidR="00215093" w:rsidRPr="00F059C7">
        <w:t>).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26</w:t>
        </w:r>
      </w:fldSimple>
      <w:r w:rsidR="00215093" w:rsidRPr="00F059C7">
        <w:t>. Reclamantul a informat Curtea cu privire la pretinsa sancționare a psihologului (a se vedea supra, pct. </w:t>
      </w:r>
      <w:r w:rsidR="00F1201D" w:rsidRPr="00F059C7">
        <w:fldChar w:fldCharType="begin"/>
      </w:r>
      <w:r w:rsidR="00F1201D" w:rsidRPr="00F059C7">
        <w:instrText xml:space="preserve">REF paragraph00009 \h \* CharFormat </w:instrText>
      </w:r>
      <w:r w:rsidR="00F1201D" w:rsidRPr="00F059C7">
        <w:fldChar w:fldCharType="separate"/>
      </w:r>
      <w:r w:rsidR="00F1201D" w:rsidRPr="00F059C7">
        <w:t>9</w:t>
      </w:r>
      <w:r w:rsidR="00F1201D" w:rsidRPr="00F059C7">
        <w:fldChar w:fldCharType="end"/>
      </w:r>
      <w:r w:rsidR="00215093" w:rsidRPr="00F059C7">
        <w:t xml:space="preserve"> și </w:t>
      </w:r>
      <w:r w:rsidR="00F1201D" w:rsidRPr="00F059C7">
        <w:fldChar w:fldCharType="begin"/>
      </w:r>
      <w:r w:rsidR="00F1201D" w:rsidRPr="00F059C7">
        <w:instrText xml:space="preserve">REF paragraph00021 \h \* CharFormat </w:instrText>
      </w:r>
      <w:r w:rsidR="00F1201D" w:rsidRPr="00F059C7">
        <w:fldChar w:fldCharType="separate"/>
      </w:r>
      <w:r w:rsidR="00F1201D" w:rsidRPr="00F059C7">
        <w:t>21</w:t>
      </w:r>
      <w:r w:rsidR="00F1201D" w:rsidRPr="00F059C7">
        <w:fldChar w:fldCharType="end"/>
      </w:r>
      <w:r w:rsidR="00215093" w:rsidRPr="00F059C7">
        <w:t>). Curtea consideră că nu este necesar să se stabilească dacă presupusa neîndeplinire a obligațiilor profesionale a avut vreo incidență asupra drepturilor reclamantului prevăzute de Convenție, deoarece, în orice caz, procedura în ansamblu nu a respectat garanțiile procedurale impuse de art. 8 (a se vedea</w:t>
      </w:r>
      <w:r w:rsidR="00215093" w:rsidRPr="00F059C7">
        <w:rPr>
          <w:i/>
        </w:rPr>
        <w:t xml:space="preserve"> X împotriva Letoniei,</w:t>
      </w:r>
      <w:r w:rsidR="00215093" w:rsidRPr="00F059C7">
        <w:t xml:space="preserve"> citată anterior, pct. 107).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27</w:t>
        </w:r>
      </w:fldSimple>
      <w:r w:rsidR="00215093" w:rsidRPr="00F059C7">
        <w:t>. Întrucât Curtea de apel a menținut constatările Tribunalului (a se vedea supra, pct. </w:t>
      </w:r>
      <w:r w:rsidR="00F1201D" w:rsidRPr="00F059C7">
        <w:fldChar w:fldCharType="begin"/>
      </w:r>
      <w:r w:rsidR="00F1201D" w:rsidRPr="00F059C7">
        <w:instrText xml:space="preserve">REF paragraph00019 \h \* CharFormat </w:instrText>
      </w:r>
      <w:r w:rsidR="00F1201D" w:rsidRPr="00F059C7">
        <w:fldChar w:fldCharType="separate"/>
      </w:r>
      <w:r w:rsidR="00F1201D" w:rsidRPr="00F059C7">
        <w:t>19</w:t>
      </w:r>
      <w:r w:rsidR="00F1201D" w:rsidRPr="00F059C7">
        <w:fldChar w:fldCharType="end"/>
      </w:r>
      <w:r w:rsidR="00215093" w:rsidRPr="00F059C7">
        <w:t>-</w:t>
      </w:r>
      <w:r w:rsidR="00F1201D" w:rsidRPr="00F059C7">
        <w:fldChar w:fldCharType="begin"/>
      </w:r>
      <w:r w:rsidR="00F1201D" w:rsidRPr="00F059C7">
        <w:instrText xml:space="preserve">REF paragraph00020 \h \* CharFormat </w:instrText>
      </w:r>
      <w:r w:rsidR="00F1201D" w:rsidRPr="00F059C7">
        <w:fldChar w:fldCharType="separate"/>
      </w:r>
      <w:r w:rsidR="00F1201D" w:rsidRPr="00F059C7">
        <w:t>20</w:t>
      </w:r>
      <w:r w:rsidR="00F1201D" w:rsidRPr="00F059C7">
        <w:fldChar w:fldCharType="end"/>
      </w:r>
      <w:r w:rsidR="00215093" w:rsidRPr="00F059C7">
        <w:t>) și că acesta din urmă a fost singura instanță care a efectuat o apreciere directă a probelor, Curtea va face referire în primul rând la motivarea Tribunalului.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28</w:t>
        </w:r>
      </w:fldSimple>
      <w:r w:rsidR="00215093" w:rsidRPr="00F059C7">
        <w:t xml:space="preserve">. Curtea constată că motivarea Tribunalului este insuficientă și arată că problemele cu care este sesizată nu au fost examinate în mod efectiv (a se vedea </w:t>
      </w:r>
      <w:r w:rsidR="00215093" w:rsidRPr="00F059C7">
        <w:rPr>
          <w:i/>
        </w:rPr>
        <w:t>X împotriva Letoniei</w:t>
      </w:r>
      <w:r w:rsidR="00215093" w:rsidRPr="00F059C7">
        <w:t xml:space="preserve">, citată anterior, pct. 106; și, </w:t>
      </w:r>
      <w:r w:rsidR="00215093" w:rsidRPr="00F059C7">
        <w:rPr>
          <w:i/>
        </w:rPr>
        <w:t xml:space="preserve">a </w:t>
      </w:r>
      <w:proofErr w:type="spellStart"/>
      <w:r w:rsidR="00215093" w:rsidRPr="00F059C7">
        <w:rPr>
          <w:i/>
        </w:rPr>
        <w:t>contrario</w:t>
      </w:r>
      <w:bookmarkStart w:id="19" w:name="_cl39023THECOURTSASSESSMENT"/>
      <w:proofErr w:type="spellEnd"/>
      <w:r w:rsidR="00215093" w:rsidRPr="00F059C7">
        <w:t xml:space="preserve">, </w:t>
      </w:r>
      <w:r w:rsidR="00215093" w:rsidRPr="00F059C7">
        <w:rPr>
          <w:i/>
        </w:rPr>
        <w:t>Voica împotriva României</w:t>
      </w:r>
      <w:bookmarkEnd w:id="19"/>
      <w:r w:rsidR="00215093" w:rsidRPr="00F059C7">
        <w:t>, nr. 9256/19, pct. 67, 7 iulie 2020). Deși Tribunalul a constatat că reclamantul a plasat-o pe X într-o „situație intolerabilă” și că riscul potențial ca aceasta să fie supusă unor abuzuri emoționale din partea tatălui său justifica refuzul înapoierii sale (a se vedea supra, pct. </w:t>
      </w:r>
      <w:r w:rsidR="00F1201D" w:rsidRPr="00F059C7">
        <w:fldChar w:fldCharType="begin"/>
      </w:r>
      <w:r w:rsidR="00F1201D" w:rsidRPr="00F059C7">
        <w:instrText xml:space="preserve">REF paragraph00015 \h \* CharFormat </w:instrText>
      </w:r>
      <w:r w:rsidR="00F1201D" w:rsidRPr="00F059C7">
        <w:fldChar w:fldCharType="separate"/>
      </w:r>
      <w:r w:rsidR="00F1201D" w:rsidRPr="00F059C7">
        <w:t>15</w:t>
      </w:r>
      <w:r w:rsidR="00F1201D" w:rsidRPr="00F059C7">
        <w:fldChar w:fldCharType="end"/>
      </w:r>
      <w:r w:rsidR="00215093" w:rsidRPr="00F059C7">
        <w:noBreakHyphen/>
      </w:r>
      <w:r w:rsidR="00F1201D" w:rsidRPr="00F059C7">
        <w:fldChar w:fldCharType="begin"/>
      </w:r>
      <w:r w:rsidR="00F1201D" w:rsidRPr="00F059C7">
        <w:instrText xml:space="preserve">REF paragraph00016 \h \* CharFormat </w:instrText>
      </w:r>
      <w:r w:rsidR="00F1201D" w:rsidRPr="00F059C7">
        <w:fldChar w:fldCharType="separate"/>
      </w:r>
      <w:r w:rsidR="00F1201D" w:rsidRPr="00F059C7">
        <w:t>16</w:t>
      </w:r>
      <w:r w:rsidR="00F1201D" w:rsidRPr="00F059C7">
        <w:fldChar w:fldCharType="end"/>
      </w:r>
      <w:r w:rsidR="00215093" w:rsidRPr="00F059C7">
        <w:t xml:space="preserve">), instanța a ajuns la aceste concluzii ținând seama, în mare măsură, de raportul de psihodiagnostic și evaluare psihologică a lui X și de declarația dată de aceasta în instanță, fără să examineze fondul acestor probe și fără să explice suficient de detaliat modul în care s-a stabilit aplicabilitatea excepției prevăzute la art. 13 lit. b) – care trebuie interpretată în mod strict (a se vedea </w:t>
      </w:r>
      <w:bookmarkStart w:id="20" w:name="_cl31519THECOURTSASSESSMENT"/>
      <w:proofErr w:type="spellStart"/>
      <w:r w:rsidR="00215093" w:rsidRPr="00F059C7">
        <w:rPr>
          <w:i/>
        </w:rPr>
        <w:t>Maumousseau</w:t>
      </w:r>
      <w:proofErr w:type="spellEnd"/>
      <w:r w:rsidR="00215093" w:rsidRPr="00F059C7">
        <w:rPr>
          <w:i/>
        </w:rPr>
        <w:t xml:space="preserve"> și Washington împotriva</w:t>
      </w:r>
      <w:r>
        <w:rPr>
          <w:i/>
        </w:rPr>
        <w:t xml:space="preserve"> </w:t>
      </w:r>
      <w:r w:rsidR="00215093" w:rsidRPr="00F059C7">
        <w:rPr>
          <w:i/>
        </w:rPr>
        <w:t>Franței</w:t>
      </w:r>
      <w:bookmarkEnd w:id="20"/>
      <w:r w:rsidR="00215093" w:rsidRPr="00F059C7">
        <w:t>, nr. 39388/05, pct. 73, 6 decembrie 2007) – și modul în care circumstanțele invocate de X depășeau ceea ce ar putea suporta un copil în mod rezonabil (a se vedea</w:t>
      </w:r>
      <w:r w:rsidR="00215093" w:rsidRPr="00F059C7">
        <w:rPr>
          <w:i/>
        </w:rPr>
        <w:t xml:space="preserve"> X împotriva</w:t>
      </w:r>
      <w:r>
        <w:rPr>
          <w:i/>
        </w:rPr>
        <w:t xml:space="preserve"> </w:t>
      </w:r>
      <w:r w:rsidR="00215093" w:rsidRPr="00F059C7">
        <w:rPr>
          <w:i/>
        </w:rPr>
        <w:t>Letoniei,</w:t>
      </w:r>
      <w:r w:rsidR="00215093" w:rsidRPr="00F059C7">
        <w:t xml:space="preserve"> citată anterior, pct. 116).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29</w:t>
        </w:r>
      </w:fldSimple>
      <w:r w:rsidR="00215093" w:rsidRPr="00F059C7">
        <w:t>. Curtea nu poate decât să constate că X a formulat acuzații grave împotriva reclamantului (a se vedea supra, pct. </w:t>
      </w:r>
      <w:r w:rsidR="00F1201D" w:rsidRPr="00F059C7">
        <w:fldChar w:fldCharType="begin"/>
      </w:r>
      <w:r w:rsidR="00F1201D" w:rsidRPr="00F059C7">
        <w:instrText xml:space="preserve">REF paragraph00010 \h \* CharFormat </w:instrText>
      </w:r>
      <w:r w:rsidR="00F1201D" w:rsidRPr="00F059C7">
        <w:fldChar w:fldCharType="separate"/>
      </w:r>
      <w:r w:rsidR="00F1201D" w:rsidRPr="00F059C7">
        <w:t>10</w:t>
      </w:r>
      <w:r w:rsidR="00F1201D" w:rsidRPr="00F059C7">
        <w:fldChar w:fldCharType="end"/>
      </w:r>
      <w:r w:rsidR="00215093" w:rsidRPr="00F059C7">
        <w:t xml:space="preserve"> și </w:t>
      </w:r>
      <w:r w:rsidR="00F1201D" w:rsidRPr="00F059C7">
        <w:fldChar w:fldCharType="begin"/>
      </w:r>
      <w:r w:rsidR="00F1201D" w:rsidRPr="00F059C7">
        <w:instrText xml:space="preserve">REF paragraph00013 \h \* CharFormat </w:instrText>
      </w:r>
      <w:r w:rsidR="00F1201D" w:rsidRPr="00F059C7">
        <w:fldChar w:fldCharType="separate"/>
      </w:r>
      <w:r w:rsidR="00F1201D" w:rsidRPr="00F059C7">
        <w:t>13</w:t>
      </w:r>
      <w:r w:rsidR="00F1201D" w:rsidRPr="00F059C7">
        <w:fldChar w:fldCharType="end"/>
      </w:r>
      <w:r w:rsidR="00215093" w:rsidRPr="00F059C7">
        <w:t xml:space="preserve">, și, </w:t>
      </w:r>
      <w:r w:rsidR="00215093" w:rsidRPr="00F059C7">
        <w:rPr>
          <w:i/>
        </w:rPr>
        <w:t>mutatis mutandis,</w:t>
      </w:r>
      <w:r w:rsidR="00215093" w:rsidRPr="00F059C7">
        <w:t xml:space="preserve"> </w:t>
      </w:r>
      <w:bookmarkStart w:id="21" w:name="_cl41196"/>
      <w:r w:rsidR="00215093" w:rsidRPr="00F059C7">
        <w:rPr>
          <w:i/>
        </w:rPr>
        <w:t>S.N. și M.B.N. împotriva Elveției</w:t>
      </w:r>
      <w:bookmarkEnd w:id="21"/>
      <w:r w:rsidR="00215093" w:rsidRPr="00F059C7">
        <w:t xml:space="preserve">, nr. 12937/20, pct. 13, 23 noiembrie 2021). Acuzațiile respective nu au fost examinate de Tribunal, care pare să nu îi fi adresat întrebări lui X cu privire la acestea (a se vedea, </w:t>
      </w:r>
      <w:r w:rsidR="00215093" w:rsidRPr="00F059C7">
        <w:rPr>
          <w:i/>
        </w:rPr>
        <w:t>mutatis mutandis</w:t>
      </w:r>
      <w:r w:rsidR="00215093" w:rsidRPr="00F059C7">
        <w:t xml:space="preserve">, </w:t>
      </w:r>
      <w:r w:rsidR="00215093" w:rsidRPr="00F059C7">
        <w:rPr>
          <w:i/>
        </w:rPr>
        <w:t xml:space="preserve">Vladimir </w:t>
      </w:r>
      <w:proofErr w:type="spellStart"/>
      <w:r w:rsidR="00215093" w:rsidRPr="00F059C7">
        <w:rPr>
          <w:i/>
        </w:rPr>
        <w:t>Ushakov</w:t>
      </w:r>
      <w:proofErr w:type="spellEnd"/>
      <w:r w:rsidR="00215093" w:rsidRPr="00F059C7">
        <w:rPr>
          <w:i/>
        </w:rPr>
        <w:t xml:space="preserve"> împotriva Rusiei</w:t>
      </w:r>
      <w:r w:rsidR="00215093" w:rsidRPr="00F059C7">
        <w:t xml:space="preserve">, nr. 15122/17, pct. 101-102, 18 iunie 2019). O astfel de omisiune ridică îndoieli cu privire la caracterul echitabil al procesului decizional care a condus la adoptarea de către Tribunal a măsurii contestate și la aspectul dacă acest proces a permis celor implicați să își susțină pe deplin cauza și a asigurat apărarea interesului superior al copilului (a se vedea </w:t>
      </w:r>
      <w:r w:rsidR="00215093" w:rsidRPr="00F059C7">
        <w:rPr>
          <w:i/>
        </w:rPr>
        <w:t>X împotriva Letoniei</w:t>
      </w:r>
      <w:r w:rsidR="00215093" w:rsidRPr="00F059C7">
        <w:t xml:space="preserve">, citată anterior, pct. 102; a se vedea, </w:t>
      </w:r>
      <w:r w:rsidR="00215093" w:rsidRPr="00F059C7">
        <w:rPr>
          <w:i/>
        </w:rPr>
        <w:t>mutatis mutandis</w:t>
      </w:r>
      <w:r w:rsidR="00215093" w:rsidRPr="00F059C7">
        <w:t xml:space="preserve">, </w:t>
      </w:r>
      <w:bookmarkStart w:id="22" w:name="_cl28862THECOURTSASSESSMENT"/>
      <w:r w:rsidR="00215093" w:rsidRPr="00F059C7">
        <w:rPr>
          <w:i/>
        </w:rPr>
        <w:t>Karrer împotriva României</w:t>
      </w:r>
      <w:bookmarkEnd w:id="22"/>
      <w:r w:rsidR="00215093" w:rsidRPr="00F059C7">
        <w:t xml:space="preserve">, nr. 16965/10, pct. 44-49, 21 februarie 2012; și, cu titlu informativ, </w:t>
      </w:r>
      <w:r w:rsidR="00215093" w:rsidRPr="00F059C7">
        <w:rPr>
          <w:i/>
        </w:rPr>
        <w:t>O.C.I. și alții împotriva României</w:t>
      </w:r>
      <w:r w:rsidR="00215093" w:rsidRPr="00F059C7">
        <w:t xml:space="preserve"> [Comitet], nr. 49450/17, pct. 40</w:t>
      </w:r>
      <w:r w:rsidR="00215093" w:rsidRPr="00F059C7">
        <w:noBreakHyphen/>
        <w:t xml:space="preserve">42, 21 mai 2019). Curtea reiterează că o motivare suficient de detaliată permite Curții să efectueze supravegherea la nivel european care i-a fost încredințată (a se vedea </w:t>
      </w:r>
      <w:bookmarkStart w:id="23" w:name="_cl31895THECOURTSASSESSMENT"/>
      <w:proofErr w:type="spellStart"/>
      <w:r w:rsidR="00215093" w:rsidRPr="00F059C7">
        <w:rPr>
          <w:i/>
        </w:rPr>
        <w:t>Michnea</w:t>
      </w:r>
      <w:proofErr w:type="spellEnd"/>
      <w:r w:rsidR="00215093" w:rsidRPr="00F059C7">
        <w:rPr>
          <w:i/>
        </w:rPr>
        <w:t xml:space="preserve"> împotriva</w:t>
      </w:r>
      <w:r>
        <w:rPr>
          <w:i/>
        </w:rPr>
        <w:t xml:space="preserve"> </w:t>
      </w:r>
      <w:r w:rsidR="00215093" w:rsidRPr="00F059C7">
        <w:rPr>
          <w:i/>
        </w:rPr>
        <w:t>României</w:t>
      </w:r>
      <w:bookmarkEnd w:id="23"/>
      <w:r w:rsidR="00215093" w:rsidRPr="00F059C7">
        <w:t>, nr. 10395/19, pct. 39, 7 iulie 2020).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30</w:t>
        </w:r>
      </w:fldSimple>
      <w:r w:rsidR="00215093" w:rsidRPr="00F059C7">
        <w:t>. În ceea ce privește excepția de la înapoiere prevăzută la art. 13 alin. 2 din Convenția de la Haga, Curtea nu consideră arbitrară sau nerezonabilă concluzia Tribunalului cu privire la maturitatea lui X (a se vedea supra, pct. </w:t>
      </w:r>
      <w:r w:rsidR="00F1201D" w:rsidRPr="00F059C7">
        <w:fldChar w:fldCharType="begin"/>
      </w:r>
      <w:r w:rsidR="00F1201D" w:rsidRPr="00F059C7">
        <w:instrText xml:space="preserve">REF paragraph00016 \h \* CharFormat </w:instrText>
      </w:r>
      <w:r w:rsidR="00F1201D" w:rsidRPr="00F059C7">
        <w:fldChar w:fldCharType="separate"/>
      </w:r>
      <w:r w:rsidR="00F1201D" w:rsidRPr="00F059C7">
        <w:t>16</w:t>
      </w:r>
      <w:r w:rsidR="00F1201D" w:rsidRPr="00F059C7">
        <w:fldChar w:fldCharType="end"/>
      </w:r>
      <w:r w:rsidR="00215093" w:rsidRPr="00F059C7">
        <w:t xml:space="preserve">, și, </w:t>
      </w:r>
      <w:r w:rsidR="00215093" w:rsidRPr="00F059C7">
        <w:rPr>
          <w:i/>
        </w:rPr>
        <w:t>mutatis mutandis</w:t>
      </w:r>
      <w:r w:rsidR="00215093" w:rsidRPr="00F059C7">
        <w:t xml:space="preserve">, </w:t>
      </w:r>
      <w:r w:rsidR="00215093" w:rsidRPr="00F059C7">
        <w:rPr>
          <w:i/>
        </w:rPr>
        <w:t>S.N. și M.B.N. împotriva</w:t>
      </w:r>
      <w:r>
        <w:rPr>
          <w:i/>
        </w:rPr>
        <w:t xml:space="preserve"> </w:t>
      </w:r>
      <w:r w:rsidR="00215093" w:rsidRPr="00F059C7">
        <w:rPr>
          <w:i/>
        </w:rPr>
        <w:t>Elveției</w:t>
      </w:r>
      <w:r w:rsidR="00215093" w:rsidRPr="00F059C7">
        <w:t xml:space="preserve">, citată anterior, pct. 113-115). Curtea admite, de asemenea, că opinia unui copil poate reprezenta o excepție separată, în temeiul Convenției de la Haga, care, în sine, poate sprijini exercitarea puterii discreționare de a refuza dispunerea înapoierii (a se vedea </w:t>
      </w:r>
      <w:r w:rsidR="00215093" w:rsidRPr="00F059C7">
        <w:rPr>
          <w:i/>
        </w:rPr>
        <w:t>Blaga împotriva</w:t>
      </w:r>
      <w:r>
        <w:rPr>
          <w:i/>
        </w:rPr>
        <w:t xml:space="preserve"> </w:t>
      </w:r>
      <w:r w:rsidR="00215093" w:rsidRPr="00F059C7">
        <w:rPr>
          <w:i/>
        </w:rPr>
        <w:t>României</w:t>
      </w:r>
      <w:r w:rsidR="00215093" w:rsidRPr="00F059C7">
        <w:t xml:space="preserve">, nr. 54443/10, pct. 78 și 80, 1 iulie 2014). Cu toate acestea, în prezenta cauză, nu există niciun indiciu că Tribunalul a examinat pe fond excepția ridicată de X sau că a analizat motivele invocate de aceasta și, în plus, singura explicație a Tribunalului referitoare la modul în care excepția ridicată de X justifica exercitarea puterii sale discreționare de a refuza înapoierea, în temeiul art. 13 alin. 2 din Convenția de la Haga, a fost afirmația potrivit căreia erau îndeplinite criteriile pentru luarea în considerare a opiniilor lui X (a se vedea, </w:t>
      </w:r>
      <w:r w:rsidR="00215093" w:rsidRPr="00F059C7">
        <w:rPr>
          <w:i/>
        </w:rPr>
        <w:t xml:space="preserve">a </w:t>
      </w:r>
      <w:proofErr w:type="spellStart"/>
      <w:r w:rsidR="00215093" w:rsidRPr="00F059C7">
        <w:rPr>
          <w:i/>
        </w:rPr>
        <w:t>contrario</w:t>
      </w:r>
      <w:proofErr w:type="spellEnd"/>
      <w:r w:rsidR="00215093" w:rsidRPr="00F059C7">
        <w:t xml:space="preserve">, </w:t>
      </w:r>
      <w:bookmarkStart w:id="24" w:name="_cl34889THECOURTSASSESSMENT"/>
      <w:proofErr w:type="spellStart"/>
      <w:r w:rsidR="00215093" w:rsidRPr="00F059C7">
        <w:rPr>
          <w:i/>
        </w:rPr>
        <w:t>Raw</w:t>
      </w:r>
      <w:proofErr w:type="spellEnd"/>
      <w:r w:rsidR="00215093" w:rsidRPr="00F059C7">
        <w:rPr>
          <w:i/>
        </w:rPr>
        <w:t xml:space="preserve"> și alții împotriva Franței</w:t>
      </w:r>
      <w:bookmarkEnd w:id="24"/>
      <w:r w:rsidR="00215093" w:rsidRPr="00F059C7">
        <w:t xml:space="preserve">, nr. 10131/11, pct. 19, 23 și 94, 7 martie 2013; </w:t>
      </w:r>
      <w:bookmarkStart w:id="25" w:name="_cl35246THECOURTSASSESSMENT"/>
      <w:proofErr w:type="spellStart"/>
      <w:r w:rsidR="00215093" w:rsidRPr="00F059C7">
        <w:rPr>
          <w:i/>
        </w:rPr>
        <w:t>Rouiller</w:t>
      </w:r>
      <w:proofErr w:type="spellEnd"/>
      <w:r w:rsidR="00215093" w:rsidRPr="00F059C7">
        <w:rPr>
          <w:i/>
        </w:rPr>
        <w:t xml:space="preserve"> împotriva</w:t>
      </w:r>
      <w:r>
        <w:rPr>
          <w:i/>
        </w:rPr>
        <w:t xml:space="preserve"> </w:t>
      </w:r>
      <w:r w:rsidR="00215093" w:rsidRPr="00F059C7">
        <w:rPr>
          <w:i/>
        </w:rPr>
        <w:lastRenderedPageBreak/>
        <w:t>Elveției</w:t>
      </w:r>
      <w:bookmarkEnd w:id="25"/>
      <w:r w:rsidR="00215093" w:rsidRPr="00F059C7">
        <w:t xml:space="preserve">, nr. 3592/08, pct. 73, 22 iulie 2014; și </w:t>
      </w:r>
      <w:proofErr w:type="spellStart"/>
      <w:r w:rsidR="00215093" w:rsidRPr="00F059C7">
        <w:rPr>
          <w:i/>
        </w:rPr>
        <w:t>Gajtani</w:t>
      </w:r>
      <w:proofErr w:type="spellEnd"/>
      <w:r w:rsidR="00215093" w:rsidRPr="00F059C7">
        <w:rPr>
          <w:i/>
        </w:rPr>
        <w:t xml:space="preserve"> împotriva</w:t>
      </w:r>
      <w:r>
        <w:rPr>
          <w:i/>
        </w:rPr>
        <w:t xml:space="preserve"> </w:t>
      </w:r>
      <w:r w:rsidR="00215093" w:rsidRPr="00F059C7">
        <w:rPr>
          <w:i/>
        </w:rPr>
        <w:t>Elveției</w:t>
      </w:r>
      <w:r w:rsidR="00215093" w:rsidRPr="00F059C7">
        <w:t>, nr. 43730/07, pct. 107</w:t>
      </w:r>
      <w:r w:rsidR="00215093" w:rsidRPr="00F059C7">
        <w:noBreakHyphen/>
        <w:t>110, 9 septembrie 2014). Procedând astfel, Tribunalul nu a demonstrat că a pus în balanță dreptul reclamantului la respectarea vieții sale de familie și celelalte interese concurente din cadrul procedurii</w:t>
      </w:r>
      <w:bookmarkEnd w:id="18"/>
      <w:r w:rsidR="00215093" w:rsidRPr="00F059C7">
        <w:t>.</w:t>
      </w:r>
    </w:p>
    <w:p w:rsidR="00A33FB9" w:rsidRPr="00F059C7" w:rsidRDefault="00CD33DA" w:rsidP="00CD33DA">
      <w:pPr>
        <w:pStyle w:val="JuPara"/>
      </w:pPr>
      <w:r w:rsidRPr="00F059C7">
        <w:fldChar w:fldCharType="begin"/>
      </w:r>
      <w:r w:rsidR="00F1201D" w:rsidRPr="00F059C7">
        <w:instrText xml:space="preserve"> SEQ level0 \*arabic \* MERGEFORMAT </w:instrText>
      </w:r>
      <w:r w:rsidRPr="00F059C7">
        <w:fldChar w:fldCharType="separate"/>
      </w:r>
      <w:r w:rsidRPr="00F059C7">
        <w:t>31</w:t>
      </w:r>
      <w:r w:rsidRPr="00F059C7">
        <w:fldChar w:fldCharType="end"/>
      </w:r>
      <w:r w:rsidRPr="00F059C7">
        <w:t>. În ceea ce privește durata procedurii, Curtea observă că ambele proceduri au durat aproximativ 15 luni (a se vedea supra, pct. </w:t>
      </w:r>
      <w:r w:rsidR="00F1201D" w:rsidRPr="00F059C7">
        <w:fldChar w:fldCharType="begin"/>
      </w:r>
      <w:r w:rsidR="00F1201D" w:rsidRPr="00F059C7">
        <w:instrText xml:space="preserve">REF paragraph00005 \h \* CharFormat </w:instrText>
      </w:r>
      <w:r w:rsidR="00F1201D" w:rsidRPr="00F059C7">
        <w:fldChar w:fldCharType="separate"/>
      </w:r>
      <w:r w:rsidRPr="00F059C7">
        <w:t>5</w:t>
      </w:r>
      <w:r w:rsidR="00F1201D" w:rsidRPr="00F059C7">
        <w:fldChar w:fldCharType="end"/>
      </w:r>
      <w:r w:rsidRPr="00F059C7">
        <w:t xml:space="preserve"> și </w:t>
      </w:r>
      <w:r w:rsidR="00F1201D" w:rsidRPr="00F059C7">
        <w:fldChar w:fldCharType="begin"/>
      </w:r>
      <w:r w:rsidR="00F1201D" w:rsidRPr="00F059C7">
        <w:instrText xml:space="preserve">REF paragraph00017 \h \* CharFormat </w:instrText>
      </w:r>
      <w:r w:rsidR="00F1201D" w:rsidRPr="00F059C7">
        <w:fldChar w:fldCharType="separate"/>
      </w:r>
      <w:r w:rsidRPr="00F059C7">
        <w:t>17</w:t>
      </w:r>
      <w:r w:rsidR="00F1201D" w:rsidRPr="00F059C7">
        <w:fldChar w:fldCharType="end"/>
      </w:r>
      <w:r w:rsidRPr="00F059C7">
        <w:t xml:space="preserve">). O astfel de întârziere este dificil de conciliat cu obligația de a soluționa rapid cererile de înapoiere (a se vedea </w:t>
      </w:r>
      <w:bookmarkStart w:id="26" w:name="_cl34698THECOURTSASSESSMENT"/>
      <w:r w:rsidRPr="00F059C7">
        <w:rPr>
          <w:i/>
        </w:rPr>
        <w:t>R.S. împotriva Poloniei</w:t>
      </w:r>
      <w:bookmarkEnd w:id="26"/>
      <w:r w:rsidRPr="00F059C7">
        <w:t xml:space="preserve">, nr. 63777/09, pct. 70, 21 iulie 2015; </w:t>
      </w:r>
      <w:r w:rsidRPr="00F059C7">
        <w:rPr>
          <w:i/>
        </w:rPr>
        <w:t>Ferrari împotriva României</w:t>
      </w:r>
      <w:r w:rsidRPr="00F059C7">
        <w:t xml:space="preserve">, nr. 1714/10, pct. 54, 28 aprilie 2015; și </w:t>
      </w:r>
      <w:r w:rsidRPr="00F059C7">
        <w:rPr>
          <w:i/>
        </w:rPr>
        <w:t>Iosub Caras împotriva României</w:t>
      </w:r>
      <w:r w:rsidRPr="00F059C7">
        <w:t>, nr. 7198/04, pct. 38, 27 iulie 2006). Guvernul nu a oferit o explicație satisfăcătoare pentru această întârziere.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32</w:t>
        </w:r>
      </w:fldSimple>
      <w:r w:rsidR="00215093" w:rsidRPr="00F059C7">
        <w:t>. Având în vedere considerațiile de mai sus, Curtea concluzionează că procedura internă nu a îndeplinit cerințele procedurale inerente art. 8 din Convenție.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33</w:t>
        </w:r>
      </w:fldSimple>
      <w:r w:rsidR="00215093" w:rsidRPr="00F059C7">
        <w:t>. Curtea observă că, între timp, X a împlinit vârsta majoratului (a se vedea supra, pct. </w:t>
      </w:r>
      <w:r w:rsidR="00F1201D" w:rsidRPr="00F059C7">
        <w:fldChar w:fldCharType="begin"/>
      </w:r>
      <w:r w:rsidR="00F1201D" w:rsidRPr="00F059C7">
        <w:instrText xml:space="preserve">REF paragraph00002 \h \* CharFormat </w:instrText>
      </w:r>
      <w:r w:rsidR="00F1201D" w:rsidRPr="00F059C7">
        <w:fldChar w:fldCharType="separate"/>
      </w:r>
      <w:r w:rsidR="00F1201D" w:rsidRPr="00F059C7">
        <w:t>2</w:t>
      </w:r>
      <w:r w:rsidR="00F1201D" w:rsidRPr="00F059C7">
        <w:fldChar w:fldCharType="end"/>
      </w:r>
      <w:r w:rsidR="00215093" w:rsidRPr="00F059C7">
        <w:t xml:space="preserve">). Prin urmare, nu există niciun temei pentru ca prezenta hotărâre să fie interpretată în sensul că obligă statul pârât să ia măsuri pentru a dispune întoarcerea lui X în Elveția (a se vedea, </w:t>
      </w:r>
      <w:r w:rsidR="00215093" w:rsidRPr="00F059C7">
        <w:rPr>
          <w:i/>
        </w:rPr>
        <w:t>mutatis mutandis,</w:t>
      </w:r>
      <w:r w:rsidR="00215093" w:rsidRPr="00F059C7">
        <w:t xml:space="preserve"> </w:t>
      </w:r>
      <w:r w:rsidR="00215093" w:rsidRPr="00F059C7">
        <w:rPr>
          <w:i/>
        </w:rPr>
        <w:t>R.S. împotriva Poloniei</w:t>
      </w:r>
      <w:r w:rsidR="00215093" w:rsidRPr="00F059C7">
        <w:t>, citată anterior, pct. 74, 21 iulie 2015).</w:t>
      </w:r>
    </w:p>
    <w:p w:rsidR="00A33FB9" w:rsidRPr="00F059C7" w:rsidRDefault="00F1201D" w:rsidP="00CD33DA">
      <w:pPr>
        <w:pStyle w:val="JuHHead"/>
      </w:pPr>
      <w:r w:rsidRPr="00F059C7">
        <w:t>CU PRIVIRE LA APLICAREA ART. 41 DIN CONVENȚIE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34</w:t>
        </w:r>
      </w:fldSimple>
      <w:r w:rsidR="00215093" w:rsidRPr="00F059C7">
        <w:t>. Reclamantul a solicitat 12 000 de euro (EUR) cu titlu de despăgubire pentru prejudiciul moral și 4 000 EUR pentru cheltuielile de judecată ocazionate de procedura în fața Curții.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35</w:t>
        </w:r>
      </w:fldSimple>
      <w:r w:rsidR="00215093" w:rsidRPr="00F059C7">
        <w:t>. Guvernul a contestat pretenția reclamantului și a susținut că, în cazul în care Curtea ar constata o încălcare, aceasta ar trebui să constituie, în sine, o reparație echitabilă. În cazul în care Curtea consideră oportun să acorde despăgubiri pentru prejudiciul moral, cuantumul acestora ar trebui să fie conform cu jurisprudența Curții.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36</w:t>
        </w:r>
      </w:fldSimple>
      <w:r w:rsidR="00215093" w:rsidRPr="00F059C7">
        <w:t>. Având în vedere natura încălcării constatate și pronunțându-se în echitate, Curtea acordă reclamantului 7 000 EUR cu titlu de despăgubire pentru prejudiciul moral, plus orice sumă ce poate fi datorată cu titlu de impozit.</w:t>
      </w:r>
    </w:p>
    <w:p w:rsidR="00A33FB9" w:rsidRPr="00F059C7" w:rsidRDefault="00F059C7" w:rsidP="00CD33DA">
      <w:pPr>
        <w:pStyle w:val="JuPara"/>
      </w:pPr>
      <w:fldSimple w:instr=" SEQ level0 \*arabic \* MERGEFORMAT ">
        <w:r w:rsidR="00F1201D" w:rsidRPr="00F059C7">
          <w:t>37</w:t>
        </w:r>
      </w:fldSimple>
      <w:r w:rsidR="00215093" w:rsidRPr="00F059C7">
        <w:t>. Ținând seama de documentele de care dispune, Curtea consideră că este rezonabil să acorde suma de 4 000 EUR pentru cheltuielile de judecată ocazionate de procedura în fața Curții, plus orice sumă ce poate fi datorată de reclamant cu titlu de impozit.</w:t>
      </w:r>
    </w:p>
    <w:p w:rsidR="00A33FB9" w:rsidRPr="00F059C7" w:rsidRDefault="00F1201D" w:rsidP="00CD33DA">
      <w:pPr>
        <w:pStyle w:val="JuHHead"/>
      </w:pPr>
      <w:r w:rsidRPr="00F059C7">
        <w:t>PENTRU ACESTE MOTIVE, CURTEA, ÎN UNANIMITATE,</w:t>
      </w:r>
    </w:p>
    <w:p w:rsidR="00A33FB9" w:rsidRPr="00F059C7" w:rsidRDefault="00F1201D" w:rsidP="00CD33DA">
      <w:pPr>
        <w:pStyle w:val="JuList"/>
        <w:numPr>
          <w:ilvl w:val="0"/>
          <w:numId w:val="2"/>
        </w:numPr>
      </w:pPr>
      <w:r w:rsidRPr="00F059C7">
        <w:rPr>
          <w:i/>
        </w:rPr>
        <w:t>declară</w:t>
      </w:r>
      <w:r w:rsidRPr="00F059C7">
        <w:t xml:space="preserve"> cererea admisibilă.</w:t>
      </w:r>
    </w:p>
    <w:p w:rsidR="00A33FB9" w:rsidRPr="00F059C7" w:rsidRDefault="00F1201D" w:rsidP="00CD33DA">
      <w:pPr>
        <w:pStyle w:val="JuList"/>
        <w:numPr>
          <w:ilvl w:val="0"/>
          <w:numId w:val="2"/>
        </w:numPr>
      </w:pPr>
      <w:r w:rsidRPr="00F059C7">
        <w:rPr>
          <w:i/>
          <w:iCs/>
        </w:rPr>
        <w:t>hotărăște</w:t>
      </w:r>
      <w:r w:rsidRPr="00F059C7">
        <w:t xml:space="preserve"> că a fost încălcat art. 8 din Convenție;</w:t>
      </w:r>
    </w:p>
    <w:p w:rsidR="00A33FB9" w:rsidRPr="00F059C7" w:rsidRDefault="00F1201D" w:rsidP="00CD33DA">
      <w:pPr>
        <w:pStyle w:val="JuList"/>
        <w:numPr>
          <w:ilvl w:val="0"/>
          <w:numId w:val="2"/>
        </w:numPr>
      </w:pPr>
      <w:r w:rsidRPr="00F059C7">
        <w:rPr>
          <w:i/>
          <w:iCs/>
        </w:rPr>
        <w:t>hotărăște</w:t>
      </w:r>
    </w:p>
    <w:p w:rsidR="00A33FB9" w:rsidRPr="00F059C7" w:rsidRDefault="00F1201D" w:rsidP="00CD33DA">
      <w:pPr>
        <w:pStyle w:val="JuLista"/>
        <w:numPr>
          <w:ilvl w:val="1"/>
          <w:numId w:val="1"/>
        </w:numPr>
      </w:pPr>
      <w:r w:rsidRPr="00F059C7">
        <w:t>că statul pârât trebuie să plătească reclamantului, în termen de trei luni, următoarele sume, care trebuie convertite în moneda națională a statului pârât la rata de schimb aplicabilă la data plății:</w:t>
      </w:r>
    </w:p>
    <w:p w:rsidR="00A33FB9" w:rsidRPr="00F059C7" w:rsidRDefault="00F1201D" w:rsidP="00CD33DA">
      <w:pPr>
        <w:pStyle w:val="JuListi"/>
        <w:numPr>
          <w:ilvl w:val="2"/>
          <w:numId w:val="1"/>
        </w:numPr>
      </w:pPr>
      <w:r w:rsidRPr="00F059C7">
        <w:t>7 000 EUR (șapte mii de euro), cu titlu de despăgubire pentru prejudiciul moral, plus orice sumă ce poate fi datorată cu titlu de impozit;</w:t>
      </w:r>
    </w:p>
    <w:p w:rsidR="00A33FB9" w:rsidRPr="00F059C7" w:rsidRDefault="00F1201D" w:rsidP="00CD33DA">
      <w:pPr>
        <w:pStyle w:val="JuListi"/>
        <w:numPr>
          <w:ilvl w:val="2"/>
          <w:numId w:val="1"/>
        </w:numPr>
      </w:pPr>
      <w:r w:rsidRPr="00F059C7">
        <w:t>4 000 EUR (patru mii de euro), pentru cheltuielile de judecată, plus orice sumă ce poate fi datorată de reclamant cu titlu de impozit;</w:t>
      </w:r>
    </w:p>
    <w:p w:rsidR="00A33FB9" w:rsidRPr="00F059C7" w:rsidRDefault="00F1201D" w:rsidP="00CD33DA">
      <w:pPr>
        <w:pStyle w:val="JuLista"/>
        <w:numPr>
          <w:ilvl w:val="1"/>
          <w:numId w:val="1"/>
        </w:numPr>
      </w:pPr>
      <w:r w:rsidRPr="00F059C7">
        <w:lastRenderedPageBreak/>
        <w:t>că, de la expirarea termenului menționat și până la efectuarea plății, această sumă trebuie majorată cu o dobândă simplă, la o rată egală cu rata dobânzii facilității de împrumut marginal practicată de Banca Centrală Europeană, aplicabilă pe parcursul acestei perioade și majorată cu trei puncte procentuale.</w:t>
      </w:r>
    </w:p>
    <w:p w:rsidR="004D0EC7" w:rsidRPr="00F059C7" w:rsidRDefault="00F1201D" w:rsidP="00CD33DA">
      <w:pPr>
        <w:pStyle w:val="JuList"/>
      </w:pPr>
      <w:r w:rsidRPr="00F059C7">
        <w:rPr>
          <w:i/>
        </w:rPr>
        <w:t xml:space="preserve">respinge </w:t>
      </w:r>
      <w:r w:rsidRPr="00F059C7">
        <w:t>cererea de acordare a unei reparații echitabile pentru celelalte capete de cerere.</w:t>
      </w:r>
    </w:p>
    <w:p w:rsidR="008E3A08" w:rsidRPr="00F059C7" w:rsidRDefault="00F1201D" w:rsidP="00CD33DA">
      <w:pPr>
        <w:pStyle w:val="JuParaLast"/>
      </w:pPr>
      <w:r w:rsidRPr="00F059C7">
        <w:t>Redactată în limba engleză, apoi comunicată în scris, la 24 martie 2026, în temeiul art. 77 § 2 și § 3 din Regulamentul Curții.</w:t>
      </w:r>
    </w:p>
    <w:p w:rsidR="007E79A4" w:rsidRPr="00F059C7" w:rsidRDefault="00F1201D" w:rsidP="00CD33DA">
      <w:pPr>
        <w:pStyle w:val="JuSigned"/>
      </w:pPr>
      <w:r w:rsidRPr="00F059C7">
        <w:tab/>
        <w:t>Valentin Nicolescu</w:t>
      </w:r>
      <w:r w:rsidRPr="00F059C7">
        <w:tab/>
      </w:r>
      <w:proofErr w:type="spellStart"/>
      <w:r w:rsidRPr="00F059C7">
        <w:t>Faris</w:t>
      </w:r>
      <w:proofErr w:type="spellEnd"/>
      <w:r w:rsidRPr="00F059C7">
        <w:t xml:space="preserve"> </w:t>
      </w:r>
      <w:proofErr w:type="spellStart"/>
      <w:r w:rsidRPr="00F059C7">
        <w:t>Vehabović</w:t>
      </w:r>
      <w:proofErr w:type="spellEnd"/>
      <w:r w:rsidRPr="00F059C7">
        <w:br/>
      </w:r>
      <w:r w:rsidRPr="00F059C7">
        <w:tab/>
        <w:t>Grefier adjunct interimar de secție</w:t>
      </w:r>
      <w:r w:rsidRPr="00F059C7">
        <w:tab/>
        <w:t>Președinte</w:t>
      </w:r>
    </w:p>
    <w:sectPr w:rsidR="007E79A4" w:rsidRPr="00F059C7" w:rsidSect="00F059C7">
      <w:headerReference w:type="even" r:id="rId12"/>
      <w:headerReference w:type="default" r:id="rId13"/>
      <w:footerReference w:type="even" r:id="rId14"/>
      <w:footerReference w:type="default" r:id="rId15"/>
      <w:footnotePr>
        <w:numRestart w:val="eachSect"/>
      </w:footnotePr>
      <w:pgSz w:w="11906" w:h="16838" w:code="9"/>
      <w:pgMar w:top="1134" w:right="1134" w:bottom="1134" w:left="1701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1B0" w:rsidRDefault="007F41B0">
      <w:r>
        <w:separator/>
      </w:r>
    </w:p>
  </w:endnote>
  <w:endnote w:type="continuationSeparator" w:id="0">
    <w:p w:rsidR="007F41B0" w:rsidRDefault="007F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FB9" w:rsidRPr="00150BFA" w:rsidRDefault="00F1201D" w:rsidP="0020718E">
    <w:pPr>
      <w:jc w:val="center"/>
    </w:pPr>
    <w:r>
      <w:rPr>
        <w:noProof/>
        <w:lang w:eastAsia="ro-RO"/>
      </w:rPr>
      <w:drawing>
        <wp:inline distT="0" distB="0" distL="0" distR="0">
          <wp:extent cx="771525" cy="619125"/>
          <wp:effectExtent l="0" t="0" r="9525" b="9525"/>
          <wp:docPr id="2113495992" name="Picture 2113495992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495992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10D" w:rsidRPr="00A33FB9" w:rsidRDefault="0098410D" w:rsidP="00AF12C5">
    <w:pPr>
      <w:pStyle w:val="Footer0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FB9" w:rsidRPr="00150BFA" w:rsidRDefault="00F1201D" w:rsidP="0020718E">
    <w:pPr>
      <w:jc w:val="center"/>
    </w:pPr>
    <w:r>
      <w:rPr>
        <w:noProof/>
        <w:lang w:eastAsia="ro-RO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7A6F" w:rsidRPr="00A33FB9" w:rsidRDefault="009E7A6F" w:rsidP="009E7A6F">
    <w:pPr>
      <w:pStyle w:val="Footer0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BA" w:rsidRDefault="00F1201D" w:rsidP="009A115C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05A51">
      <w:rPr>
        <w:noProof/>
      </w:rPr>
      <w:t>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BA" w:rsidRPr="000B7195" w:rsidRDefault="00F1201D" w:rsidP="007D3701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05A5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1B0" w:rsidRDefault="007F41B0">
      <w:r>
        <w:separator/>
      </w:r>
    </w:p>
  </w:footnote>
  <w:footnote w:type="continuationSeparator" w:id="0">
    <w:p w:rsidR="007F41B0" w:rsidRDefault="007F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FB9" w:rsidRPr="00A45145" w:rsidRDefault="00F1201D" w:rsidP="00A45145">
    <w:pPr>
      <w:jc w:val="center"/>
    </w:pPr>
    <w:r>
      <w:rPr>
        <w:noProof/>
        <w:lang w:eastAsia="ro-RO"/>
      </w:rPr>
      <w:drawing>
        <wp:inline distT="0" distB="0" distL="0" distR="0">
          <wp:extent cx="2962275" cy="1219200"/>
          <wp:effectExtent l="0" t="0" r="9525" b="0"/>
          <wp:docPr id="1839458899" name="Picture 1839458899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458899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10D" w:rsidRPr="00A33FB9" w:rsidRDefault="0098410D" w:rsidP="00B14793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A4" w:rsidRPr="00C226D1" w:rsidRDefault="00A87CA4" w:rsidP="00A87CA4">
    <w:pPr>
      <w:jc w:val="right"/>
      <w:rPr>
        <w:i/>
        <w:noProof/>
      </w:rPr>
    </w:pPr>
    <w:r>
      <w:rPr>
        <w:i/>
      </w:rPr>
      <w:t>Tradus și revizuit de IER (https://ier.gov.ro/)</w:t>
    </w:r>
  </w:p>
  <w:p w:rsidR="00A87CA4" w:rsidRDefault="00A87CA4" w:rsidP="00A45145">
    <w:pPr>
      <w:jc w:val="center"/>
      <w:rPr>
        <w:noProof/>
        <w:lang w:eastAsia="ro-RO"/>
      </w:rPr>
    </w:pPr>
  </w:p>
  <w:p w:rsidR="00405A51" w:rsidRDefault="00405A51" w:rsidP="00A45145">
    <w:pPr>
      <w:jc w:val="center"/>
      <w:rPr>
        <w:noProof/>
        <w:lang w:eastAsia="ro-RO"/>
      </w:rPr>
    </w:pPr>
  </w:p>
  <w:p w:rsidR="00A33FB9" w:rsidRPr="00A45145" w:rsidRDefault="00F1201D" w:rsidP="00A45145">
    <w:pPr>
      <w:jc w:val="center"/>
    </w:pPr>
    <w:r>
      <w:rPr>
        <w:noProof/>
        <w:lang w:eastAsia="ro-RO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10D" w:rsidRPr="00A33FB9" w:rsidRDefault="0098410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BA" w:rsidRDefault="00F1201D" w:rsidP="004D0EC7">
    <w:pPr>
      <w:pStyle w:val="JuHeader"/>
    </w:pPr>
    <w:r>
      <w:t>HOTĂRÂREA BADEA ÎMPOTRIVA ROMÂNIEI</w:t>
    </w:r>
  </w:p>
  <w:p w:rsidR="00F059C7" w:rsidRDefault="00F059C7" w:rsidP="004D0EC7">
    <w:pPr>
      <w:pStyle w:val="JuHeader"/>
    </w:pPr>
  </w:p>
  <w:p w:rsidR="00F059C7" w:rsidRPr="004D0EC7" w:rsidRDefault="00F059C7" w:rsidP="004D0EC7">
    <w:pPr>
      <w:pStyle w:val="Ju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BA" w:rsidRDefault="00F1201D" w:rsidP="007D3701">
    <w:pPr>
      <w:pStyle w:val="JuHeader"/>
    </w:pPr>
    <w:r>
      <w:t>HOTĂRÂREA BADEA ÎMPOTRIVA ROMÂNIEI</w:t>
    </w:r>
  </w:p>
  <w:p w:rsidR="00F059C7" w:rsidRDefault="00F059C7" w:rsidP="007D3701">
    <w:pPr>
      <w:pStyle w:val="JuHeader"/>
    </w:pPr>
  </w:p>
  <w:p w:rsidR="00F059C7" w:rsidRPr="00882CD5" w:rsidRDefault="00F059C7" w:rsidP="007D3701">
    <w:pPr>
      <w:pStyle w:val="Ju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13482B14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D0CD61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9300E3D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9FC836C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B25265B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4C92D5D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D1FEBC2A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4A8F83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74E48A6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12"/>
  </w:num>
  <w:num w:numId="5">
    <w:abstractNumId w:val="11"/>
  </w:num>
  <w:num w:numId="6">
    <w:abstractNumId w:val="17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3"/>
  </w:num>
  <w:num w:numId="18">
    <w:abstractNumId w:val="16"/>
  </w:num>
  <w:num w:numId="19">
    <w:abstractNumId w:val="15"/>
  </w:num>
  <w:num w:numId="20">
    <w:abstractNumId w:val="16"/>
  </w:num>
  <w:num w:numId="21">
    <w:abstractNumId w:val="10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A33FB9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3103"/>
    <w:rsid w:val="0002592F"/>
    <w:rsid w:val="00031428"/>
    <w:rsid w:val="00034987"/>
    <w:rsid w:val="00041560"/>
    <w:rsid w:val="000602DF"/>
    <w:rsid w:val="00060BC1"/>
    <w:rsid w:val="00061B05"/>
    <w:rsid w:val="000632D5"/>
    <w:rsid w:val="000644EE"/>
    <w:rsid w:val="000712E3"/>
    <w:rsid w:val="0007780A"/>
    <w:rsid w:val="00085457"/>
    <w:rsid w:val="000925AD"/>
    <w:rsid w:val="00096FE1"/>
    <w:rsid w:val="00097A62"/>
    <w:rsid w:val="000A0D3B"/>
    <w:rsid w:val="000A24EB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07B0"/>
    <w:rsid w:val="00101505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61B6"/>
    <w:rsid w:val="00162A12"/>
    <w:rsid w:val="00166530"/>
    <w:rsid w:val="00170027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15093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45A6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478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4A55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4941"/>
    <w:rsid w:val="003C5714"/>
    <w:rsid w:val="003C6B9F"/>
    <w:rsid w:val="003C6E2A"/>
    <w:rsid w:val="003D0299"/>
    <w:rsid w:val="003D08E9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05A51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217B"/>
    <w:rsid w:val="004A3201"/>
    <w:rsid w:val="004A7044"/>
    <w:rsid w:val="004B013B"/>
    <w:rsid w:val="004B112B"/>
    <w:rsid w:val="004B444E"/>
    <w:rsid w:val="004B6C8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60E2"/>
    <w:rsid w:val="004D7E45"/>
    <w:rsid w:val="004E7C4A"/>
    <w:rsid w:val="004F10AF"/>
    <w:rsid w:val="004F11A4"/>
    <w:rsid w:val="004F2389"/>
    <w:rsid w:val="004F304D"/>
    <w:rsid w:val="004F4290"/>
    <w:rsid w:val="004F61BE"/>
    <w:rsid w:val="004F66B1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46A2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7310E"/>
    <w:rsid w:val="005879A2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3B7"/>
    <w:rsid w:val="005B4425"/>
    <w:rsid w:val="005B4B94"/>
    <w:rsid w:val="005C1C84"/>
    <w:rsid w:val="005C2C62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611C80"/>
    <w:rsid w:val="006145E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B7AB7"/>
    <w:rsid w:val="006C23D4"/>
    <w:rsid w:val="006C7BB0"/>
    <w:rsid w:val="006D3237"/>
    <w:rsid w:val="006E2E37"/>
    <w:rsid w:val="006E3CF1"/>
    <w:rsid w:val="006E68A3"/>
    <w:rsid w:val="006E7E80"/>
    <w:rsid w:val="006F1C2D"/>
    <w:rsid w:val="006F48CA"/>
    <w:rsid w:val="006F5D47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7F41B0"/>
    <w:rsid w:val="00802C64"/>
    <w:rsid w:val="00805E52"/>
    <w:rsid w:val="008061D0"/>
    <w:rsid w:val="00810B38"/>
    <w:rsid w:val="008204C7"/>
    <w:rsid w:val="00820992"/>
    <w:rsid w:val="00821515"/>
    <w:rsid w:val="00823602"/>
    <w:rsid w:val="008255F5"/>
    <w:rsid w:val="00826890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576"/>
    <w:rsid w:val="00893E73"/>
    <w:rsid w:val="008B02DC"/>
    <w:rsid w:val="008B092C"/>
    <w:rsid w:val="008B57CE"/>
    <w:rsid w:val="008C26DE"/>
    <w:rsid w:val="008D1668"/>
    <w:rsid w:val="008D21A5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639A6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273E5"/>
    <w:rsid w:val="00A308CE"/>
    <w:rsid w:val="00A30C29"/>
    <w:rsid w:val="00A33FB9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87CA4"/>
    <w:rsid w:val="00A90BCD"/>
    <w:rsid w:val="00A92625"/>
    <w:rsid w:val="00A94C20"/>
    <w:rsid w:val="00A95D81"/>
    <w:rsid w:val="00AA1B09"/>
    <w:rsid w:val="00AA227F"/>
    <w:rsid w:val="00AA3BC7"/>
    <w:rsid w:val="00AA3E3F"/>
    <w:rsid w:val="00AA754A"/>
    <w:rsid w:val="00AB099E"/>
    <w:rsid w:val="00AB4328"/>
    <w:rsid w:val="00AC38DE"/>
    <w:rsid w:val="00AC4CD4"/>
    <w:rsid w:val="00AE0A2E"/>
    <w:rsid w:val="00AE354C"/>
    <w:rsid w:val="00AF12C5"/>
    <w:rsid w:val="00AF4B07"/>
    <w:rsid w:val="00AF6186"/>
    <w:rsid w:val="00AF7A3A"/>
    <w:rsid w:val="00B02587"/>
    <w:rsid w:val="00B049D1"/>
    <w:rsid w:val="00B14198"/>
    <w:rsid w:val="00B14793"/>
    <w:rsid w:val="00B153A0"/>
    <w:rsid w:val="00B160DB"/>
    <w:rsid w:val="00B20836"/>
    <w:rsid w:val="00B235BB"/>
    <w:rsid w:val="00B27A44"/>
    <w:rsid w:val="00B30BBF"/>
    <w:rsid w:val="00B33C03"/>
    <w:rsid w:val="00B432D0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29A2"/>
    <w:rsid w:val="00C15547"/>
    <w:rsid w:val="00C1672D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6184F"/>
    <w:rsid w:val="00C71313"/>
    <w:rsid w:val="00C71424"/>
    <w:rsid w:val="00C74810"/>
    <w:rsid w:val="00C90D68"/>
    <w:rsid w:val="00C939FE"/>
    <w:rsid w:val="00CA4BDA"/>
    <w:rsid w:val="00CB13E3"/>
    <w:rsid w:val="00CB1F66"/>
    <w:rsid w:val="00CB232C"/>
    <w:rsid w:val="00CB2951"/>
    <w:rsid w:val="00CB29F2"/>
    <w:rsid w:val="00CB4277"/>
    <w:rsid w:val="00CC5067"/>
    <w:rsid w:val="00CD11D3"/>
    <w:rsid w:val="00CD282B"/>
    <w:rsid w:val="00CD33DA"/>
    <w:rsid w:val="00CD43FD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06BE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13A7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59C7"/>
    <w:rsid w:val="00F07C1E"/>
    <w:rsid w:val="00F105DB"/>
    <w:rsid w:val="00F1201D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60B85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639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0569D"/>
  <w15:docId w15:val="{D4A1B8C7-6A1E-48B3-990D-7183FEBD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446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446A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446A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446A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446A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446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446A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446A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446A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446A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44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446A2"/>
    <w:rPr>
      <w:rFonts w:ascii="Tahoma" w:hAnsi="Tahoma" w:cs="Tahoma"/>
      <w:sz w:val="16"/>
      <w:szCs w:val="16"/>
      <w:lang w:val="ro-RO"/>
    </w:rPr>
  </w:style>
  <w:style w:type="character" w:styleId="BookTitle">
    <w:name w:val="Book Title"/>
    <w:uiPriority w:val="98"/>
    <w:semiHidden/>
    <w:qFormat/>
    <w:rsid w:val="005446A2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5446A2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5446A2"/>
    <w:pPr>
      <w:jc w:val="both"/>
    </w:pPr>
  </w:style>
  <w:style w:type="character" w:styleId="Strong">
    <w:name w:val="Strong"/>
    <w:uiPriority w:val="98"/>
    <w:semiHidden/>
    <w:qFormat/>
    <w:rsid w:val="005446A2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446A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446A2"/>
    <w:rPr>
      <w:sz w:val="24"/>
      <w:szCs w:val="24"/>
      <w:lang w:val="ro-RO"/>
    </w:rPr>
  </w:style>
  <w:style w:type="paragraph" w:customStyle="1" w:styleId="JuQuot">
    <w:name w:val="Ju_Quot"/>
    <w:aliases w:val="_Quote"/>
    <w:basedOn w:val="NormalJustified"/>
    <w:uiPriority w:val="20"/>
    <w:qFormat/>
    <w:rsid w:val="005446A2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5446A2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5446A2"/>
    <w:pPr>
      <w:numPr>
        <w:numId w:val="22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5446A2"/>
    <w:pPr>
      <w:numPr>
        <w:ilvl w:val="1"/>
        <w:numId w:val="22"/>
      </w:numPr>
    </w:pPr>
  </w:style>
  <w:style w:type="paragraph" w:customStyle="1" w:styleId="JuListi">
    <w:name w:val="Ju_List_i"/>
    <w:aliases w:val="_List_3"/>
    <w:basedOn w:val="NormalJustified"/>
    <w:uiPriority w:val="23"/>
    <w:rsid w:val="005446A2"/>
    <w:pPr>
      <w:numPr>
        <w:ilvl w:val="2"/>
        <w:numId w:val="22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446A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446A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446A2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446A2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5446A2"/>
    <w:pPr>
      <w:numPr>
        <w:numId w:val="16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446A2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5446A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446A2"/>
    <w:rPr>
      <w:rFonts w:asciiTheme="majorHAnsi" w:eastAsiaTheme="majorEastAsia" w:hAnsiTheme="majorHAnsi" w:cstheme="majorBidi"/>
      <w:spacing w:val="5"/>
      <w:sz w:val="52"/>
      <w:szCs w:val="52"/>
      <w:lang w:val="ro-RO" w:bidi="en-US"/>
    </w:rPr>
  </w:style>
  <w:style w:type="numbering" w:customStyle="1" w:styleId="ECHRA1StyleList">
    <w:name w:val="ECHR_A1_Style_List"/>
    <w:basedOn w:val="NoList"/>
    <w:uiPriority w:val="99"/>
    <w:rsid w:val="005446A2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5446A2"/>
    <w:pPr>
      <w:numPr>
        <w:numId w:val="18"/>
      </w:numPr>
    </w:pPr>
  </w:style>
  <w:style w:type="table" w:customStyle="1" w:styleId="ECHRTable2019">
    <w:name w:val="ECHR_Table_2019"/>
    <w:basedOn w:val="TableNormal"/>
    <w:uiPriority w:val="99"/>
    <w:rsid w:val="005446A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446A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446A2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446A2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446A2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uiPriority w:val="98"/>
    <w:semiHidden/>
    <w:rsid w:val="005446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5446A2"/>
    <w:rPr>
      <w:sz w:val="24"/>
      <w:szCs w:val="24"/>
      <w:lang w:val="ro-RO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446A2"/>
    <w:rPr>
      <w:rFonts w:asciiTheme="majorHAnsi" w:eastAsiaTheme="majorEastAsia" w:hAnsiTheme="majorHAnsi" w:cstheme="majorBidi"/>
      <w:b/>
      <w:bCs/>
      <w:color w:val="333333"/>
      <w:sz w:val="28"/>
      <w:szCs w:val="28"/>
      <w:lang w:val="ro-RO"/>
    </w:rPr>
  </w:style>
  <w:style w:type="paragraph" w:customStyle="1" w:styleId="JuHa0">
    <w:name w:val="Ju_H_a"/>
    <w:aliases w:val="_Head_5"/>
    <w:basedOn w:val="Heading5"/>
    <w:next w:val="JuPara"/>
    <w:uiPriority w:val="17"/>
    <w:rsid w:val="005446A2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5446A2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446A2"/>
    <w:rPr>
      <w:rFonts w:asciiTheme="majorHAnsi" w:eastAsiaTheme="majorEastAsia" w:hAnsiTheme="majorHAnsi" w:cstheme="majorBidi"/>
      <w:b/>
      <w:bCs/>
      <w:color w:val="4D4D4D"/>
      <w:sz w:val="26"/>
      <w:szCs w:val="26"/>
      <w:lang w:val="ro-RO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446A2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5446A2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446A2"/>
    <w:rPr>
      <w:rFonts w:asciiTheme="majorHAnsi" w:eastAsiaTheme="majorEastAsia" w:hAnsiTheme="majorHAnsi" w:cstheme="majorBidi"/>
      <w:b/>
      <w:bCs/>
      <w:color w:val="5F5F5F"/>
      <w:lang w:val="ro-RO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446A2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5446A2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446A2"/>
    <w:rPr>
      <w:rFonts w:asciiTheme="majorHAnsi" w:eastAsiaTheme="majorEastAsia" w:hAnsiTheme="majorHAnsi" w:cstheme="majorBidi"/>
      <w:b/>
      <w:bCs/>
      <w:i/>
      <w:iCs/>
      <w:color w:val="777777"/>
      <w:lang w:val="ro-RO"/>
    </w:rPr>
  </w:style>
  <w:style w:type="paragraph" w:customStyle="1" w:styleId="JuInitialled">
    <w:name w:val="Ju_Initialled"/>
    <w:aliases w:val="_Right"/>
    <w:basedOn w:val="Normal"/>
    <w:uiPriority w:val="30"/>
    <w:qFormat/>
    <w:rsid w:val="005446A2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5446A2"/>
    <w:rPr>
      <w:rFonts w:asciiTheme="majorHAnsi" w:eastAsiaTheme="majorEastAsia" w:hAnsiTheme="majorHAnsi" w:cstheme="majorBidi"/>
      <w:b/>
      <w:bCs/>
      <w:color w:val="808080"/>
      <w:lang w:val="ro-RO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5446A2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5446A2"/>
    <w:rPr>
      <w:caps w:val="0"/>
      <w:smallCaps/>
    </w:rPr>
  </w:style>
  <w:style w:type="character" w:styleId="SubtleEmphasis">
    <w:name w:val="Subtle Emphasis"/>
    <w:uiPriority w:val="98"/>
    <w:semiHidden/>
    <w:qFormat/>
    <w:rsid w:val="005446A2"/>
    <w:rPr>
      <w:i/>
      <w:iCs/>
    </w:rPr>
  </w:style>
  <w:style w:type="table" w:customStyle="1" w:styleId="ECHRTable">
    <w:name w:val="ECHR_Table"/>
    <w:basedOn w:val="TableNormal"/>
    <w:rsid w:val="005446A2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446A2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5446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98"/>
    <w:semiHidden/>
    <w:rsid w:val="005446A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uiPriority w:val="98"/>
    <w:semiHidden/>
    <w:rsid w:val="005446A2"/>
    <w:rPr>
      <w:sz w:val="24"/>
      <w:szCs w:val="24"/>
      <w:lang w:val="ro-RO"/>
    </w:rPr>
  </w:style>
  <w:style w:type="character" w:styleId="FootnoteReference">
    <w:name w:val="footnote reference"/>
    <w:basedOn w:val="DefaultParagraphFont"/>
    <w:uiPriority w:val="98"/>
    <w:semiHidden/>
    <w:rsid w:val="005446A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446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446A2"/>
    <w:rPr>
      <w:sz w:val="20"/>
      <w:szCs w:val="20"/>
      <w:lang w:val="ro-RO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446A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ro-RO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446A2"/>
    <w:rPr>
      <w:rFonts w:asciiTheme="majorHAnsi" w:eastAsiaTheme="majorEastAsia" w:hAnsiTheme="majorHAnsi" w:cstheme="majorBidi"/>
      <w:i/>
      <w:iCs/>
      <w:lang w:val="ro-RO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446A2"/>
    <w:rPr>
      <w:rFonts w:asciiTheme="majorHAnsi" w:eastAsiaTheme="majorEastAsia" w:hAnsiTheme="majorHAnsi" w:cstheme="majorBidi"/>
      <w:sz w:val="20"/>
      <w:szCs w:val="20"/>
      <w:lang w:val="ro-RO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446A2"/>
    <w:rPr>
      <w:rFonts w:asciiTheme="majorHAnsi" w:eastAsiaTheme="majorEastAsia" w:hAnsiTheme="majorHAnsi" w:cstheme="majorBidi"/>
      <w:i/>
      <w:iCs/>
      <w:spacing w:val="5"/>
      <w:sz w:val="20"/>
      <w:szCs w:val="20"/>
      <w:lang w:val="ro-RO" w:bidi="en-US"/>
    </w:rPr>
  </w:style>
  <w:style w:type="character" w:styleId="Hyperlink">
    <w:name w:val="Hyperlink"/>
    <w:basedOn w:val="DefaultParagraphFont"/>
    <w:uiPriority w:val="98"/>
    <w:semiHidden/>
    <w:rsid w:val="005446A2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5446A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446A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446A2"/>
    <w:rPr>
      <w:b/>
      <w:bCs/>
      <w:i/>
      <w:iCs/>
      <w:sz w:val="24"/>
      <w:szCs w:val="24"/>
      <w:lang w:val="ro-RO" w:bidi="en-US"/>
    </w:rPr>
  </w:style>
  <w:style w:type="character" w:styleId="IntenseReference">
    <w:name w:val="Intense Reference"/>
    <w:uiPriority w:val="98"/>
    <w:semiHidden/>
    <w:qFormat/>
    <w:rsid w:val="005446A2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446A2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446A2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5446A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5446A2"/>
    <w:rPr>
      <w:i/>
      <w:iCs/>
      <w:sz w:val="24"/>
      <w:szCs w:val="24"/>
      <w:lang w:val="ro-RO" w:bidi="en-US"/>
    </w:rPr>
  </w:style>
  <w:style w:type="character" w:styleId="SubtleReference">
    <w:name w:val="Subtle Reference"/>
    <w:uiPriority w:val="98"/>
    <w:semiHidden/>
    <w:qFormat/>
    <w:rsid w:val="005446A2"/>
    <w:rPr>
      <w:smallCaps/>
    </w:rPr>
  </w:style>
  <w:style w:type="table" w:styleId="TableGrid">
    <w:name w:val="Table Grid"/>
    <w:basedOn w:val="TableNormal"/>
    <w:uiPriority w:val="59"/>
    <w:semiHidden/>
    <w:rsid w:val="005446A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446A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446A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446A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446A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446A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446A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446A2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446A2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446A2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446A2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446A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446A2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446A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446A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446A2"/>
    <w:rPr>
      <w:rFonts w:asciiTheme="majorHAnsi" w:eastAsiaTheme="majorEastAsia" w:hAnsiTheme="majorHAnsi" w:cstheme="majorBidi"/>
      <w:i/>
      <w:iCs/>
      <w:spacing w:val="13"/>
      <w:sz w:val="24"/>
      <w:szCs w:val="24"/>
      <w:lang w:val="ro-RO" w:bidi="en-US"/>
    </w:rPr>
  </w:style>
  <w:style w:type="numbering" w:styleId="111111">
    <w:name w:val="Outline List 2"/>
    <w:basedOn w:val="NoList"/>
    <w:uiPriority w:val="99"/>
    <w:semiHidden/>
    <w:unhideWhenUsed/>
    <w:rsid w:val="005446A2"/>
    <w:pPr>
      <w:numPr>
        <w:numId w:val="3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5446A2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5446A2"/>
    <w:pPr>
      <w:numPr>
        <w:numId w:val="4"/>
      </w:numPr>
    </w:pPr>
  </w:style>
  <w:style w:type="table" w:customStyle="1" w:styleId="ECHRTableSimpleBox">
    <w:name w:val="ECHR_Table_Simple_Box"/>
    <w:basedOn w:val="TableNormal"/>
    <w:uiPriority w:val="99"/>
    <w:rsid w:val="005446A2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446A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5446A2"/>
    <w:pPr>
      <w:numPr>
        <w:numId w:val="5"/>
      </w:numPr>
    </w:pPr>
  </w:style>
  <w:style w:type="table" w:customStyle="1" w:styleId="ECHRTableForInternalUse">
    <w:name w:val="ECHR_Table_For_Internal_Use"/>
    <w:basedOn w:val="TableNormal"/>
    <w:uiPriority w:val="99"/>
    <w:rsid w:val="005446A2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446A2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5446A2"/>
  </w:style>
  <w:style w:type="paragraph" w:styleId="BlockText">
    <w:name w:val="Block Text"/>
    <w:basedOn w:val="Normal"/>
    <w:uiPriority w:val="98"/>
    <w:semiHidden/>
    <w:rsid w:val="005446A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5446A2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5446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5446A2"/>
    <w:rPr>
      <w:sz w:val="24"/>
      <w:szCs w:val="24"/>
      <w:lang w:val="ro-RO"/>
    </w:rPr>
  </w:style>
  <w:style w:type="table" w:customStyle="1" w:styleId="ECHRTableOddBanded">
    <w:name w:val="ECHR_Table_Odd_Banded"/>
    <w:basedOn w:val="TableNormal"/>
    <w:uiPriority w:val="99"/>
    <w:rsid w:val="005446A2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5446A2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5446A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5446A2"/>
    <w:pPr>
      <w:ind w:firstLine="284"/>
    </w:pPr>
    <w:rPr>
      <w:b/>
    </w:rPr>
  </w:style>
  <w:style w:type="character" w:styleId="PageNumber">
    <w:name w:val="page number"/>
    <w:uiPriority w:val="98"/>
    <w:semiHidden/>
    <w:rsid w:val="005446A2"/>
    <w:rPr>
      <w:sz w:val="18"/>
    </w:rPr>
  </w:style>
  <w:style w:type="paragraph" w:styleId="ListBullet">
    <w:name w:val="List Bullet"/>
    <w:basedOn w:val="Normal"/>
    <w:uiPriority w:val="98"/>
    <w:semiHidden/>
    <w:rsid w:val="005446A2"/>
    <w:pPr>
      <w:numPr>
        <w:numId w:val="6"/>
      </w:numPr>
    </w:pPr>
  </w:style>
  <w:style w:type="paragraph" w:styleId="ListBullet3">
    <w:name w:val="List Bullet 3"/>
    <w:basedOn w:val="Normal"/>
    <w:uiPriority w:val="98"/>
    <w:semiHidden/>
    <w:rsid w:val="005446A2"/>
    <w:pPr>
      <w:numPr>
        <w:numId w:val="8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446A2"/>
    <w:rPr>
      <w:sz w:val="24"/>
      <w:szCs w:val="24"/>
      <w:lang w:val="ro-RO"/>
    </w:rPr>
  </w:style>
  <w:style w:type="paragraph" w:styleId="BodyText3">
    <w:name w:val="Body Text 3"/>
    <w:basedOn w:val="Normal"/>
    <w:link w:val="BodyText3Char"/>
    <w:uiPriority w:val="98"/>
    <w:semiHidden/>
    <w:rsid w:val="005446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446A2"/>
    <w:rPr>
      <w:sz w:val="16"/>
      <w:szCs w:val="16"/>
      <w:lang w:val="ro-RO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446A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446A2"/>
    <w:rPr>
      <w:sz w:val="24"/>
      <w:szCs w:val="24"/>
      <w:lang w:val="ro-RO"/>
    </w:rPr>
  </w:style>
  <w:style w:type="paragraph" w:styleId="BodyTextIndent">
    <w:name w:val="Body Text Indent"/>
    <w:basedOn w:val="Normal"/>
    <w:link w:val="BodyTextIndentChar"/>
    <w:uiPriority w:val="98"/>
    <w:semiHidden/>
    <w:rsid w:val="005446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446A2"/>
    <w:rPr>
      <w:sz w:val="24"/>
      <w:szCs w:val="24"/>
      <w:lang w:val="ro-RO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446A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446A2"/>
    <w:rPr>
      <w:sz w:val="24"/>
      <w:szCs w:val="24"/>
      <w:lang w:val="ro-RO"/>
    </w:rPr>
  </w:style>
  <w:style w:type="paragraph" w:styleId="BodyTextIndent2">
    <w:name w:val="Body Text Indent 2"/>
    <w:basedOn w:val="Normal"/>
    <w:link w:val="BodyTextIndent2Char"/>
    <w:uiPriority w:val="98"/>
    <w:semiHidden/>
    <w:rsid w:val="005446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446A2"/>
    <w:rPr>
      <w:sz w:val="24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8"/>
    <w:semiHidden/>
    <w:rsid w:val="005446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446A2"/>
    <w:rPr>
      <w:sz w:val="16"/>
      <w:szCs w:val="16"/>
      <w:lang w:val="ro-RO"/>
    </w:rPr>
  </w:style>
  <w:style w:type="paragraph" w:styleId="Caption">
    <w:name w:val="caption"/>
    <w:basedOn w:val="Normal"/>
    <w:next w:val="Normal"/>
    <w:uiPriority w:val="98"/>
    <w:semiHidden/>
    <w:qFormat/>
    <w:rsid w:val="005446A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446A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446A2"/>
    <w:rPr>
      <w:sz w:val="24"/>
      <w:szCs w:val="24"/>
      <w:lang w:val="ro-RO"/>
    </w:rPr>
  </w:style>
  <w:style w:type="table" w:styleId="ColorfulGrid">
    <w:name w:val="Colorful Grid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446A2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44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446A2"/>
    <w:rPr>
      <w:b/>
      <w:bCs/>
      <w:sz w:val="20"/>
      <w:szCs w:val="20"/>
      <w:lang w:val="ro-RO"/>
    </w:rPr>
  </w:style>
  <w:style w:type="table" w:styleId="DarkList">
    <w:name w:val="Dark List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446A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446A2"/>
  </w:style>
  <w:style w:type="character" w:customStyle="1" w:styleId="DateChar">
    <w:name w:val="Date Char"/>
    <w:basedOn w:val="DefaultParagraphFont"/>
    <w:link w:val="Date"/>
    <w:uiPriority w:val="98"/>
    <w:semiHidden/>
    <w:rsid w:val="005446A2"/>
    <w:rPr>
      <w:sz w:val="24"/>
      <w:szCs w:val="24"/>
      <w:lang w:val="ro-RO"/>
    </w:rPr>
  </w:style>
  <w:style w:type="paragraph" w:styleId="DocumentMap">
    <w:name w:val="Document Map"/>
    <w:basedOn w:val="Normal"/>
    <w:link w:val="DocumentMapChar"/>
    <w:uiPriority w:val="98"/>
    <w:semiHidden/>
    <w:rsid w:val="005446A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446A2"/>
    <w:rPr>
      <w:rFonts w:ascii="Tahoma" w:hAnsi="Tahoma" w:cs="Tahoma"/>
      <w:sz w:val="16"/>
      <w:szCs w:val="16"/>
      <w:lang w:val="ro-RO"/>
    </w:rPr>
  </w:style>
  <w:style w:type="paragraph" w:styleId="E-mailSignature">
    <w:name w:val="E-mail Signature"/>
    <w:basedOn w:val="Normal"/>
    <w:link w:val="E-mailSignatureChar"/>
    <w:uiPriority w:val="98"/>
    <w:semiHidden/>
    <w:rsid w:val="005446A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446A2"/>
    <w:rPr>
      <w:sz w:val="24"/>
      <w:szCs w:val="24"/>
      <w:lang w:val="ro-RO"/>
    </w:rPr>
  </w:style>
  <w:style w:type="character" w:styleId="EndnoteReference">
    <w:name w:val="endnote reference"/>
    <w:basedOn w:val="DefaultParagraphFont"/>
    <w:uiPriority w:val="98"/>
    <w:semiHidden/>
    <w:rsid w:val="005446A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446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446A2"/>
    <w:rPr>
      <w:sz w:val="20"/>
      <w:szCs w:val="20"/>
      <w:lang w:val="ro-RO"/>
    </w:rPr>
  </w:style>
  <w:style w:type="paragraph" w:styleId="EnvelopeAddress">
    <w:name w:val="envelope address"/>
    <w:basedOn w:val="Normal"/>
    <w:uiPriority w:val="98"/>
    <w:semiHidden/>
    <w:rsid w:val="005446A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446A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446A2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446A2"/>
  </w:style>
  <w:style w:type="paragraph" w:styleId="HTMLAddress">
    <w:name w:val="HTML Address"/>
    <w:basedOn w:val="Normal"/>
    <w:link w:val="HTMLAddressChar"/>
    <w:uiPriority w:val="98"/>
    <w:semiHidden/>
    <w:rsid w:val="005446A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446A2"/>
    <w:rPr>
      <w:i/>
      <w:iCs/>
      <w:sz w:val="24"/>
      <w:szCs w:val="24"/>
      <w:lang w:val="ro-RO"/>
    </w:rPr>
  </w:style>
  <w:style w:type="character" w:styleId="HTMLCite">
    <w:name w:val="HTML Cite"/>
    <w:basedOn w:val="DefaultParagraphFont"/>
    <w:uiPriority w:val="98"/>
    <w:semiHidden/>
    <w:rsid w:val="005446A2"/>
    <w:rPr>
      <w:i/>
      <w:iCs/>
    </w:rPr>
  </w:style>
  <w:style w:type="character" w:styleId="HTMLCode">
    <w:name w:val="HTML Code"/>
    <w:basedOn w:val="DefaultParagraphFont"/>
    <w:uiPriority w:val="98"/>
    <w:semiHidden/>
    <w:rsid w:val="005446A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446A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446A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446A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446A2"/>
    <w:rPr>
      <w:rFonts w:ascii="Consolas" w:hAnsi="Consolas" w:cs="Consolas"/>
      <w:sz w:val="20"/>
      <w:szCs w:val="20"/>
      <w:lang w:val="ro-RO"/>
    </w:rPr>
  </w:style>
  <w:style w:type="character" w:styleId="HTMLSample">
    <w:name w:val="HTML Sample"/>
    <w:basedOn w:val="DefaultParagraphFont"/>
    <w:uiPriority w:val="98"/>
    <w:semiHidden/>
    <w:rsid w:val="005446A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446A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446A2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446A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446A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446A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446A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446A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446A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446A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446A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446A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446A2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446A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446A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446A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446A2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446A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446A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446A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446A2"/>
  </w:style>
  <w:style w:type="paragraph" w:styleId="List">
    <w:name w:val="List"/>
    <w:basedOn w:val="Normal"/>
    <w:uiPriority w:val="98"/>
    <w:semiHidden/>
    <w:rsid w:val="005446A2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5446A2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5446A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446A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446A2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446A2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446A2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8"/>
    <w:semiHidden/>
    <w:rsid w:val="005446A2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8"/>
    <w:semiHidden/>
    <w:rsid w:val="005446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446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446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446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446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446A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8"/>
    <w:semiHidden/>
    <w:rsid w:val="005446A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8"/>
    <w:semiHidden/>
    <w:rsid w:val="005446A2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8"/>
    <w:semiHidden/>
    <w:rsid w:val="005446A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8"/>
    <w:semiHidden/>
    <w:rsid w:val="005446A2"/>
    <w:pPr>
      <w:numPr>
        <w:numId w:val="15"/>
      </w:numPr>
      <w:contextualSpacing/>
    </w:pPr>
  </w:style>
  <w:style w:type="paragraph" w:styleId="MacroText">
    <w:name w:val="macro"/>
    <w:link w:val="MacroTextChar"/>
    <w:uiPriority w:val="98"/>
    <w:semiHidden/>
    <w:rsid w:val="005446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5446A2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446A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446A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446A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446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446A2"/>
    <w:rPr>
      <w:rFonts w:asciiTheme="majorHAnsi" w:eastAsiaTheme="majorEastAsia" w:hAnsiTheme="majorHAnsi" w:cstheme="majorBidi"/>
      <w:sz w:val="24"/>
      <w:szCs w:val="24"/>
      <w:shd w:val="pct20" w:color="auto" w:fill="auto"/>
      <w:lang w:val="ro-RO"/>
    </w:rPr>
  </w:style>
  <w:style w:type="paragraph" w:styleId="NormalWeb">
    <w:name w:val="Normal (Web)"/>
    <w:basedOn w:val="Normal"/>
    <w:uiPriority w:val="98"/>
    <w:semiHidden/>
    <w:rsid w:val="005446A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446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5446A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446A2"/>
    <w:rPr>
      <w:sz w:val="24"/>
      <w:szCs w:val="24"/>
      <w:lang w:val="ro-RO"/>
    </w:rPr>
  </w:style>
  <w:style w:type="character" w:styleId="PlaceholderText">
    <w:name w:val="Placeholder Text"/>
    <w:basedOn w:val="DefaultParagraphFont"/>
    <w:uiPriority w:val="98"/>
    <w:semiHidden/>
    <w:rsid w:val="005446A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5446A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446A2"/>
    <w:rPr>
      <w:rFonts w:ascii="Consolas" w:hAnsi="Consolas" w:cs="Consolas"/>
      <w:sz w:val="21"/>
      <w:szCs w:val="21"/>
      <w:lang w:val="ro-RO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446A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446A2"/>
    <w:rPr>
      <w:sz w:val="24"/>
      <w:szCs w:val="24"/>
      <w:lang w:val="ro-RO"/>
    </w:rPr>
  </w:style>
  <w:style w:type="paragraph" w:styleId="Signature">
    <w:name w:val="Signature"/>
    <w:basedOn w:val="Normal"/>
    <w:link w:val="SignatureChar"/>
    <w:uiPriority w:val="98"/>
    <w:semiHidden/>
    <w:rsid w:val="005446A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5446A2"/>
    <w:rPr>
      <w:sz w:val="24"/>
      <w:szCs w:val="24"/>
      <w:lang w:val="ro-RO"/>
    </w:rPr>
  </w:style>
  <w:style w:type="table" w:styleId="Table3Deffects1">
    <w:name w:val="Table 3D effects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446A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446A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446A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446A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446A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446A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446A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446A2"/>
  </w:style>
  <w:style w:type="table" w:styleId="TableProfessional">
    <w:name w:val="Table Professional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446A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446A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446A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446A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446A2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446A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446A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446A2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446A2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446A2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446A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446A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446A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446A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446A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446A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446A2"/>
    <w:rPr>
      <w:rFonts w:ascii="Arial" w:hAnsi="Arial"/>
      <w:i/>
      <w:color w:val="002856"/>
      <w:sz w:val="32"/>
      <w:szCs w:val="24"/>
      <w:lang w:val="ro-RO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446A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446A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446A2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446A2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446A2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446A2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446A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446A2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446A2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446A2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446A2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5446A2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5446A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446A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446A2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446A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446A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446A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446A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446A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446A2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446A2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5446A2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5446A2"/>
    <w:rPr>
      <w:sz w:val="4"/>
    </w:rPr>
  </w:style>
  <w:style w:type="table" w:customStyle="1" w:styleId="ECHRTableGrey">
    <w:name w:val="ECHR_Table_Grey"/>
    <w:basedOn w:val="TableNormal"/>
    <w:uiPriority w:val="99"/>
    <w:rsid w:val="005446A2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46A2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A33FB9"/>
    <w:rPr>
      <w:sz w:val="24"/>
      <w:szCs w:val="24"/>
      <w:lang w:val="ro-RO"/>
    </w:rPr>
  </w:style>
  <w:style w:type="table" w:styleId="GridTable1Light">
    <w:name w:val="Grid Table 1 Light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060BC1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060BC1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060BC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060BC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060BC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060BC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060BC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060BC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060BC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060BC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060BC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060BC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060BC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060BC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060BC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060BC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060BC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060BC1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060BC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060BC1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060BC1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060BC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060BC1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060BC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060BC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060BC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060BC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060BC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060BC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060BC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060BC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060BC1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060BC1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060BC1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060BC1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060BC1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060BC1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060BC1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060BC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060BC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060BC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060BC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060BC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">
    <w:name w:val="Smart Hyperlink"/>
    <w:basedOn w:val="DefaultParagraphFont"/>
    <w:uiPriority w:val="99"/>
    <w:semiHidden/>
    <w:unhideWhenUsed/>
    <w:rsid w:val="00060BC1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060BC1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060BC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137F7-ED44-4098-AF5E-7A40FAFB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3045</Words>
  <Characters>18272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Company/>
  <LinksUpToDate>false</LinksUpToDate>
  <CharactersWithSpaces>21275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lastModifiedBy>Ionela Haralambie</cp:lastModifiedBy>
  <cp:revision>3</cp:revision>
  <dcterms:created xsi:type="dcterms:W3CDTF">2026-03-23T08:16:00Z</dcterms:created>
  <dcterms:modified xsi:type="dcterms:W3CDTF">2026-09-24T07:33:00Z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1863276</vt:lpwstr>
  </property>
  <property fmtid="{D5CDD505-2E9C-101B-9397-08002B2CF9AE}" pid="3" name="cstLanguage">
    <vt:i4>2057</vt:i4>
  </property>
  <property fmtid="{D5CDD505-2E9C-101B-9397-08002B2CF9AE}" pid="4" name="RegisteredNo">
    <vt:lpwstr>24011/23</vt:lpwstr>
  </property>
</Properties>
</file>