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27</w:t>
      </w:r>
    </w:p>
    <w:p>
      <w:pPr>
        <w:pStyle w:val="Normal"/>
        <w:rPr/>
      </w:pPr>
      <w:r>
        <w:rPr/>
        <w:t>Dosar nr. D1</w:t>
      </w:r>
    </w:p>
    <w:p>
      <w:pPr>
        <w:pStyle w:val="Normal"/>
        <w:rPr/>
      </w:pPr>
      <w:r>
        <w:rPr/>
      </w:r>
    </w:p>
    <w:p>
      <w:pPr>
        <w:pStyle w:val="Normal"/>
        <w:jc w:val="center"/>
        <w:rPr/>
      </w:pPr>
      <w:r>
        <w:rPr/>
        <w:t>R O M Â N I A</w:t>
      </w:r>
    </w:p>
    <w:p>
      <w:pPr>
        <w:pStyle w:val="Normal"/>
        <w:jc w:val="center"/>
        <w:rPr/>
      </w:pPr>
      <w:r>
        <w:rPr/>
      </w:r>
    </w:p>
    <w:p>
      <w:pPr>
        <w:pStyle w:val="Normal"/>
        <w:jc w:val="center"/>
        <w:rPr/>
      </w:pPr>
      <w:r>
        <w:rPr/>
        <w:t>CURTEA DE APEL ..</w:t>
      </w:r>
    </w:p>
    <w:p>
      <w:pPr>
        <w:pStyle w:val="Normal"/>
        <w:jc w:val="center"/>
        <w:rPr>
          <w:lang w:val="en-US"/>
        </w:rPr>
      </w:pPr>
      <w:r>
        <w:rPr/>
        <w:t>SECŢIA ...</w:t>
      </w:r>
    </w:p>
    <w:p>
      <w:pPr>
        <w:pStyle w:val="Normal"/>
        <w:rPr/>
      </w:pPr>
      <w:r>
        <w:rPr/>
      </w:r>
    </w:p>
    <w:p>
      <w:pPr>
        <w:pStyle w:val="Normal"/>
        <w:jc w:val="center"/>
        <w:rPr>
          <w:b/>
        </w:rPr>
      </w:pPr>
      <w:bookmarkStart w:name="tip_incheiere" w:id="0"/>
      <w:r>
        <w:rPr>
          <w:b/>
        </w:rPr>
        <w:t>DECIZIE</w:t>
      </w:r>
      <w:bookmarkEnd w:id="0"/>
      <w:r>
        <w:rPr>
          <w:b/>
        </w:rPr>
        <w:t xml:space="preserve"> Nr...</w:t>
      </w:r>
    </w:p>
    <w:p>
      <w:pPr>
        <w:pStyle w:val="Normal"/>
        <w:jc w:val="center"/>
        <w:rPr/>
      </w:pPr>
      <w:r>
        <w:rPr/>
        <w:t>Şedinţa </w:t>
      </w:r>
      <w:bookmarkStart w:name="tip_sedinta" w:id="1"/>
      <w:r>
        <w:rPr/>
        <w:t>publică</w:t>
      </w:r>
      <w:bookmarkEnd w:id="1"/>
      <w:r>
        <w:rPr/>
        <w:t xml:space="preserve"> de la ... </w:t>
      </w:r>
    </w:p>
    <w:p>
      <w:pPr>
        <w:pStyle w:val="Normal"/>
        <w:jc w:val="center"/>
        <w:rPr/>
      </w:pPr>
      <w:r>
        <w:rPr/>
        <w:t>Completul compus din:</w:t>
      </w:r>
    </w:p>
    <w:p>
      <w:pPr>
        <w:pStyle w:val="Normal"/>
        <w:jc w:val="center"/>
        <w:rPr/>
      </w:pPr>
      <w:r>
        <w:rPr/>
        <w:t>PREŞEDINTE A0006</w:t>
      </w:r>
    </w:p>
    <w:p>
      <w:pPr>
        <w:pStyle w:val="Normal"/>
        <w:jc w:val="center"/>
        <w:rPr/>
      </w:pPr>
      <w:r>
        <w:rPr/>
        <w:t>Judecător ...</w:t>
      </w:r>
    </w:p>
    <w:p>
      <w:pPr>
        <w:pStyle w:val="Normal"/>
        <w:jc w:val="center"/>
        <w:rPr/>
      </w:pPr>
      <w:r>
        <w:rPr/>
        <w:t>Judecător ...</w:t>
      </w:r>
    </w:p>
    <w:p>
      <w:pPr>
        <w:pStyle w:val="Normal"/>
        <w:jc w:val="center"/>
        <w:rPr/>
      </w:pPr>
      <w:r>
        <w:rPr/>
        <w:t>Grefier ...</w:t>
      </w:r>
    </w:p>
    <w:p>
      <w:pPr>
        <w:pStyle w:val="Normal"/>
        <w:jc w:val="center"/>
        <w:rPr/>
      </w:pPr>
      <w:r>
        <w:rPr/>
      </w:r>
    </w:p>
    <w:p>
      <w:pPr>
        <w:pStyle w:val="Normal"/>
        <w:ind w:firstLine="708"/>
        <w:jc w:val="both"/>
        <w:rPr/>
      </w:pPr>
      <w:r>
        <w:rPr/>
        <w:t>Pe rol se află soluţionarea recursului formulat de recurentul-reclamant R1 împotriva sentinţei nr. SC1 pronunţată de Tribunalul ... Secţia  ... în dosarul nr. D1, în contradictoriu cu intimata-pârâtă DIRECŢIA GENERALĂ REGIONALĂ A FINANŢELOR  PUBLICE..., având ca obiect drepturi băneşti.</w:t>
      </w:r>
    </w:p>
    <w:p>
      <w:pPr>
        <w:pStyle w:val="Normal"/>
        <w:ind w:firstLine="708"/>
        <w:jc w:val="both"/>
        <w:rPr/>
      </w:pPr>
      <w:r>
        <w:rPr/>
        <w:t xml:space="preserve">La apelul nominal făcut în şedinţa </w:t>
      </w:r>
      <w:bookmarkStart w:name="tip_sedinta_copie_1" w:id="2"/>
      <w:r>
        <w:rPr/>
        <w:t>publică</w:t>
      </w:r>
      <w:bookmarkEnd w:id="2"/>
      <w:r>
        <w:rPr/>
        <w:t xml:space="preserve"> a răspuns recurentul-reclamant, prin avocat  ..., cu împuternicire avocaţială la dosar, lipsă fiind intimata-pârâtă.</w:t>
      </w:r>
    </w:p>
    <w:p>
      <w:pPr>
        <w:pStyle w:val="Normal"/>
        <w:ind w:firstLine="708"/>
        <w:jc w:val="both"/>
        <w:rPr/>
      </w:pPr>
      <w:r>
        <w:rPr/>
        <w:t xml:space="preserve">Procedura de citare este </w:t>
      </w:r>
      <w:bookmarkStart w:name="tip_procedura" w:id="3"/>
      <w:r>
        <w:rPr/>
        <w:t>legal</w:t>
      </w:r>
      <w:bookmarkEnd w:id="3"/>
      <w:r>
        <w:rPr/>
        <w:t xml:space="preserve"> îndeplinită.</w:t>
      </w:r>
    </w:p>
    <w:p>
      <w:pPr>
        <w:pStyle w:val="Normal"/>
        <w:ind w:firstLine="708"/>
        <w:jc w:val="both"/>
        <w:rPr/>
      </w:pPr>
      <w:r>
        <w:rPr/>
        <w:t xml:space="preserve">S-a făcut </w:t>
      </w:r>
      <w:bookmarkStart w:name="tip_doc_despre_cauza" w:id="4"/>
      <w:r>
        <w:rPr/>
        <w:t>referatul</w:t>
      </w:r>
      <w:bookmarkEnd w:id="4"/>
      <w:r>
        <w:rPr/>
        <w:t xml:space="preserve"> cauzei de către </w:t>
      </w:r>
      <w:bookmarkStart w:name="functia_celui_care_f" w:id="5"/>
      <w:r>
        <w:rPr/>
        <w:t>grefier</w:t>
      </w:r>
      <w:bookmarkEnd w:id="5"/>
      <w:r>
        <w:rPr/>
        <w:t xml:space="preserve">ul de şedinţă, </w:t>
      </w:r>
      <w:bookmarkStart w:name="combo_invedereaza" w:id="6"/>
      <w:r>
        <w:rPr/>
        <w:t>care învederează</w:t>
      </w:r>
      <w:bookmarkEnd w:id="6"/>
      <w:r>
        <w:rPr/>
        <w:t xml:space="preserve"> obiectul cauzei şi modalitatea de îndeplinire a procedurii de citare, după care,</w:t>
      </w:r>
    </w:p>
    <w:p>
      <w:pPr>
        <w:pStyle w:val="Normal"/>
        <w:ind w:firstLine="708"/>
        <w:jc w:val="both"/>
        <w:rPr/>
      </w:pPr>
      <w:r>
        <w:rPr/>
        <w:t>Nemaifiind cereri de formulat, sau probe de administrat, Curtea acordă cuvântul asupra recursului.</w:t>
      </w:r>
    </w:p>
    <w:p>
      <w:pPr>
        <w:pStyle w:val="Normal"/>
        <w:ind w:firstLine="708"/>
        <w:jc w:val="both"/>
        <w:rPr/>
      </w:pPr>
      <w:r>
        <w:rPr/>
        <w:t>Recurentul-reclamant, prin avocat  ..., solicită admiterea recursului, casarea sentinţei atacate şi în rejudecare admiterea cererii de chemare în judecată aşa cum a fost formulată. Cu cheltuieli de judecată. Depune dovada achitării onorariului de avocat.</w:t>
      </w:r>
    </w:p>
    <w:p>
      <w:pPr>
        <w:pStyle w:val="Normal"/>
        <w:ind w:firstLine="708"/>
        <w:jc w:val="both"/>
        <w:rPr/>
      </w:pPr>
      <w:r>
        <w:rPr/>
        <w:t>Curtea reţine recursul în pronunţare.</w:t>
      </w:r>
    </w:p>
    <w:p>
      <w:pPr>
        <w:pStyle w:val="Normal"/>
        <w:jc w:val="center"/>
        <w:rPr/>
      </w:pPr>
      <w:r>
        <w:rPr/>
      </w:r>
    </w:p>
    <w:p>
      <w:pPr>
        <w:pStyle w:val="Normal"/>
        <w:jc w:val="center"/>
        <w:rPr/>
      </w:pPr>
      <w:r>
        <w:rPr/>
        <w:t>CURTEA</w:t>
      </w:r>
    </w:p>
    <w:p>
      <w:pPr>
        <w:pStyle w:val="Normal"/>
        <w:jc w:val="center"/>
        <w:rPr/>
      </w:pPr>
      <w:r>
        <w:rPr/>
      </w:r>
    </w:p>
    <w:p>
      <w:pPr>
        <w:pStyle w:val="Normal"/>
        <w:ind w:firstLine="708"/>
        <w:jc w:val="both"/>
        <w:rPr/>
      </w:pPr>
      <w:r>
        <w:rPr/>
        <w:t>Deliberând asupra recursului, constată următoarele:</w:t>
      </w:r>
    </w:p>
    <w:p>
      <w:pPr>
        <w:pStyle w:val="Normal"/>
        <w:ind w:firstLine="708"/>
        <w:jc w:val="both"/>
        <w:rPr/>
      </w:pPr>
      <w:r>
        <w:rPr/>
        <w:t xml:space="preserve">Prin </w:t>
      </w:r>
      <w:r>
        <w:rPr>
          <w:b/>
        </w:rPr>
        <w:t>sentința nr. SC1 pronunţată de Tribunalul ... Secţia  ... în dosarul nr. D1</w:t>
      </w:r>
      <w:r>
        <w:rPr/>
        <w:t xml:space="preserve">, s-a respins acțiunea formulată de reclamantul R1 cu domiciliul ales pentru comunicarea actelor procedurale la avocat ... în  ..., în contradictoriu cu pârâta DIRECȚIA GENERALĂ REGIONALĂ A FINANȚELOR  PUBLICE..., cu sediul în  .... </w:t>
      </w:r>
    </w:p>
    <w:p>
      <w:pPr>
        <w:pStyle w:val="Normal"/>
        <w:ind w:firstLine="708"/>
        <w:jc w:val="both"/>
        <w:rPr>
          <w:b/>
        </w:rPr>
      </w:pPr>
      <w:r>
        <w:rPr/>
        <w:t>Împotriva acestei sentinţe</w:t>
      </w:r>
      <w:r>
        <w:rPr>
          <w:b/>
        </w:rPr>
        <w:t xml:space="preserve">, </w:t>
      </w:r>
      <w:r>
        <w:rPr/>
        <w:t xml:space="preserve">a declarat </w:t>
      </w:r>
      <w:r>
        <w:rPr>
          <w:b/>
        </w:rPr>
        <w:t>recurs</w:t>
      </w:r>
      <w:r>
        <w:rPr/>
        <w:t xml:space="preserve"> reclamantul R1, considerând că</w:t>
      </w:r>
      <w:r>
        <w:rPr>
          <w:b/>
        </w:rPr>
        <w:t xml:space="preserve"> </w:t>
      </w:r>
      <w:r>
        <w:rPr/>
        <w:t>hotărârea recurată a fost pronunțată cu încălcarea normelor de drept material (art. 488 pct. 8 Cod procedura civila).</w:t>
      </w:r>
    </w:p>
    <w:p>
      <w:pPr>
        <w:pStyle w:val="Normal"/>
        <w:ind w:firstLine="708"/>
        <w:jc w:val="both"/>
        <w:rPr/>
      </w:pPr>
      <w:r>
        <w:rPr/>
        <w:t>Reclamantul a solicitat admiterea recursului,  casarea sentinței recurata, şi, în rejudecare, admiterea cererii de chemare in judecata.</w:t>
      </w:r>
    </w:p>
    <w:p>
      <w:pPr>
        <w:pStyle w:val="Normal"/>
        <w:ind w:firstLine="708"/>
        <w:jc w:val="both"/>
        <w:rPr/>
      </w:pPr>
      <w:r>
        <w:rPr/>
        <w:t>In motivare, a susţinut că Tribunalul ... a respins cererea de chemare in judecata, constatând ca din adresa depusa de angajator la dosar, rezulta faptul ca in perioada 01.07.2017-prezent salariul reclamantului nu a ajuns la cel ce trebuie acordat in 2022, fiind calculat conform art. 38 din Legea 153 / 2017 ceea ce a determinat aplicarea Deciziei 82/2018 a ICCJ.</w:t>
      </w:r>
    </w:p>
    <w:p>
      <w:pPr>
        <w:pStyle w:val="Normal"/>
        <w:ind w:firstLine="708"/>
        <w:jc w:val="both"/>
        <w:rPr/>
      </w:pPr>
      <w:r>
        <w:rPr/>
        <w:t>Având în vedere această Decizie în dezlegarea unor chestiuni de drept şi constatând că salariul reclamantului în perioada 01.07.2017-prezent, precum şi adresa angajatorului care confirma că salariul nu a ajuns la cel ce trebuie acordat în 2022, fiind calculate conform art. 38 din Legea nr. 153/2017 a apreciat că în mod corect nu a beneficiat de spor pentru complexitatea muncii şi, mai mult, a arătat că a beneficiat de acesta începând cu 01.01.2019 (diferenţa majorată dintre salariul de bază prevăzut în 2022 şi cel din decembrie 2018, care include şi 15%).</w:t>
      </w:r>
    </w:p>
    <w:p>
      <w:pPr>
        <w:pStyle w:val="Normal"/>
        <w:ind w:firstLine="708"/>
        <w:jc w:val="both"/>
        <w:rPr/>
      </w:pPr>
      <w:r>
        <w:rPr/>
        <w:t>l.Instanța de fond pronunțat o hotărâre nelegala data cu interpretarea greșită a dispozițiilor legale prevăzute de Nota 3 din Anexa VIII , Cap 1, Lit A, Pct 1 din Legea 153/2017 din același act normativ, excepție instituită de legiuitor de la dispozițiile art. 38 alin. (2) lit. a) din lege.</w:t>
      </w:r>
    </w:p>
    <w:p>
      <w:pPr>
        <w:pStyle w:val="Normal"/>
        <w:ind w:firstLine="708"/>
        <w:jc w:val="both"/>
        <w:rPr/>
      </w:pPr>
      <w:r>
        <w:rPr/>
        <w:t>Ceea ce nu a luat în considerare instanța de fond, este faptul că prin cererea de chemare în judecată nu a solicitat obligarea pârâtei la acordarea unor majorări salariale de natura celor prevăzute la art. 38 alin. (3) și (4) din Legea-cadru nr. 153/2017, ci a solicitat obligarea pârâtei la acordarea majorării salariale de 15% reglementată la Nota 3 din Anexa VIII, Cap 1, Lit A, Pct 1 din Legea 153/2017 din același act normativ, excepție instituită de legiuitor de la dispozițiile art. 38 alin. (2) lit. a) din lege.</w:t>
      </w:r>
    </w:p>
    <w:p>
      <w:pPr>
        <w:pStyle w:val="Normal"/>
        <w:ind w:firstLine="708"/>
        <w:jc w:val="both"/>
        <w:rPr/>
      </w:pPr>
      <w:r>
        <w:rPr/>
        <w:t>În ceea ce privește data intrării în vigoare a prevederilor Notei 3 din Anexa VIII , Cap 1, Lit A, Pct 1 din Legea 153/2017, contrar celor reținute de instanța de fond în  considerentele hotărârii recurate, aceasta este data intrării în vigoare a Legii-cadru nr.153/2017, respectiv data de 01.07.2017, în condițiile în care legiuitorul nu a statuat în mod expres faptul că data de la care se acordă majorarea de pentru complexitatea  muncii în cazul funcționarilor publici este o dată ulterioară datei intrării în  vigoare a Legii-cadru nr.153/2017.</w:t>
      </w:r>
    </w:p>
    <w:p>
      <w:pPr>
        <w:pStyle w:val="Normal"/>
        <w:ind w:firstLine="708"/>
        <w:jc w:val="both"/>
        <w:rPr/>
      </w:pPr>
      <w:r>
        <w:rPr/>
        <w:t>Potrivit prevederilor art.78 din Constituția României, referitoare la intrarea în  vigoare a legii, o lege se publică în Monitorul Oficial al României și intră în vigoare la 3 zile de la data publicării sau la o dată ulterioară prevăzută în textul ei. De asemenea, potrivit dispozițiilor art. 12 alin. (l) din Legea nr. 24/2000, legile intră în vigoare la 3 zile de la data publicării în Monitorul Oficial al României, Partea I sau la  o dată ulterioară prevăzută în textul lor.</w:t>
      </w:r>
    </w:p>
    <w:p>
      <w:pPr>
        <w:pStyle w:val="Normal"/>
        <w:ind w:firstLine="708"/>
        <w:jc w:val="both"/>
        <w:rPr/>
      </w:pPr>
      <w:r>
        <w:rPr/>
        <w:t>Majorarea salarială pentru complexitatea muncii este reglementată prin Nota 3 din Anexa VIII, Cap l, Lit A, Pct. 1 din Legea 153/2017, iar în privința acesteia legiuitorul nu a reglementat expres faptul că aceasta s-ar aplica de la o dată ulterioară datei intrării în vigoare a Legii-cadru nr.153/2017.</w:t>
      </w:r>
    </w:p>
    <w:p>
      <w:pPr>
        <w:pStyle w:val="Normal"/>
        <w:ind w:firstLine="708"/>
        <w:jc w:val="both"/>
        <w:rPr/>
      </w:pPr>
      <w:r>
        <w:rPr/>
        <w:t>După cum rezultă din relațiile depuse de ANAF la dosar, nici începând cu data de 01.07.2017 nu i s-a acordat majorarea salariului de bază cu 15% pentru complexitatea muncii, dar nici cu 01.01.2019, nefiind emisa nicio decizie in acest sens.</w:t>
      </w:r>
    </w:p>
    <w:p>
      <w:pPr>
        <w:pStyle w:val="Normal"/>
        <w:ind w:firstLine="708"/>
        <w:jc w:val="both"/>
        <w:rPr/>
      </w:pPr>
      <w:r>
        <w:rPr/>
        <w:t xml:space="preserve">2. Instanța a pronunțat o hotărâre nelegala data cu încălcarea principiului: „specialia generalibus derogant”, a încălcat dispozițiile art 38, alin 6 din Legea 153 / 2017, a interpretat in mod greșit dispozițiile art. 38 alin 1-6 Legea 153/2017. </w:t>
      </w:r>
    </w:p>
    <w:p>
      <w:pPr>
        <w:pStyle w:val="Normal"/>
        <w:ind w:firstLine="708"/>
        <w:jc w:val="both"/>
        <w:rPr/>
      </w:pPr>
      <w:r>
        <w:rPr/>
        <w:t>Astfel, in condițiile în care legiuitorul a statuat că în cazul funcționarilor publici salariul de bază se stabilește la nivelul celui acordat în luna iunie 2017 la care se adaugă o majorare de 15% pentru complexitatea muncii, fără a face alte mențiuni cu privire la data acordării acestei majorări salariale, este indubitabil faptul că acordarea majorării de 15% se aplică odată cu intrarea în vigoare a actului normativ,  respectiv data de 01.07.2017, conform principiului „ubi lex non distinguit nec nos  distinguere debemus”.</w:t>
        <w:tab/>
      </w:r>
    </w:p>
    <w:p>
      <w:pPr>
        <w:pStyle w:val="Normal"/>
        <w:ind w:firstLine="708"/>
        <w:jc w:val="both"/>
        <w:rPr/>
      </w:pPr>
      <w:r>
        <w:rPr/>
        <w:t>In perioada 01.07.2017 - 31.12.2017, legiuitorul a statuat faptul că se mențin în  plată la nivelul acordat pentru luna iunie 2017, cuantumul brut al salariilor de bază  precum și cuantumul sporurilor, indemnizațiilor, compensațiilor, primelor și al celorlalte elemente ale sistemului de salarizare care fac parte, potrivit legii, din salariul brut lunar de care beneficiază personalul plătit din fonduri publice, în măsura în care personalul ocupă aceeași funcţie și își desfăşoară activitatea în aceleași condiții [art. 38 alin. (2) lit. a) din Legea-cadru nr.153/2017].</w:t>
      </w:r>
    </w:p>
    <w:p>
      <w:pPr>
        <w:pStyle w:val="Normal"/>
        <w:ind w:firstLine="708"/>
        <w:jc w:val="both"/>
        <w:rPr/>
      </w:pPr>
      <w:r>
        <w:rPr/>
        <w:t>De la această regulă generală, legiuitorul a înțeles să instituie și unele excepții, una din aceste excepții fiind cea menționată în cuprinsul din Anexa VIII, Cap 1, Lit A, Pct. l  Legea 153/2017.</w:t>
      </w:r>
    </w:p>
    <w:p>
      <w:pPr>
        <w:pStyle w:val="Normal"/>
        <w:ind w:firstLine="708"/>
        <w:jc w:val="both"/>
        <w:rPr/>
      </w:pPr>
      <w:r>
        <w:rPr/>
        <w:t>În conformitate cu cele menționate expres de legiuitor în cuprinsul Notei nr. 3 din anexa VIII, Cap 1, Lit A, Pct 1 din Legea 153/2017):</w:t>
      </w:r>
    </w:p>
    <w:p>
      <w:pPr>
        <w:pStyle w:val="Normal"/>
        <w:ind w:firstLine="708"/>
        <w:jc w:val="both"/>
        <w:rPr/>
      </w:pPr>
      <w:r>
        <w:rPr/>
        <w:t>„</w:t>
      </w:r>
      <w:r>
        <w:rPr/>
        <w:t>Funcționarii publici din cadrul aparatului Ministerului Finanțelor Publice, Ministerul  Muncii și Justiției Sociale, Ministerului Mediului, Ministerului Dezvoltării Regionale, Administrației Publice și Fondurilor Europene, Ministerului Sănătății, Casei Naționale de Asigurări de Sănătate și din instituțiile aflate în subordinea, coordonarea sau sub autoritatea acestora, funcționarii publici din cadrul aparatului Ministerului Apelor și Pădurilor și Ministerului Justiției, precum și funcționarii publici parlamentari din serviciile Parlamentului, cu excepția celor prevăzuți la pct. 2, beneficiază, pentru complexitatea muncii, de o majorare a salariului de bază de 15%”.</w:t>
      </w:r>
    </w:p>
    <w:p>
      <w:pPr>
        <w:pStyle w:val="Normal"/>
        <w:ind w:firstLine="708"/>
        <w:jc w:val="both"/>
        <w:rPr/>
      </w:pPr>
      <w:r>
        <w:rPr/>
        <w:t>Or, în considerarea faptului că pârâta este o instituție publică, este mai presus de orice dubiu faptul că începând cu data de 01.07.2017, stabilirea salariului de bază al funcționarilor publici din cadrul pârâtei, implicit și al reclamantului, trebuia să se realizeze inclusiv prin acordarea majorării de 15% pentru complexitatea muncii.</w:t>
      </w:r>
    </w:p>
    <w:p>
      <w:pPr>
        <w:pStyle w:val="Normal"/>
        <w:ind w:firstLine="708"/>
        <w:jc w:val="both"/>
        <w:rPr/>
      </w:pPr>
      <w:r>
        <w:rPr/>
        <w:t>Dispozițiile art. 38 alin. 6 Legea 153/2017 prevăd faptul ca :„ In situația in care,  începând cu 1 ianuarie 2018, salariile de baza, soldele de funcție/salariile de funcție, indemnizațiile de încadrare sunt mai mari decât cele stabilite potrivit prezentei legi pentru anul 2022 sau devin ulterior mai mari ca urmare a majorărilor salariale reglementate, se acorda cele stabilite pentru anul 2022” reprezintă o derogare de la  aplicarea etapizata a legii prevăzută de art. 38 alin 4 din aceeași lege.</w:t>
      </w:r>
    </w:p>
    <w:p>
      <w:pPr>
        <w:pStyle w:val="Normal"/>
        <w:ind w:firstLine="708"/>
        <w:jc w:val="both"/>
        <w:rPr/>
      </w:pPr>
      <w:r>
        <w:rPr/>
        <w:t>Astfel, salariul de baza al reclamantului la 01.01.2018, fără a se include majorarea de 15 % depășește maximul ( fără 15 %) prevăzut pentru anul 2022, iar salariul la 01.01.2018 in care se include majorarea de 15 % depășește maximul (cu 15%) prevăzut pentru anul 2022. Prin urmare se încadrează in excepția de la art. 38 alin 6 in sensul ca salariul de baza al reclamantului a devenit mai mare decât cel prevăzut pe anul 2022, sau fără 15% atât la data de 01.01.2018 cat si la data de 01.01.2019.</w:t>
      </w:r>
    </w:p>
    <w:p>
      <w:pPr>
        <w:pStyle w:val="Normal"/>
        <w:ind w:firstLine="708"/>
        <w:jc w:val="both"/>
        <w:rPr/>
      </w:pPr>
      <w:r>
        <w:rPr/>
        <w:t>In situația in care art. 38 alin 6 se refera la majorări salariale reglementate, cum este si cea pentru complexitatea muncii, daca s-ar fi calculat majorarea de 15 % la salariul de baza, începând cu 0l.01.2018 sau chiar începând cu 01.01.2019, aceasta ar fi fost de 1019 lei, care adunat cu 8488 lei ar fi dus la un salariu de 9507 lei, mai mare decât cel din 2022 -care este 9425 lei si prin urmare se încadrează in excepție - depășirea maximului, ceea ce înseamnă ca cererea trebuia admisa , cel puțin in parte  fie începând cu 01.01.2018, fie începând cu 0l.2019.</w:t>
      </w:r>
    </w:p>
    <w:p>
      <w:pPr>
        <w:pStyle w:val="Normal"/>
        <w:ind w:firstLine="708"/>
        <w:jc w:val="both"/>
        <w:rPr/>
      </w:pPr>
      <w:r>
        <w:rPr/>
        <w:t>Este adevărat ca art. 38 alin 1 Legea 153/2017 prevede ca se aplica etapizat, dar începând cu 01.07.2017.</w:t>
      </w:r>
    </w:p>
    <w:p>
      <w:pPr>
        <w:pStyle w:val="Normal"/>
        <w:ind w:firstLine="708"/>
        <w:jc w:val="both"/>
        <w:rPr/>
      </w:pPr>
      <w:r>
        <w:rPr/>
        <w:t>Niciunul din articolele 38 alin. l-6 nu prevede faptul ca majorarea salariala pentru complexitatea muncii se aplica cu data de 01.01.2019 si nici ca se aplica etapizat, art. 38 alin 4 referindu-se la diferența dintre salariul stabilit pentru 2022 si cel din decembrie 2018.</w:t>
      </w:r>
    </w:p>
    <w:p>
      <w:pPr>
        <w:pStyle w:val="Normal"/>
        <w:ind w:firstLine="708"/>
        <w:jc w:val="both"/>
        <w:rPr/>
      </w:pPr>
      <w:r>
        <w:rPr/>
        <w:t>Chiar si așa, daca am însuși raționamentul instanței si am aprecia ca majorarea de 15% se aplica din 01.01.2019, aceasta majorare ar fi tot o excepție de la regula deoarece s-ar aplica art 38 alin 6 Legea 153/2017 in sensul ca ar trebui acordata întreaga majorare cu aceasta data deoarece se depășește maximul prevăzut pentru 2022, si nu 1/4 cum precizează instanța de fond.</w:t>
      </w:r>
    </w:p>
    <w:p>
      <w:pPr>
        <w:pStyle w:val="Normal"/>
        <w:ind w:firstLine="708"/>
        <w:jc w:val="both"/>
        <w:rPr/>
      </w:pPr>
      <w:r>
        <w:rPr/>
        <w:t>Prin urmare interpretarea instanței de fond este una greșita, deoarece legea se aplica de la data in vigoare.</w:t>
      </w:r>
    </w:p>
    <w:p>
      <w:pPr>
        <w:pStyle w:val="Normal"/>
        <w:ind w:firstLine="708"/>
        <w:jc w:val="both"/>
        <w:rPr/>
      </w:pPr>
      <w:r>
        <w:rPr/>
        <w:t>In mod greșit instanța de fond a apreciat ca i s-a acordat majorarea de 15% pentru complexitatea muncii.</w:t>
      </w:r>
    </w:p>
    <w:p>
      <w:pPr>
        <w:pStyle w:val="Normal"/>
        <w:ind w:firstLine="708"/>
        <w:jc w:val="both"/>
        <w:rPr/>
      </w:pPr>
      <w:r>
        <w:rPr/>
        <w:t>Astfel, salariul de baza pentru gradația 5 este de 8488 lei la 01.01.2018- 31,12.2018, fără a se include majorarea de 15 % .</w:t>
      </w:r>
    </w:p>
    <w:p>
      <w:pPr>
        <w:pStyle w:val="Normal"/>
        <w:ind w:firstLine="708"/>
        <w:jc w:val="both"/>
        <w:rPr/>
      </w:pPr>
      <w:r>
        <w:rPr/>
        <w:t>15 % din 6790 = 1019 lei</w:t>
      </w:r>
    </w:p>
    <w:p>
      <w:pPr>
        <w:pStyle w:val="Normal"/>
        <w:ind w:firstLine="708"/>
        <w:jc w:val="both"/>
        <w:rPr/>
      </w:pPr>
      <w:r>
        <w:rPr/>
        <w:t>Prin răspunsul înaintat instanței parata a precizat ca diferența dintre salariul cuvenit in 2022 si cei din decembrie 2018 este de 937 lei, suma care este mai mica decât 1019 lei ce reprezintă 15 % din salariul de baza calculat la dec 2018 .</w:t>
      </w:r>
    </w:p>
    <w:p>
      <w:pPr>
        <w:pStyle w:val="Normal"/>
        <w:ind w:firstLine="708"/>
        <w:jc w:val="both"/>
        <w:rPr/>
      </w:pPr>
      <w:r>
        <w:rPr/>
        <w:t>La dosar nu exista dovada, o decizie a angajatorului, de acordare a majorării salariului cu 15 %, ca urmare nu a beneficiat de majorarea de 15 % nici începând cu data de 0l.07.2017 si nici începând cu data de 01.01.2019.</w:t>
      </w:r>
    </w:p>
    <w:p>
      <w:pPr>
        <w:pStyle w:val="Normal"/>
        <w:ind w:firstLine="708"/>
        <w:jc w:val="both"/>
        <w:rPr/>
      </w:pPr>
      <w:r>
        <w:rPr/>
        <w:t>Cum orice majorare salariala (modificare) se face prin decizie este evident ca nu a beneficiat de majorarea de 15 %.</w:t>
      </w:r>
    </w:p>
    <w:p>
      <w:pPr>
        <w:pStyle w:val="Normal"/>
        <w:ind w:firstLine="708"/>
        <w:jc w:val="both"/>
        <w:rPr/>
      </w:pPr>
      <w:r>
        <w:rPr/>
        <w:t>De altfel instanța de fond a încurcat drepturile ce rezulta din majorarea de 15% cu drepturile ce reprezintă sporul de 15%, iar in al doilea rând Decizia 82/2018 a ICCJ privește aplicarea dispozițiilor Notei nr.2 a lit. c) din pct. II lit. A, cap. I din anexa nr. VIII la Legea-cadru nr. 153/2017 si nu a Notei nr.3 la legea 153/2017 pe care a întemeiat cererea de chemare in judecata.</w:t>
      </w:r>
    </w:p>
    <w:p>
      <w:pPr>
        <w:pStyle w:val="Normal"/>
        <w:ind w:firstLine="708"/>
        <w:jc w:val="both"/>
        <w:rPr/>
      </w:pPr>
      <w:r>
        <w:rPr/>
        <w:t>Probe: înscrisurile din dosar</w:t>
      </w:r>
    </w:p>
    <w:p>
      <w:pPr>
        <w:pStyle w:val="Normal"/>
        <w:ind w:firstLine="708"/>
        <w:jc w:val="both"/>
        <w:rPr/>
      </w:pPr>
      <w:r>
        <w:rPr/>
        <w:t>In drept a întemeiat recursul pe dispozițiile art. 488, alin 1 pct 6 si pct 8.</w:t>
      </w:r>
    </w:p>
    <w:p>
      <w:pPr>
        <w:pStyle w:val="Normal"/>
        <w:ind w:firstLine="708"/>
        <w:jc w:val="both"/>
        <w:rPr/>
      </w:pPr>
      <w:r>
        <w:rPr/>
        <w:t>Intimata  parata Direcția Generala a Finanțelor  PUBLICE..., nu a formulat întâmpinare.</w:t>
      </w:r>
    </w:p>
    <w:p>
      <w:pPr>
        <w:pStyle w:val="Normal"/>
        <w:ind w:firstLine="708"/>
        <w:jc w:val="both"/>
        <w:rPr>
          <w:i/>
          <w:i/>
        </w:rPr>
      </w:pPr>
      <w:r>
        <w:rPr>
          <w:i/>
        </w:rPr>
        <w:t>Recursul este nefondat, pentru considerentele ce succed:</w:t>
      </w:r>
    </w:p>
    <w:p>
      <w:pPr>
        <w:pStyle w:val="Normal"/>
        <w:ind w:firstLine="708"/>
        <w:jc w:val="both"/>
        <w:rPr/>
      </w:pPr>
      <w:r>
        <w:rPr/>
        <w:t>Referitor la motivul de recurs prevăzut de prevederile art.488 alin.1 pct.6 Cpc, Curtea constată că recurenta, deşi invocă aceste prevederi, în cuprinsul cererii de recurs nu se regăsesc argumente în susţinerea motivului de recurs.</w:t>
      </w:r>
    </w:p>
    <w:p>
      <w:pPr>
        <w:pStyle w:val="Normal"/>
        <w:ind w:firstLine="708"/>
        <w:jc w:val="both"/>
        <w:rPr/>
      </w:pPr>
      <w:r>
        <w:rPr/>
        <w:t>Recurenta reclamantă susține că prin sentința recurată instanţa de fond a interpretat şi aplicat eronat dispozițiile Legii nr.153/2017, critică care se încadrează în motivul de nelegalitate prevăzut de art. 488 alin. 1 pct. 8 N.C.proc.civ.</w:t>
      </w:r>
    </w:p>
    <w:p>
      <w:pPr>
        <w:pStyle w:val="Normal"/>
        <w:ind w:firstLine="708"/>
        <w:jc w:val="both"/>
        <w:rPr/>
      </w:pPr>
      <w:r>
        <w:rPr/>
        <w:t>Potrivit art. 488 alin.1 pct. 8 N.C.proc.civ. indicat de recurentă în cererea de recurs, „Casarea unei hotărâri se poate cere numai pentru următoarele motive de nelegalitate: (…) 8. când hotărârea a fost dată cu încălcarea sau aplicarea greșită a normelor de drept material”.</w:t>
      </w:r>
    </w:p>
    <w:p>
      <w:pPr>
        <w:pStyle w:val="Normal"/>
        <w:ind w:firstLine="708"/>
        <w:jc w:val="both"/>
        <w:rPr/>
      </w:pPr>
      <w:r>
        <w:rPr/>
        <w:t>Acest motiv de casare vizează încălcarea legii de drept substanțial (material), încălcare ce poate îmbrăca mai multe aspecte: aplicarea unui text de lege străin situației de fapt; extinderea normei juridice dincolo de ipotezele la care se aplică ori restrângerea nejustificată a aplicării prevederilor acesteia; textului de lege corespunzător situației de fapt i s-a dat o interpretare greșită.</w:t>
      </w:r>
    </w:p>
    <w:p>
      <w:pPr>
        <w:pStyle w:val="Normal"/>
        <w:ind w:firstLine="708"/>
        <w:jc w:val="both"/>
        <w:rPr/>
      </w:pPr>
      <w:r>
        <w:rPr/>
        <w:t xml:space="preserve">Contrar susținerilor recurentei reclamante, Curtea constată că instanța de fond a făcut o corectă interpretare şi aplicare a normelor de drept material incidente, pronunţându-se asupra obiectului cererii astfel cum a fost formulat. </w:t>
      </w:r>
    </w:p>
    <w:p>
      <w:pPr>
        <w:pStyle w:val="Normal"/>
        <w:ind w:firstLine="708"/>
        <w:jc w:val="both"/>
        <w:rPr/>
      </w:pPr>
      <w:r>
        <w:rPr/>
        <w:t xml:space="preserve">În speță, prin cererea de chemare în judecată reclamanta a solicitat majorarea salariului de bază cu 15% acordat pentru complexitatea muncii, începând cu data de 01.07.2017, prin punerea în aplicare a dispozițiilor prevăzute în nota 3 din anexa VIII, cap. 1, lit. A, pct.1 din Legea nr. 153/2017. </w:t>
      </w:r>
    </w:p>
    <w:p>
      <w:pPr>
        <w:pStyle w:val="Normal"/>
        <w:ind w:firstLine="708"/>
        <w:jc w:val="both"/>
        <w:rPr/>
      </w:pPr>
      <w:r>
        <w:rPr/>
        <w:t>Legea nr.153/2017 privind salarizarea personalului plătit din fonduri publice are ca obiect de reglementare stabilirea unui sistem de salarizare pentru personalul din sectorul bugetar plătit din bugetul general consolidat al statului, începând cu data de 1 iulie 2017, data intrării în vigoare a legii.</w:t>
      </w:r>
    </w:p>
    <w:p>
      <w:pPr>
        <w:pStyle w:val="Normal"/>
        <w:ind w:firstLine="708"/>
        <w:jc w:val="both"/>
        <w:rPr/>
      </w:pPr>
      <w:r>
        <w:rPr/>
        <w:t>De la această dată drepturile salariale ale personalului plătit din bugetul general consolidat al statului sunt şi rămân, în mod exclusiv, cele prevăzute în lege, așa cum rezultă din conținutul normativ al art. 1 alin. (3) din Legea-cadru nr. 153/2017.</w:t>
      </w:r>
    </w:p>
    <w:p>
      <w:pPr>
        <w:pStyle w:val="Normal"/>
        <w:ind w:firstLine="708"/>
        <w:jc w:val="both"/>
        <w:rPr/>
      </w:pPr>
      <w:r>
        <w:rPr/>
        <w:t>Prin acest act normativ s-au aprobat grilele de salarizare şi coeficienții de ierarhizare a salariilor de bază ale angajaților din sectorul bugetar pentru anul 2022, precum şi măsurile tranzitorii aferente perioadei 2018 - 2022.</w:t>
      </w:r>
    </w:p>
    <w:p>
      <w:pPr>
        <w:pStyle w:val="Normal"/>
        <w:ind w:firstLine="708"/>
        <w:jc w:val="both"/>
        <w:rPr/>
      </w:pPr>
      <w:r>
        <w:rPr/>
        <w:t>Art.38 alin. 1 din Legea nr. 153/2017 statuează că „(1) Prevederile prezentei legi se aplică etapizat, începând cu data de 1 iulie 2017.”</w:t>
      </w:r>
    </w:p>
    <w:p>
      <w:pPr>
        <w:pStyle w:val="Normal"/>
        <w:ind w:firstLine="708"/>
        <w:jc w:val="both"/>
        <w:rPr/>
      </w:pPr>
      <w:r>
        <w:rPr/>
        <w:t xml:space="preserve"> </w:t>
      </w:r>
      <w:r>
        <w:rPr/>
        <w:t xml:space="preserve">La pct.3 de la Notele din Cap. I şi II, lit. A la Anexa nr. VIII a Legii-cadru nr. 153/2017 se prevede o majorare a salariilor de bază din această anexă, de 15% pentru complexitatea muncii, pentru funcționarii publici şi personalul contractual din unele instituții şi autorități publice. </w:t>
      </w:r>
    </w:p>
    <w:p>
      <w:pPr>
        <w:pStyle w:val="Normal"/>
        <w:ind w:firstLine="708"/>
        <w:jc w:val="both"/>
        <w:rPr/>
      </w:pPr>
      <w:r>
        <w:rPr/>
        <w:t xml:space="preserve">Prin dispozițiile art. 38 alin. 2 lit. a şi alin. 3 lit. a din Legea nr. 153/2017 s-au instituit prevederi derogatorii privind salarizarea, de majorarea salariului de bază de 15% pentru complexitatea muncii, neputându-se beneficia în perioada analizată. </w:t>
      </w:r>
    </w:p>
    <w:p>
      <w:pPr>
        <w:pStyle w:val="Normal"/>
        <w:ind w:firstLine="708"/>
        <w:jc w:val="both"/>
        <w:rPr/>
      </w:pPr>
      <w:r>
        <w:rPr/>
        <w:t>Astfel, potrivit art. 38 alin. 2 lit. a din Legea nr. 153/2017, „(2) Începând cu data de 1 iulie 2017: a) se mențin în plată la nivelul acordat pentru luna iunie 2017, până la 31 decembrie 2017, cuantumul brut al salariilor de bază, soldelor de funcție/salariilor de funcție şi indemnizațiilor de încadrare, precum şi cuantumul sporurilor, indemnizațiilor, compensațiilor, primelor şi al celorlalte elemente ale sistemului de salarizare care fac parte, potrivit legii, din salariul brut lunar, indemnizația brută de încadrare, solda lunară de care beneficiază personalul plătit din fonduri publice, în măsura în care personalul ocupă aceeași funcție şi își desfășoară activitatea în aceleași condiții;”</w:t>
      </w:r>
    </w:p>
    <w:p>
      <w:pPr>
        <w:pStyle w:val="Normal"/>
        <w:ind w:firstLine="708"/>
        <w:jc w:val="both"/>
        <w:rPr/>
      </w:pPr>
      <w:r>
        <w:rPr/>
        <w:t>Potrivit art. 38 alin. 3 lit. a din Legea nr. 153/2017 „(3) Începând cu data de 1 ianuarie 2018 se acordă următoarele creșteri salariale: a) cuantumul brut al salariilor de bază, soldelor de funcție/salariilor de funcție, indemnizațiilor de încadrare, precum şi cuantumul brut al sporurilor, indemnizațiilor, compensațiilor, primelor, premiilor şi al celorlalte elemente ale sistemului de salarizare care fac parte, potrivit legii, din salariul lunar brut, indemnizația brută de încadrare, solda lunară/salariul lunar de care beneficiază personalul plătit din fonduri publice se majorează cu 25% față de nivelul acordat pentru luna decembrie 2017, fără a depăși limita prevăzută la art. 25, în măsura în care personalul respectiv își desfășoară activitatea în aceleași condiții;”</w:t>
      </w:r>
    </w:p>
    <w:p>
      <w:pPr>
        <w:pStyle w:val="Normal"/>
        <w:ind w:firstLine="708"/>
        <w:jc w:val="both"/>
        <w:rPr/>
      </w:pPr>
      <w:r>
        <w:rPr/>
        <w:t>De asemenea, potrivit art. 38 alin. 4 din Legea nr. 153/2017, „(4) În perioada 2019 - 2022 se va acorda anual o creștere a salariilor de bază, soldelor de funcție/salariilor de funcție, indemnizațiilor de încadrare, fiecare creștere reprezentând 1/4 din diferența dintre salariul de bază, solda de funcție/salariul de funcție, indemnizația de încadrare prevăzute de lege pentru anul 2022 şi cel/cea din luna decembrie 2018. Creșterea respectivă şi data de aplicare se stabilesc prin legea anuală a bugetului de stat cu respectarea prevederilor art. 6 lit. h).”</w:t>
      </w:r>
    </w:p>
    <w:p>
      <w:pPr>
        <w:pStyle w:val="Normal"/>
        <w:ind w:firstLine="708"/>
        <w:jc w:val="both"/>
        <w:rPr/>
      </w:pPr>
      <w:r>
        <w:rPr/>
        <w:t>Potrivit art. 38 alin. (6) din Legea-cadru nr. 153/2017, în situația în care, începând cu 1 ianuarie 2018, salariile de bază, soldele de funcție/salariile de funcție, indemnizațiile de încadrare sunt mai mari decât cele stabilite, potrivit acestei legi, pentru anul 2022 sau devin ulterior mai mari, ca urmare a majorărilor salariale reglementate, se acordă cele stabilite pentru anul 2022.</w:t>
      </w:r>
    </w:p>
    <w:p>
      <w:pPr>
        <w:pStyle w:val="Normal"/>
        <w:ind w:firstLine="708"/>
        <w:jc w:val="both"/>
        <w:rPr/>
      </w:pPr>
      <w:r>
        <w:rPr/>
        <w:t xml:space="preserve">Astfel cum în mod corect a reținut instanţa de fond, interpretarea sistematică, logică şi gramaticală a dispozițiilor art. 38 alin. (2), (3), (4) şi (6) privind aplicarea etapizată a legii, impun concluzia că majorarea salariului de bază cu 15% pentru complexitatea muncii, prevăzută de dispozițiile Notei 3 lit. d) pct. I lit. A, cap. I din anexa nr. VIII la Legea-cadru nr. 153/2017, pentru funcționarii publici din instituțiile aflate în subordinea Ministerului Finanțelor Publice, nu poate fi acordată de la momentul intrării în vigoare a legii, 1 iulie 2017 până la sfârșitul anului 2017 sau pentru anul 2018, pentru că s-ar încălca prevederile art. 38 alin. (2) din Legea-cadru nr. 153/2017 privind menținerea în plată a drepturilor salariale în anul 2017, la nivelul celor din luna iunie 2017, precum şi prevederile art.38 alin. (3) din același act normativ, care determină majorarea în anul 2018 a drepturilor salariale avute în luna decembrie 2017 cu un procent de 25%. Această majorare va deveni aplicabilă şi va fi acordată în momentul în care salariile de bază vor fi determinate utilizând salariile de bază prevăzute în anexa nr. VIII la Legea-cadru nr. 153/2017. </w:t>
      </w:r>
    </w:p>
    <w:p>
      <w:pPr>
        <w:pStyle w:val="Normal"/>
        <w:ind w:firstLine="708"/>
        <w:jc w:val="both"/>
        <w:rPr/>
      </w:pPr>
      <w:r>
        <w:rPr/>
        <w:t>În mod excepțional, în situația în care, începând cu 1 ianuarie 2018, salariile de bază, soldele de funcție/salariile de funcție, indemnizațiile de încadrare sunt mai mari decât cele stabilite, potrivit prezentei legi, pentru anul 2022 sau devin ulterior mai mari, ca urmare a majorărilor salariale reglementate, se acordă cele stabilite pentru anul 2022.</w:t>
      </w:r>
    </w:p>
    <w:p>
      <w:pPr>
        <w:pStyle w:val="Normal"/>
        <w:ind w:firstLine="708"/>
        <w:jc w:val="both"/>
        <w:rPr/>
      </w:pPr>
      <w:r>
        <w:rPr/>
        <w:t xml:space="preserve">Din interpretarea probatoriului administrat în cauză, aspect ce nu poate constitui obiect de analiză al instanței de recurs, instanţa de fond reține, din adresa depusă la dosarul cauzei de către pârât, că în perioada 01.07.2017 – prezent (data pronunțării sentinței instanței de fond), salariul reclamantei nu a ajuns la nivelul salariului stabilit potrivit Legii 153/2017 pentru anul 2022, fiind calculat conform art. 38 din Legea 153/2017. </w:t>
      </w:r>
    </w:p>
    <w:p>
      <w:pPr>
        <w:pStyle w:val="Normal"/>
        <w:ind w:firstLine="708"/>
        <w:jc w:val="both"/>
        <w:rPr/>
      </w:pPr>
      <w:r>
        <w:rPr/>
        <w:t>Instanța de fond a mai reținut că, începând cu data de 01.01.2019, salariul a fost calculat conform art. 38 alin. 4,  salariul fiind majorat cu diferența dintre salariul de bază prevăzut de lege pentru anul 2022 (calculat cu aplicarea procentului de 15%, pentru complexitate muncii) și cel din luna decembrie 2018.</w:t>
      </w:r>
    </w:p>
    <w:p>
      <w:pPr>
        <w:pStyle w:val="Normal"/>
        <w:ind w:firstLine="708"/>
        <w:jc w:val="both"/>
        <w:rPr/>
      </w:pPr>
      <w:r>
        <w:rPr/>
        <w:t>Prin Decizia nr. 82/26.11.2018 pronunțată de Înalta Curte de Casație şi Justiție - Completul pentru dezlegarea unor chestiuni de drept, publicată în Monitorul Oficial nr.130 din 19 februarie 2019, obligatorie pentru instanțe potrivit dispozițiilor art. 521 alin. 3 C.p.civ., s-a admis sesizarea formulată de Curtea de Apel Iași - Secția  ... în Dosarul nr. 7.568/99/2017, în vederea pronunțării unei hotărâri prealabile şi, în interpretarea dispozițiilor Notei 2 lit. c) pct. II lit. A, cap. I din anexa nr. VIII a Legii-cadru nr. 153/2017 în corelare cu prevederile art. 38 alin. (1), alin. (2) lit. a), alin. (3) lit. a), alin. (4) şi (6) din actul normativ anterior menţionat, stabilește că:  - majorarea salariului de bază, de 15% pentru complexitatea muncii, nu se acordă pentru perioada 1 iulie 2017 - 31 decembrie 2017 şi pentru anul 2018; - pentru perioada 2019 - 2022, această majorare se acordă în condițiile stabilite la art. 38 alin. (4) din Legea-cadru nr. 153/2017; - prin excepție, această majorare se acordă începând cu ianuarie 2018 sau cu data de la care salariile de bază, soldele de funcție/salariile de funcție, indemnizațiile de încadrare devin mai mari decât cele stabilite potrivit legii pentru anul 2022, ca urmare a majorărilor salariale reglementate.”</w:t>
      </w:r>
    </w:p>
    <w:p>
      <w:pPr>
        <w:pStyle w:val="Normal"/>
        <w:ind w:firstLine="708"/>
        <w:jc w:val="both"/>
        <w:rPr/>
      </w:pPr>
      <w:r>
        <w:rPr/>
        <w:t xml:space="preserve">Raționamentul expus de Înalta Curte de Casație şi Justiție în considerentele deciziei nr. 82/26.11.2018 cu privire la interpretarea dispozițiilor Notei 2 lit. c) pct. II lit. A, cap. I din anexa nr. VIII a Legii-cadru nr. 153/2017 în corelare cu prevederile art. 38 alin. (1), alin. (2) lit. a), alin. (3) lit. a), alin. (4) şi (6) din actul normativ anterior menționat, este valabil şi în ceea ce privește interpretarea dispozițiilor prevăzute în nota 3 din anexa VIII, cap. 1, lit. A, pct. 1 din Legea nr. 153/2017 în corelare cu aceleași prevederi menționate anterior. </w:t>
      </w:r>
    </w:p>
    <w:p>
      <w:pPr>
        <w:pStyle w:val="Normal"/>
        <w:ind w:firstLine="708"/>
        <w:jc w:val="both"/>
        <w:rPr/>
      </w:pPr>
      <w:r>
        <w:rPr/>
        <w:t xml:space="preserve">Ca urmare, în mod corect a apreciat instanţa de fond că recurentul reclamant nu poate beneficia de majorarea în cuantum de 15% a salariului de bază pentru complexitatea muncii, în perioada analizată de către instanţa de fond, întrucât salariul reclamantului nu a ajuns la nivelul salariului stabilit potrivit Legii nr. 153/2017 pentru anul 2022, fiind calculat conform art. 38 din Legea nr. 153/2017, instanţa de fond făcând o corectă interpretare şi aplicare a dispozițiilor legale. </w:t>
      </w:r>
    </w:p>
    <w:p>
      <w:pPr>
        <w:pStyle w:val="Normal"/>
        <w:ind w:firstLine="708"/>
        <w:jc w:val="both"/>
        <w:rPr/>
      </w:pPr>
      <w:r>
        <w:rPr/>
        <w:t>Analizând argumentele instanței de fond, Curtea reține că acestea sunt judicioase, fiind rezultatul unei corecte aplicări şi interpretări a dispozițiilor legale, sentința recurată fiind legală, în cauză nefiind incidente dispozițiile art. 488 alin. 1 pct. 8 N.C.proc.civ.</w:t>
      </w:r>
    </w:p>
    <w:p>
      <w:pPr>
        <w:pStyle w:val="Normal"/>
        <w:ind w:firstLine="708"/>
        <w:jc w:val="both"/>
        <w:rPr/>
      </w:pPr>
      <w:r>
        <w:rPr/>
        <w:t>Pentru aceste considerente, criticile formulate sunt neîntemeiate, astfel că în temeiul art. 496 alin. 1 din N.C.proc.civ., recursul declarat va fi respins ca nefondat.</w:t>
      </w:r>
    </w:p>
    <w:p>
      <w:pPr>
        <w:pStyle w:val="Normal"/>
        <w:jc w:val="center"/>
        <w:rPr>
          <w:b/>
        </w:rPr>
      </w:pPr>
      <w:r>
        <w:rPr>
          <w:b/>
        </w:rPr>
      </w:r>
    </w:p>
    <w:p>
      <w:pPr>
        <w:pStyle w:val="Normal"/>
        <w:rPr/>
      </w:pPr>
      <w:r>
        <w:rPr/>
      </w:r>
    </w:p>
    <w:p>
      <w:pPr>
        <w:pStyle w:val="Normal"/>
        <w:jc w:val="center"/>
        <w:rPr/>
      </w:pPr>
      <w:r>
        <w:rPr/>
        <w:t>PENTRU ACESTE MOTIVE,</w:t>
        <w:br/>
        <w:t>ÎN NUMELE LEGII</w:t>
      </w:r>
    </w:p>
    <w:p>
      <w:pPr>
        <w:pStyle w:val="Normal"/>
        <w:jc w:val="center"/>
        <w:rPr/>
      </w:pPr>
      <w:r>
        <w:rPr/>
        <w:t>DECIDE</w:t>
      </w:r>
    </w:p>
    <w:p>
      <w:pPr>
        <w:pStyle w:val="Normal"/>
        <w:rPr/>
      </w:pPr>
      <w:r>
        <w:rPr/>
      </w:r>
    </w:p>
    <w:p>
      <w:pPr>
        <w:pStyle w:val="Normal"/>
        <w:ind w:firstLine="708"/>
        <w:jc w:val="both"/>
        <w:rPr/>
      </w:pPr>
      <w:r>
        <w:rPr/>
        <w:t>Respinge recursul formulat de recurentul-reclamant R1 împotriva sentinţei nr. SC1 pronunţată de Tribunalul ... Secţia  ... în dosarul nr. D1, în contradictoriu cu intimata-pârâtă DIRECŢIA GENERALĂ REGIONALĂ A FINANŢELOR  PUBLICE..., ca nefondat.</w:t>
      </w:r>
    </w:p>
    <w:p>
      <w:pPr>
        <w:pStyle w:val="Normal"/>
        <w:ind w:firstLine="708"/>
        <w:jc w:val="both"/>
        <w:rPr/>
      </w:pPr>
      <w:r>
        <w:rPr/>
        <w:t>Definitivă.</w:t>
      </w:r>
    </w:p>
    <w:p>
      <w:pPr>
        <w:pStyle w:val="Normal"/>
        <w:ind w:firstLine="708"/>
        <w:jc w:val="both"/>
        <w:rPr/>
      </w:pPr>
      <w:r>
        <w:rPr/>
        <w:t xml:space="preserve">Pronunţată în şedinţa </w:t>
      </w:r>
      <w:bookmarkStart w:name="tip_sedinta_copie_2" w:id="7"/>
      <w:r>
        <w:rPr/>
        <w:t>publică</w:t>
      </w:r>
      <w:bookmarkEnd w:id="7"/>
      <w:r>
        <w:rPr/>
        <w:t xml:space="preserve"> de la ....</w:t>
      </w:r>
    </w:p>
    <w:p>
      <w:pPr>
        <w:pStyle w:val="Normal"/>
        <w:rPr/>
      </w:pPr>
      <w:r>
        <w:rPr/>
      </w:r>
    </w:p>
    <w:p>
      <w:pPr>
        <w:pStyle w:val="Normal"/>
        <w:jc w:val="center"/>
        <w:rPr/>
      </w:pPr>
      <w:r>
        <w:rPr/>
      </w:r>
      <w:bookmarkStart w:name="completul_1" w:id="8"/>
      <w:bookmarkStart w:name="completul_1" w:id="9"/>
      <w:bookmarkEnd w:id="9"/>
    </w:p>
    <w:tbl>
      <w:tblPr>
        <w:tblW w:w="9288" w:type="dxa"/>
        <w:jc w:val="center"/>
        <w:tblInd w:w="0" w:type="dxa"/>
        <w:tblLayout w:type="fixed"/>
        <w:tblCellMar>
          <w:top w:w="284" w:type="dxa"/>
          <w:left w:w="108" w:type="dxa"/>
          <w:bottom w:w="284" w:type="dxa"/>
          <w:right w:w="108" w:type="dxa"/>
        </w:tblCellMar>
      </w:tblPr>
      <w:tblGrid>
        <w:gridCol w:w="3096"/>
        <w:gridCol w:w="3096"/>
        <w:gridCol w:w="3096"/>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Preşedinte,</w:t>
            </w:r>
          </w:p>
          <w:p>
            <w:pPr>
              <w:pStyle w:val="Normal"/>
              <w:jc w:val="center"/>
              <w:rPr/>
            </w:pPr>
            <w:r>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w:t>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Grefier,</w:t>
            </w:r>
          </w:p>
          <w:p>
            <w:pPr>
              <w:pStyle w:val="Normal"/>
              <w:jc w:val="center"/>
              <w:rPr/>
            </w:pPr>
            <w:r>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r>
    </w:tbl>
    <w:p>
      <w:pPr>
        <w:pStyle w:val="Normal"/>
        <w:jc w:val="center"/>
        <w:rPr/>
      </w:pPr>
      <w:r>
        <w:rPr/>
      </w:r>
      <w:bookmarkStart w:name="completul_1" w:id="10"/>
      <w:bookmarkStart w:name="completul_1" w:id="11"/>
      <w:bookmarkEnd w:id="11"/>
    </w:p>
    <w:p>
      <w:pPr>
        <w:pStyle w:val="Normal"/>
        <w:jc w:val="center"/>
        <w:rPr/>
      </w:pPr>
      <w:r>
        <w:rPr/>
      </w:r>
    </w:p>
    <w:p>
      <w:pPr>
        <w:pStyle w:val="Normal"/>
        <w:rPr/>
      </w:pPr>
      <w:r>
        <w:rPr/>
        <w:t>Red.A0006./...</w:t>
      </w:r>
    </w:p>
    <w:p>
      <w:pPr>
        <w:pStyle w:val="Normal"/>
        <w:rPr/>
      </w:pPr>
      <w:r>
        <w:rPr/>
        <w:t>Thred...../4 ex.</w:t>
      </w:r>
    </w:p>
    <w:p>
      <w:pPr>
        <w:pStyle w:val="Normal"/>
        <w:rPr/>
      </w:pPr>
      <w:r>
        <w:rPr/>
        <w:t>Jud. fond...</w:t>
      </w:r>
    </w:p>
    <w:sectPr>
      <w:footerReference w:type="default" r:id="rId2"/>
      <w:type w:val="nextPage"/>
      <w:pgSz w:w="11906" w:h="16838"/>
      <w:pgMar w:top="851" w:right="851" w:bottom="851" w:left="1701"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6</w:t>
    </w:r>
    <w:r>
      <w:rPr/>
      <w:fldChar w:fldCharType="end"/>
    </w:r>
  </w:p>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server3:80/ecris_cdms/document_upload.aspx?id_document=5400000001348337&amp;id_departament=5&amp;id_sesiune=1794270&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13" w:leader="none"/>
        <w:tab w:val="right" w:pos="9026" w:leader="none"/>
      </w:tabs>
    </w:pPr>
    <w:rPr/>
  </w:style>
  <w:style w:type="paragraph" w:styleId="Footer">
    <w:name w:val="Footer"/>
    <w:basedOn w:val="Normal"/>
    <w:link w:val="SubsolCaracter"/>
    <w:pPr>
      <w:tabs>
        <w:tab w:val="clear" w:pos="720"/>
        <w:tab w:val="center" w:pos="4513" w:leader="none"/>
        <w:tab w:val="right" w:pos="9026" w:leader="none"/>
      </w:tabs>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40</ap:TotalTime>
  <ap:Application>LibreOffice/24.2.7.2$Linux_X86_64 LibreOffice_project/420$Build-2</ap:Application>
  <ap:AppVersion>15.0000</ap:AppVersion>
  <ap:Pages>6</ap:Pages>
  <ap:Words>3584</ap:Words>
  <ap:Characters>19316</ap:Characters>
  <ap:CharactersWithSpaces>22845</ap:CharactersWithSpaces>
  <ap:Paragraphs>99</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