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C48" w:rsidRDefault="00500C48" w14:paraId="798A5109" w14:textId="01042293">
      <w:pPr>
        <w:rPr>
          <w:b/>
        </w:rPr>
      </w:pPr>
      <w:r>
        <w:rPr>
          <w:b/>
        </w:rPr>
        <w:t>Hot. 14</w:t>
      </w:r>
    </w:p>
    <w:p w:rsidR="00243FA1" w:rsidRDefault="00AB16FE" w14:paraId="2FA41792" w14:textId="607EBFA0">
      <w:pPr>
        <w:rPr>
          <w:b/>
        </w:rPr>
      </w:pPr>
      <w:r>
        <w:rPr>
          <w:b/>
        </w:rPr>
        <w:t>R O M Â N I A</w:t>
      </w:r>
    </w:p>
    <w:p w:rsidR="00243FA1" w:rsidRDefault="00AB16FE" w14:paraId="45290997" w14:textId="24DB7C69">
      <w:pPr>
        <w:rPr>
          <w:b/>
        </w:rPr>
      </w:pPr>
      <w:r>
        <w:rPr>
          <w:b/>
        </w:rPr>
        <w:t xml:space="preserve">CURTEA DE APEL </w:t>
      </w:r>
      <w:r w:rsidR="00F3506A">
        <w:rPr>
          <w:b/>
        </w:rPr>
        <w:t>...................</w:t>
      </w:r>
    </w:p>
    <w:p w:rsidR="00243FA1" w:rsidRDefault="00AB16FE" w14:paraId="5261BF9E" w14:textId="484624A9">
      <w:pPr>
        <w:rPr>
          <w:b/>
        </w:rPr>
      </w:pPr>
      <w:r>
        <w:rPr>
          <w:b/>
        </w:rPr>
        <w:t xml:space="preserve">SECȚIA </w:t>
      </w:r>
      <w:r w:rsidR="00F3506A">
        <w:rPr>
          <w:b/>
        </w:rPr>
        <w:t>..............</w:t>
      </w:r>
      <w:r>
        <w:rPr>
          <w:b/>
        </w:rPr>
        <w:t>, DE CONTENCIOS ADMINISTRATIV ȘI FISCAL</w:t>
      </w:r>
    </w:p>
    <w:p w:rsidR="00243FA1" w:rsidRDefault="00AB16FE" w14:paraId="0B010178" w14:textId="4B88444D">
      <w:pPr>
        <w:rPr>
          <w:b/>
        </w:rPr>
      </w:pPr>
      <w:r>
        <w:rPr>
          <w:b/>
        </w:rPr>
        <w:t>Cod ECLI    ECLI:RO:</w:t>
      </w:r>
      <w:r w:rsidR="00F3506A">
        <w:rPr>
          <w:b/>
        </w:rPr>
        <w:t>.......................</w:t>
      </w:r>
    </w:p>
    <w:p w:rsidR="00243FA1" w:rsidRDefault="00AB16FE" w14:paraId="40A20FBE" w14:textId="1EF69F30">
      <w:pPr>
        <w:rPr>
          <w:b/>
        </w:rPr>
      </w:pPr>
      <w:r>
        <w:rPr>
          <w:b/>
        </w:rPr>
        <w:t xml:space="preserve">Dosar nr. </w:t>
      </w:r>
      <w:r w:rsidR="00F3506A">
        <w:rPr>
          <w:b/>
        </w:rPr>
        <w:t>....../......./.......*</w:t>
      </w:r>
    </w:p>
    <w:p w:rsidR="00243FA1" w:rsidRDefault="00AB16FE" w14:paraId="2442B9E0" w14:textId="5402CFBF">
      <w:pPr>
        <w:rPr>
          <w:b/>
        </w:rPr>
      </w:pPr>
      <w:r>
        <w:rPr>
          <w:b/>
        </w:rPr>
        <w:t xml:space="preserve">Nr. de înregistrare ca operator de date cu caracter personal  - </w:t>
      </w:r>
      <w:r w:rsidR="00F3506A">
        <w:rPr>
          <w:b/>
        </w:rPr>
        <w:t>............</w:t>
      </w:r>
    </w:p>
    <w:p w:rsidR="00243FA1" w:rsidRDefault="00243FA1" w14:paraId="2EE195A7" w14:textId="77777777">
      <w:pPr>
        <w:jc w:val="center"/>
        <w:rPr>
          <w:b/>
        </w:rPr>
      </w:pPr>
    </w:p>
    <w:p w:rsidR="00243FA1" w:rsidRDefault="00243FA1" w14:paraId="1F36E1E4" w14:textId="77777777">
      <w:pPr>
        <w:rPr>
          <w:b/>
        </w:rPr>
      </w:pPr>
    </w:p>
    <w:p w:rsidR="00243FA1" w:rsidRDefault="00243FA1" w14:paraId="1784A07A" w14:textId="77777777">
      <w:pPr>
        <w:rPr>
          <w:b/>
        </w:rPr>
      </w:pPr>
    </w:p>
    <w:p w:rsidR="00243FA1" w:rsidRDefault="00AB16FE" w14:paraId="560D2815" w14:textId="00F59B9A">
      <w:pPr>
        <w:jc w:val="center"/>
        <w:rPr>
          <w:b/>
        </w:rPr>
      </w:pPr>
      <w:r>
        <w:rPr>
          <w:b/>
        </w:rPr>
        <w:t xml:space="preserve">DECIZIA Nr. </w:t>
      </w:r>
      <w:r w:rsidR="00F3506A">
        <w:rPr>
          <w:b/>
        </w:rPr>
        <w:t>.../...</w:t>
      </w:r>
    </w:p>
    <w:p w:rsidR="00243FA1" w:rsidRDefault="00AB16FE" w14:paraId="51C79D92" w14:textId="2D3F59E8">
      <w:pPr>
        <w:jc w:val="center"/>
        <w:rPr>
          <w:b/>
        </w:rPr>
      </w:pPr>
      <w:r>
        <w:rPr>
          <w:b/>
        </w:rPr>
        <w:t xml:space="preserve">Ședința </w:t>
      </w:r>
      <w:r>
        <w:rPr>
          <w:b/>
        </w:rPr>
      </w:r>
      <w:r>
        <w:rPr>
          <w:b/>
        </w:rPr>
      </w:r>
      <w:r>
        <w:rPr>
          <w:b/>
        </w:rPr>
      </w:r>
      <w:r>
        <w:rPr>
          <w:b/>
        </w:rPr>
        <w:t>publică</w:t>
      </w:r>
      <w:r>
        <w:rPr>
          <w:b/>
        </w:rPr>
      </w:r>
      <w:r>
        <w:rPr>
          <w:b/>
        </w:rPr>
        <w:t xml:space="preserve"> din </w:t>
      </w:r>
      <w:r w:rsidR="00F3506A">
        <w:rPr>
          <w:b/>
        </w:rPr>
        <w:t>.............</w:t>
      </w:r>
      <w:r>
        <w:rPr>
          <w:b/>
        </w:rPr>
        <w:t xml:space="preserve"> </w:t>
      </w:r>
    </w:p>
    <w:p w:rsidR="00243FA1" w:rsidRDefault="00AB16FE" w14:paraId="71F4D21D" w14:textId="77777777">
      <w:pPr>
        <w:jc w:val="center"/>
        <w:rPr>
          <w:b/>
        </w:rPr>
      </w:pPr>
      <w:r>
        <w:rPr>
          <w:b/>
        </w:rPr>
        <w:t>Completul constituit din:</w:t>
      </w:r>
    </w:p>
    <w:p w:rsidR="00243FA1" w:rsidRDefault="00AB16FE" w14:paraId="582D87D6" w14:textId="75EAEB77">
      <w:pPr>
        <w:jc w:val="center"/>
        <w:rPr>
          <w:b/>
        </w:rPr>
      </w:pPr>
      <w:r>
        <w:rPr>
          <w:b/>
        </w:rPr>
        <w:t xml:space="preserve">PREȘEDINTE </w:t>
      </w:r>
      <w:r w:rsidR="00F3506A">
        <w:rPr>
          <w:b/>
        </w:rPr>
        <w:t>...............</w:t>
      </w:r>
    </w:p>
    <w:p w:rsidR="00243FA1" w:rsidRDefault="00AB16FE" w14:paraId="65C10CC2" w14:textId="13AF8A7F">
      <w:pPr>
        <w:jc w:val="center"/>
        <w:rPr>
          <w:b/>
        </w:rPr>
      </w:pPr>
      <w:r>
        <w:rPr>
          <w:b/>
        </w:rPr>
        <w:t xml:space="preserve">Judecător </w:t>
      </w:r>
      <w:r w:rsidR="00F3506A">
        <w:rPr>
          <w:b/>
        </w:rPr>
        <w:t>A0015</w:t>
      </w:r>
    </w:p>
    <w:p w:rsidR="00243FA1" w:rsidRDefault="00AB16FE" w14:paraId="3A135D85" w14:textId="75C98F73">
      <w:pPr>
        <w:jc w:val="center"/>
        <w:rPr>
          <w:b/>
        </w:rPr>
      </w:pPr>
      <w:r>
        <w:rPr>
          <w:b/>
        </w:rPr>
        <w:t xml:space="preserve">Judecător </w:t>
      </w:r>
      <w:r w:rsidR="00F3506A">
        <w:rPr>
          <w:b/>
        </w:rPr>
        <w:t>...............</w:t>
      </w:r>
    </w:p>
    <w:p w:rsidR="00243FA1" w:rsidRDefault="00AB16FE" w14:paraId="13F79880" w14:textId="02CD451D">
      <w:pPr>
        <w:jc w:val="center"/>
        <w:rPr>
          <w:b/>
        </w:rPr>
      </w:pPr>
      <w:r>
        <w:rPr>
          <w:b/>
        </w:rPr>
        <w:t xml:space="preserve">Grefier </w:t>
      </w:r>
      <w:r w:rsidR="00F3506A">
        <w:rPr>
          <w:b/>
        </w:rPr>
        <w:t>...............</w:t>
      </w:r>
    </w:p>
    <w:p w:rsidR="00243FA1" w:rsidRDefault="00243FA1" w14:paraId="1CA23088" w14:textId="77777777">
      <w:pPr>
        <w:jc w:val="center"/>
      </w:pPr>
    </w:p>
    <w:p w:rsidR="00243FA1" w:rsidRDefault="00AB16FE" w14:paraId="152C9691" w14:textId="77777777">
      <w:pPr>
        <w:jc w:val="center"/>
      </w:pPr>
    </w:p>
    <w:p w:rsidR="00243FA1" w:rsidRDefault="00AB16FE" w14:paraId="6A990540" w14:textId="7EE33DF7">
      <w:pPr>
        <w:ind w:firstLine="851"/>
        <w:jc w:val="both"/>
      </w:pPr>
      <w:r>
        <w:t xml:space="preserve">Pe rol se află pronunțarea asupra recursului formulat de reclamantul </w:t>
      </w:r>
      <w:r w:rsidR="00F3506A">
        <w:t>A</w:t>
      </w:r>
      <w:r>
        <w:t xml:space="preserve"> (CNP </w:t>
      </w:r>
      <w:r w:rsidR="00F3506A">
        <w:t>......................</w:t>
      </w:r>
      <w:r>
        <w:t xml:space="preserve">, domiciliul în </w:t>
      </w:r>
      <w:r w:rsidR="00F3506A">
        <w:t>..............................</w:t>
      </w:r>
      <w:r>
        <w:t xml:space="preserve">și domiciliul procesual ales în </w:t>
      </w:r>
      <w:r w:rsidR="00F3506A">
        <w:t>..............................</w:t>
      </w:r>
      <w:r>
        <w:t xml:space="preserve">), împotriva Sentinței nr. </w:t>
      </w:r>
      <w:r w:rsidR="00F3506A">
        <w:t>...../...............</w:t>
      </w:r>
      <w:r>
        <w:t xml:space="preserve"> pronunțate de Tribunalul </w:t>
      </w:r>
      <w:r w:rsidR="00F3506A">
        <w:t>..............</w:t>
      </w:r>
      <w:r>
        <w:t xml:space="preserve">, în dosarul nr. </w:t>
      </w:r>
      <w:r w:rsidR="00F3506A">
        <w:t>....../......./.......*</w:t>
      </w:r>
      <w:r>
        <w:t>.</w:t>
      </w:r>
    </w:p>
    <w:p w:rsidR="00243FA1" w:rsidRDefault="00AB16FE" w14:paraId="0B6B5A85" w14:textId="77777777">
      <w:pPr>
        <w:widowControl w:val="0"/>
        <w:ind w:firstLine="902"/>
        <w:jc w:val="both"/>
      </w:pPr>
      <w:r>
        <w:t>În lipsa părților.</w:t>
      </w:r>
    </w:p>
    <w:p w:rsidR="00243FA1" w:rsidRDefault="00AB16FE" w14:paraId="307C53DE" w14:textId="6B522321">
      <w:pPr>
        <w:widowControl w:val="0"/>
        <w:ind w:firstLine="902"/>
        <w:jc w:val="both"/>
      </w:pPr>
      <w:r>
        <w:t xml:space="preserve">Mersul dezbaterilor și susținerile în fond ale părților au fost consemnate în Încheierea de ședință din data de </w:t>
      </w:r>
      <w:r w:rsidR="00F3506A">
        <w:t>................</w:t>
      </w:r>
      <w:r>
        <w:t xml:space="preserve">, încheiere care face parte integrantă din prezenta decizie fiind amânată pronunțarea pentru data de </w:t>
      </w:r>
      <w:r w:rsidR="00F3506A">
        <w:t>...................</w:t>
      </w:r>
      <w:r>
        <w:t xml:space="preserve"> când, după deliberare, a pronunțat următoarea hotărâre.</w:t>
      </w:r>
    </w:p>
    <w:p w:rsidR="00243FA1" w:rsidRDefault="00243FA1" w14:paraId="2CAA444A" w14:textId="77777777">
      <w:pPr>
        <w:ind w:firstLine="851"/>
        <w:jc w:val="both"/>
      </w:pPr>
    </w:p>
    <w:p w:rsidR="00243FA1" w:rsidRDefault="00AB16FE" w14:paraId="1B0AA027" w14:textId="77777777">
      <w:pPr>
        <w:jc w:val="center"/>
        <w:rPr>
          <w:b/>
        </w:rPr>
      </w:pPr>
      <w:r>
        <w:rPr>
          <w:b/>
        </w:rPr>
        <w:t>CURTEA DE APEL,</w:t>
      </w:r>
    </w:p>
    <w:p w:rsidR="00243FA1" w:rsidRDefault="00243FA1" w14:paraId="01AEC6C6" w14:textId="77777777">
      <w:pPr>
        <w:jc w:val="center"/>
      </w:pPr>
    </w:p>
    <w:p w:rsidR="00243FA1" w:rsidRDefault="00AB16FE" w14:paraId="290C3BCD" w14:textId="77777777">
      <w:pPr>
        <w:ind w:firstLine="567"/>
        <w:jc w:val="both"/>
      </w:pPr>
      <w:r>
        <w:t>Deliberând asupra recursului, constată următoarele:</w:t>
      </w:r>
    </w:p>
    <w:p w:rsidR="00243FA1" w:rsidRDefault="00AB16FE" w14:paraId="555EDED9" w14:textId="3F3643AD">
      <w:pPr>
        <w:ind w:firstLine="567"/>
        <w:jc w:val="both"/>
      </w:pPr>
      <w:r>
        <w:t xml:space="preserve">Prin Sentința nr. </w:t>
      </w:r>
      <w:r w:rsidR="00F3506A">
        <w:t>...../...............</w:t>
      </w:r>
      <w:r>
        <w:t xml:space="preserve"> pronunțată de Tribunalul </w:t>
      </w:r>
      <w:r w:rsidR="00F3506A">
        <w:t>..............</w:t>
      </w:r>
      <w:r>
        <w:t xml:space="preserve">, în dosarul nr. </w:t>
      </w:r>
      <w:r w:rsidR="00F3506A">
        <w:t>....../......./.......*</w:t>
      </w:r>
      <w:r>
        <w:t xml:space="preserve">, a fost respinsă excepția tardivității, a fost respinsă ca neîntemeiată cererea formulată de reclamantul </w:t>
      </w:r>
      <w:r w:rsidR="0064205A">
        <w:t>A</w:t>
      </w:r>
      <w:r>
        <w:t xml:space="preserve"> în contradictoriu cu pârâții Consiliul  Local al Municipiului </w:t>
      </w:r>
      <w:r w:rsidR="0064205A">
        <w:t>................</w:t>
      </w:r>
      <w:r>
        <w:t xml:space="preserve"> și Municipiul </w:t>
      </w:r>
      <w:r w:rsidR="0064205A">
        <w:t>................</w:t>
      </w:r>
      <w:r>
        <w:t xml:space="preserve"> și s-a luat act de faptul că pârâții nu au solicitat obligarea reclamantului la plata cheltuielilor de judecată.</w:t>
      </w:r>
    </w:p>
    <w:p w:rsidR="00243FA1" w:rsidRDefault="00AB16FE" w14:paraId="3397FE3A" w14:textId="6B3DADFC">
      <w:pPr>
        <w:ind w:firstLine="567"/>
        <w:jc w:val="both"/>
        <w:rPr>
          <w:rStyle w:val="FontStyle26"/>
          <w:rFonts w:ascii="Times New Roman" w:hAnsi="Times New Roman"/>
          <w:sz w:val="24"/>
        </w:rPr>
      </w:pPr>
      <w:r>
        <w:rPr>
          <w:b/>
        </w:rPr>
        <w:t xml:space="preserve">Împotriva acestei sentințe, în termen legal, a formulat recurs reclamantul </w:t>
      </w:r>
      <w:r w:rsidR="00F3506A">
        <w:rPr>
          <w:b/>
        </w:rPr>
        <w:t>A</w:t>
      </w:r>
      <w:r>
        <w:t xml:space="preserve">, prin care a solicitat </w:t>
      </w:r>
      <w:r>
        <w:rPr>
          <w:rStyle w:val="FontStyle26"/>
          <w:rFonts w:ascii="Times New Roman" w:hAnsi="Times New Roman"/>
          <w:sz w:val="24"/>
        </w:rPr>
        <w:t>admiterea recursului, casarea în totalitate a sentinței primei instanțe, iar în rejudecare, admiterea acțiunii așa cum a fost formulată, având în vedere dispozițiile art. 488, pct. 7 și 8 din Codul de procedură civilă.</w:t>
      </w:r>
    </w:p>
    <w:p w:rsidR="00243FA1" w:rsidRDefault="00AB16FE" w14:paraId="6900D747" w14:textId="77777777">
      <w:pPr>
        <w:pStyle w:val="Style7"/>
        <w:widowControl/>
        <w:ind w:firstLine="567"/>
        <w:jc w:val="both"/>
        <w:rPr>
          <w:rStyle w:val="FontStyle26"/>
          <w:rFonts w:ascii="Times New Roman" w:hAnsi="Times New Roman"/>
          <w:sz w:val="24"/>
        </w:rPr>
      </w:pPr>
      <w:r>
        <w:rPr>
          <w:rStyle w:val="FontStyle26"/>
          <w:rFonts w:ascii="Times New Roman" w:hAnsi="Times New Roman"/>
          <w:sz w:val="24"/>
        </w:rPr>
        <w:t>Recurentul a apreciat sentința atacată ca fiind nelegală, pentru următoarele considerente:</w:t>
      </w:r>
    </w:p>
    <w:p w:rsidR="00243FA1" w:rsidRDefault="00AB16FE" w14:paraId="604FA152" w14:textId="77777777">
      <w:pPr>
        <w:pStyle w:val="Style7"/>
        <w:widowControl/>
        <w:ind w:firstLine="567"/>
        <w:jc w:val="both"/>
        <w:rPr>
          <w:rStyle w:val="FontStyle26"/>
          <w:rFonts w:ascii="Times New Roman" w:hAnsi="Times New Roman"/>
          <w:sz w:val="24"/>
        </w:rPr>
      </w:pPr>
      <w:r>
        <w:rPr>
          <w:rStyle w:val="FontStyle26"/>
          <w:rFonts w:ascii="Times New Roman" w:hAnsi="Times New Roman"/>
          <w:sz w:val="24"/>
        </w:rPr>
        <w:t>Argumentul principal pentru care instanța de fond a respins acțiunea, îl reprezintă temeiul legal al salarizării, aplicabil pentru personalul casei de cultura, ca și compartiment al instituției publice locale și calificarea acestui compartiment aflat în subordinea și structura organizatorica a consiliului local, ca fiind "instituție de cultură".</w:t>
      </w:r>
    </w:p>
    <w:p w:rsidR="00243FA1" w:rsidRDefault="00AB16FE" w14:paraId="69ECC185" w14:textId="2C2977E0">
      <w:pPr>
        <w:pStyle w:val="Style7"/>
        <w:widowControl/>
        <w:ind w:firstLine="567"/>
        <w:jc w:val="both"/>
        <w:rPr>
          <w:rStyle w:val="FontStyle26"/>
          <w:rFonts w:ascii="Times New Roman" w:hAnsi="Times New Roman"/>
          <w:sz w:val="24"/>
        </w:rPr>
      </w:pPr>
      <w:r>
        <w:rPr>
          <w:rStyle w:val="FontStyle26"/>
          <w:rFonts w:ascii="Times New Roman" w:hAnsi="Times New Roman"/>
          <w:sz w:val="24"/>
        </w:rPr>
        <w:t xml:space="preserve">Acțiunea introductivă viza obligarea pârâților la stabilirea, calcularea și plata drepturilor salariale cuvenite în temeiul Contractului de management nr. </w:t>
      </w:r>
      <w:r w:rsidR="0064205A">
        <w:rPr>
          <w:rStyle w:val="FontStyle26"/>
          <w:rFonts w:ascii="Times New Roman" w:hAnsi="Times New Roman"/>
          <w:sz w:val="24"/>
        </w:rPr>
        <w:t>....74/....2012</w:t>
      </w:r>
      <w:r>
        <w:rPr>
          <w:rStyle w:val="FontStyle26"/>
          <w:rFonts w:ascii="Times New Roman" w:hAnsi="Times New Roman"/>
          <w:sz w:val="24"/>
        </w:rPr>
        <w:t xml:space="preserve">, aferente perioadei 01.07.2017 - 17.12.2017, prin aplicarea disp. art. 11, alin. 1-2 din Legea nr. 153/2017 coroborat </w:t>
      </w:r>
      <w:r>
        <w:rPr>
          <w:rStyle w:val="FontStyle26"/>
          <w:rFonts w:ascii="Times New Roman" w:hAnsi="Times New Roman"/>
          <w:sz w:val="24"/>
        </w:rPr>
        <w:lastRenderedPageBreak/>
        <w:t>cu disp. cap. II, lit. a, pct. IV, Anexa VIII - Familia Ocupațională " Administrație" din aceeași lege, având în vedere următoarea situație de fapt concretă:</w:t>
      </w:r>
    </w:p>
    <w:p w:rsidR="00243FA1" w:rsidRDefault="00AB16FE" w14:paraId="3AC8F963" w14:textId="5A33E102">
      <w:pPr>
        <w:pStyle w:val="Style7"/>
        <w:widowControl/>
        <w:ind w:firstLine="567"/>
        <w:jc w:val="both"/>
        <w:rPr>
          <w:rStyle w:val="FontStyle26"/>
          <w:rFonts w:ascii="Times New Roman" w:hAnsi="Times New Roman"/>
          <w:sz w:val="24"/>
        </w:rPr>
      </w:pPr>
      <w:r>
        <w:rPr>
          <w:rStyle w:val="FontStyle26"/>
          <w:rFonts w:ascii="Times New Roman" w:hAnsi="Times New Roman"/>
          <w:sz w:val="24"/>
        </w:rPr>
        <w:t xml:space="preserve">Reclamantul a fost angajat pe poziția de Manager al Casei de Cultură </w:t>
      </w:r>
      <w:r w:rsidR="009400F7">
        <w:rPr>
          <w:rStyle w:val="FontStyle26"/>
          <w:rFonts w:ascii="Times New Roman" w:hAnsi="Times New Roman"/>
          <w:sz w:val="24"/>
        </w:rPr>
        <w:t>...</w:t>
      </w:r>
      <w:r>
        <w:rPr>
          <w:rStyle w:val="FontStyle26"/>
          <w:rFonts w:ascii="Times New Roman" w:hAnsi="Times New Roman"/>
          <w:sz w:val="24"/>
        </w:rPr>
        <w:t xml:space="preserve"> "</w:t>
      </w:r>
      <w:r w:rsidR="0064205A">
        <w:rPr>
          <w:rStyle w:val="FontStyle26"/>
          <w:rFonts w:ascii="Times New Roman" w:hAnsi="Times New Roman"/>
          <w:sz w:val="24"/>
        </w:rPr>
        <w:t>G</w:t>
      </w:r>
      <w:r>
        <w:rPr>
          <w:rStyle w:val="FontStyle26"/>
          <w:rFonts w:ascii="Times New Roman" w:hAnsi="Times New Roman"/>
          <w:sz w:val="24"/>
        </w:rPr>
        <w:t xml:space="preserve">" </w:t>
      </w:r>
      <w:r w:rsidR="0064205A">
        <w:rPr>
          <w:rStyle w:val="FontStyle26"/>
          <w:rFonts w:ascii="Times New Roman" w:hAnsi="Times New Roman"/>
          <w:sz w:val="24"/>
        </w:rPr>
        <w:t>................</w:t>
      </w:r>
      <w:r>
        <w:rPr>
          <w:rStyle w:val="FontStyle26"/>
          <w:rFonts w:ascii="Times New Roman" w:hAnsi="Times New Roman"/>
          <w:sz w:val="24"/>
        </w:rPr>
        <w:t>, începând cu 01.12.2012 și până la 17.12.2017.</w:t>
      </w:r>
    </w:p>
    <w:p w:rsidR="00243FA1" w:rsidRDefault="00AB16FE" w14:paraId="4B141E49" w14:textId="45843B41">
      <w:pPr>
        <w:pStyle w:val="Style7"/>
        <w:widowControl/>
        <w:ind w:firstLine="567"/>
        <w:jc w:val="both"/>
        <w:rPr>
          <w:rStyle w:val="FontStyle26"/>
          <w:rFonts w:ascii="Times New Roman" w:hAnsi="Times New Roman"/>
          <w:sz w:val="24"/>
        </w:rPr>
      </w:pPr>
      <w:r>
        <w:rPr>
          <w:rStyle w:val="FontStyle26"/>
          <w:rFonts w:ascii="Times New Roman" w:hAnsi="Times New Roman"/>
          <w:sz w:val="24"/>
        </w:rPr>
        <w:t xml:space="preserve">La 18.12.2017, reclamantul a fost menținut în poziția de conducere a Casei de Cultură, după ce aceasta a fost reorganizată prin comasarea a două compartimente, în noua structură definită ca fiind Compartimentul Casei de Cultură "Dr. </w:t>
      </w:r>
      <w:r w:rsidR="0064205A">
        <w:rPr>
          <w:rStyle w:val="FontStyle26"/>
          <w:rFonts w:ascii="Times New Roman" w:hAnsi="Times New Roman"/>
          <w:sz w:val="24"/>
        </w:rPr>
        <w:t>H</w:t>
      </w:r>
      <w:r>
        <w:rPr>
          <w:rStyle w:val="FontStyle26"/>
          <w:rFonts w:ascii="Times New Roman" w:hAnsi="Times New Roman"/>
          <w:sz w:val="24"/>
        </w:rPr>
        <w:t xml:space="preserve">" </w:t>
      </w:r>
      <w:r w:rsidR="0064205A">
        <w:rPr>
          <w:rStyle w:val="FontStyle26"/>
          <w:rFonts w:ascii="Times New Roman" w:hAnsi="Times New Roman"/>
          <w:sz w:val="24"/>
        </w:rPr>
        <w:t>................</w:t>
      </w:r>
      <w:r>
        <w:rPr>
          <w:rStyle w:val="FontStyle26"/>
          <w:rFonts w:ascii="Times New Roman" w:hAnsi="Times New Roman"/>
          <w:sz w:val="24"/>
        </w:rPr>
        <w:t xml:space="preserve">. S-a încheiat în acest sens, Contractul individual de muncă nr. </w:t>
      </w:r>
      <w:r w:rsidR="0064205A">
        <w:rPr>
          <w:rStyle w:val="FontStyle26"/>
          <w:rFonts w:ascii="Times New Roman" w:hAnsi="Times New Roman"/>
          <w:sz w:val="24"/>
        </w:rPr>
        <w:t>....57/.....2017</w:t>
      </w:r>
      <w:r>
        <w:rPr>
          <w:rStyle w:val="FontStyle26"/>
          <w:rFonts w:ascii="Times New Roman" w:hAnsi="Times New Roman"/>
          <w:sz w:val="24"/>
        </w:rPr>
        <w:t>.</w:t>
      </w:r>
    </w:p>
    <w:p w:rsidR="00243FA1" w:rsidRDefault="00AB16FE" w14:paraId="5DDAAFC2" w14:textId="77777777">
      <w:pPr>
        <w:pStyle w:val="Style7"/>
        <w:widowControl/>
        <w:ind w:firstLine="567"/>
        <w:jc w:val="both"/>
        <w:rPr>
          <w:rStyle w:val="FontStyle26"/>
          <w:rFonts w:ascii="Times New Roman" w:hAnsi="Times New Roman"/>
          <w:sz w:val="24"/>
        </w:rPr>
      </w:pPr>
      <w:r>
        <w:rPr>
          <w:rStyle w:val="FontStyle26"/>
          <w:rFonts w:ascii="Times New Roman" w:hAnsi="Times New Roman"/>
          <w:sz w:val="24"/>
        </w:rPr>
        <w:t>În cadrul contractului de management, remunerația stabilită în favoarea reclamantului a fost reglementată la art. IV, ca fiind în conformitate cu legislația în vigoare privind salarizarea personalului plătit din fonduri publice.</w:t>
      </w:r>
    </w:p>
    <w:p w:rsidR="00243FA1" w:rsidRDefault="00AB16FE" w14:paraId="29958C21" w14:textId="69DD75D1">
      <w:pPr>
        <w:pStyle w:val="Style7"/>
        <w:widowControl/>
        <w:ind w:firstLine="567"/>
        <w:jc w:val="both"/>
        <w:rPr>
          <w:rStyle w:val="FontStyle26"/>
          <w:rFonts w:ascii="Times New Roman" w:hAnsi="Times New Roman"/>
          <w:sz w:val="24"/>
        </w:rPr>
      </w:pPr>
      <w:r>
        <w:rPr>
          <w:rStyle w:val="FontStyle26"/>
          <w:rFonts w:ascii="Times New Roman" w:hAnsi="Times New Roman"/>
          <w:sz w:val="24"/>
        </w:rPr>
        <w:t xml:space="preserve">Adresa nr. </w:t>
      </w:r>
      <w:r w:rsidR="0064205A">
        <w:rPr>
          <w:rStyle w:val="FontStyle26"/>
          <w:rFonts w:ascii="Times New Roman" w:hAnsi="Times New Roman"/>
          <w:sz w:val="24"/>
        </w:rPr>
        <w:t>....60/......2018</w:t>
      </w:r>
      <w:r>
        <w:rPr>
          <w:rStyle w:val="FontStyle26"/>
          <w:rFonts w:ascii="Times New Roman" w:hAnsi="Times New Roman"/>
          <w:sz w:val="24"/>
        </w:rPr>
        <w:t xml:space="preserve"> emisă de pârâte, atestă faptul că salarizarea reclamantului s-a realizat prin aplicarea prevederilor Legii nr. 153/2017, Anexa II - Cultură.</w:t>
      </w:r>
    </w:p>
    <w:p w:rsidR="00243FA1" w:rsidRDefault="00AB16FE" w14:paraId="692DA1FB" w14:textId="0DEA8238">
      <w:pPr>
        <w:pStyle w:val="Style7"/>
        <w:widowControl/>
        <w:ind w:firstLine="567"/>
        <w:jc w:val="both"/>
        <w:rPr>
          <w:rStyle w:val="FontStyle26"/>
          <w:rFonts w:ascii="Times New Roman" w:hAnsi="Times New Roman"/>
          <w:sz w:val="24"/>
        </w:rPr>
      </w:pPr>
      <w:r>
        <w:rPr>
          <w:rStyle w:val="FontStyle26"/>
          <w:rFonts w:ascii="Times New Roman" w:hAnsi="Times New Roman"/>
          <w:sz w:val="24"/>
        </w:rPr>
        <w:t xml:space="preserve">În structura organizatorică a Mun. </w:t>
      </w:r>
      <w:r w:rsidR="0064205A">
        <w:rPr>
          <w:rStyle w:val="FontStyle26"/>
          <w:rFonts w:ascii="Times New Roman" w:hAnsi="Times New Roman"/>
          <w:sz w:val="24"/>
        </w:rPr>
        <w:t>................</w:t>
      </w:r>
      <w:r>
        <w:rPr>
          <w:rStyle w:val="FontStyle26"/>
          <w:rFonts w:ascii="Times New Roman" w:hAnsi="Times New Roman"/>
          <w:sz w:val="24"/>
        </w:rPr>
        <w:t xml:space="preserve">, Compartimentul Casei de Cultură "Dr. </w:t>
      </w:r>
      <w:r w:rsidR="0064205A">
        <w:rPr>
          <w:rStyle w:val="FontStyle26"/>
          <w:rFonts w:ascii="Times New Roman" w:hAnsi="Times New Roman"/>
          <w:sz w:val="24"/>
        </w:rPr>
        <w:t>H</w:t>
      </w:r>
      <w:r>
        <w:rPr>
          <w:rStyle w:val="FontStyle26"/>
          <w:rFonts w:ascii="Times New Roman" w:hAnsi="Times New Roman"/>
          <w:sz w:val="24"/>
        </w:rPr>
        <w:t xml:space="preserve">" reprezintă un compartiment aflat în subordinea Instituției Primarului (ierarhic: subordonat Compartimentului învățământ, Cultură, Sport, subordonat Viceprimarului, subordinat Primarului), fără personalitate juridică proprie, iar contractul de management al reclamantului este încheiat cu Mun. </w:t>
      </w:r>
      <w:r w:rsidR="0064205A">
        <w:rPr>
          <w:rStyle w:val="FontStyle26"/>
          <w:rFonts w:ascii="Times New Roman" w:hAnsi="Times New Roman"/>
          <w:sz w:val="24"/>
        </w:rPr>
        <w:t>................</w:t>
      </w:r>
      <w:r>
        <w:rPr>
          <w:rStyle w:val="FontStyle26"/>
          <w:rFonts w:ascii="Times New Roman" w:hAnsi="Times New Roman"/>
          <w:sz w:val="24"/>
        </w:rPr>
        <w:t>, în calitate de angajator, nicidecum cu Compartimentul Casei de Cultură.</w:t>
      </w:r>
    </w:p>
    <w:p w:rsidR="00243FA1" w:rsidRDefault="00AB16FE" w14:paraId="16AC0BC7" w14:textId="043B778B">
      <w:pPr>
        <w:pStyle w:val="Style11"/>
        <w:widowControl/>
        <w:ind w:firstLine="567"/>
        <w:jc w:val="both"/>
        <w:rPr>
          <w:rStyle w:val="FontStyle26"/>
          <w:rFonts w:ascii="Times New Roman" w:hAnsi="Times New Roman"/>
          <w:sz w:val="24"/>
        </w:rPr>
      </w:pPr>
      <w:r>
        <w:rPr>
          <w:rStyle w:val="FontStyle26"/>
          <w:rFonts w:ascii="Times New Roman" w:hAnsi="Times New Roman"/>
          <w:sz w:val="24"/>
        </w:rPr>
        <w:t xml:space="preserve">Salarizarea personalului contractual din cadrul municipiului </w:t>
      </w:r>
      <w:r w:rsidR="0064205A">
        <w:rPr>
          <w:rStyle w:val="FontStyle26"/>
          <w:rFonts w:ascii="Times New Roman" w:hAnsi="Times New Roman"/>
          <w:sz w:val="24"/>
        </w:rPr>
        <w:t>................</w:t>
      </w:r>
      <w:r>
        <w:rPr>
          <w:rStyle w:val="FontStyle26"/>
          <w:rFonts w:ascii="Times New Roman" w:hAnsi="Times New Roman"/>
          <w:sz w:val="24"/>
        </w:rPr>
        <w:t xml:space="preserve"> se realizează în baza HCL nr. 134/2017, emisă după intrarea în vigoare a Legii nr. 153/2017 privind salarizarea personalului fin fonduri publice, Anexa VIII - Administrație Publică, completat de Anexa 1 la această hotărâre, unde sunt prevăzute toate posturile, coeficienții de salarizare și nivelul de studii necesare. Funcția de șef birou - personal contractual (art. E, Contract individual de muncă nr. </w:t>
      </w:r>
      <w:r w:rsidR="0064205A">
        <w:rPr>
          <w:rStyle w:val="FontStyle26"/>
          <w:rFonts w:ascii="Times New Roman" w:hAnsi="Times New Roman"/>
          <w:sz w:val="24"/>
        </w:rPr>
        <w:t>....57/.....2017</w:t>
      </w:r>
      <w:r>
        <w:rPr>
          <w:rStyle w:val="FontStyle26"/>
          <w:rFonts w:ascii="Times New Roman" w:hAnsi="Times New Roman"/>
          <w:sz w:val="24"/>
        </w:rPr>
        <w:t>) - este prevăzută la Anexa 1, lit. a, funcții de conducere, poziția 2, cu nivel studii superioare (S) și coeficient ierarhizare 3,40.</w:t>
      </w:r>
    </w:p>
    <w:p w:rsidR="00243FA1" w:rsidRDefault="00AB16FE" w14:paraId="614C92DB" w14:textId="581D8D9D">
      <w:pPr>
        <w:pStyle w:val="Style7"/>
        <w:widowControl/>
        <w:ind w:firstLine="567"/>
        <w:jc w:val="both"/>
        <w:rPr>
          <w:rStyle w:val="FontStyle26"/>
          <w:rFonts w:ascii="Times New Roman" w:hAnsi="Times New Roman"/>
          <w:sz w:val="24"/>
        </w:rPr>
      </w:pPr>
      <w:r>
        <w:rPr>
          <w:rStyle w:val="FontStyle26"/>
          <w:rFonts w:ascii="Times New Roman" w:hAnsi="Times New Roman"/>
          <w:sz w:val="24"/>
        </w:rPr>
        <w:t xml:space="preserve">Prevederile legale aplicabile în materia salarizării postului de șef Birou, deținut de către reclamant, angajat al Mun. </w:t>
      </w:r>
      <w:r w:rsidR="0064205A">
        <w:rPr>
          <w:rStyle w:val="FontStyle26"/>
          <w:rFonts w:ascii="Times New Roman" w:hAnsi="Times New Roman"/>
          <w:sz w:val="24"/>
        </w:rPr>
        <w:t>................</w:t>
      </w:r>
      <w:r>
        <w:rPr>
          <w:rStyle w:val="FontStyle26"/>
          <w:rFonts w:ascii="Times New Roman" w:hAnsi="Times New Roman"/>
          <w:sz w:val="24"/>
        </w:rPr>
        <w:t>, sunt cele din Anexa VIII - Administrație Publică, nicidecum cele de la Anexa II - Cultură, așa cum nelegal se statuează în cadrul considerentelor hotărârii primei instanțe.</w:t>
      </w:r>
    </w:p>
    <w:p w:rsidR="00243FA1" w:rsidRDefault="00AB16FE" w14:paraId="51AAB2ED" w14:textId="643BB6C4">
      <w:pPr>
        <w:pStyle w:val="Style7"/>
        <w:widowControl/>
        <w:ind w:firstLine="567"/>
        <w:jc w:val="both"/>
        <w:rPr>
          <w:rStyle w:val="FontStyle26"/>
          <w:rFonts w:ascii="Times New Roman" w:hAnsi="Times New Roman"/>
          <w:sz w:val="24"/>
        </w:rPr>
      </w:pPr>
      <w:r>
        <w:rPr>
          <w:rStyle w:val="FontStyle26"/>
          <w:rFonts w:ascii="Times New Roman" w:hAnsi="Times New Roman"/>
          <w:sz w:val="24"/>
        </w:rPr>
        <w:t xml:space="preserve">Astfel acesta consideră că: este incontestabilă apartenența reclamantului la personalul contractual din cadrul Mun. </w:t>
      </w:r>
      <w:r w:rsidR="0064205A">
        <w:rPr>
          <w:rStyle w:val="FontStyle26"/>
          <w:rFonts w:ascii="Times New Roman" w:hAnsi="Times New Roman"/>
          <w:sz w:val="24"/>
        </w:rPr>
        <w:t>................</w:t>
      </w:r>
      <w:r>
        <w:rPr>
          <w:rStyle w:val="FontStyle26"/>
          <w:rFonts w:ascii="Times New Roman" w:hAnsi="Times New Roman"/>
          <w:sz w:val="24"/>
        </w:rPr>
        <w:t xml:space="preserve">, ca șef birou; Compartimentul Casa de Cultură "Dr. </w:t>
      </w:r>
      <w:r w:rsidR="0064205A">
        <w:rPr>
          <w:rStyle w:val="FontStyle26"/>
          <w:rFonts w:ascii="Times New Roman" w:hAnsi="Times New Roman"/>
          <w:sz w:val="24"/>
        </w:rPr>
        <w:t>H</w:t>
      </w:r>
      <w:r>
        <w:rPr>
          <w:rStyle w:val="FontStyle26"/>
          <w:rFonts w:ascii="Times New Roman" w:hAnsi="Times New Roman"/>
          <w:sz w:val="24"/>
        </w:rPr>
        <w:t xml:space="preserve">" reprezintă un serviciu/compartiment administrativ, în organigrama și în subordinea Primarului; Compartimentul Casa de Cultură "Dr. </w:t>
      </w:r>
      <w:r w:rsidR="0064205A">
        <w:rPr>
          <w:rStyle w:val="FontStyle26"/>
          <w:rFonts w:ascii="Times New Roman" w:hAnsi="Times New Roman"/>
          <w:sz w:val="24"/>
        </w:rPr>
        <w:t>H</w:t>
      </w:r>
      <w:r>
        <w:rPr>
          <w:rStyle w:val="FontStyle26"/>
          <w:rFonts w:ascii="Times New Roman" w:hAnsi="Times New Roman"/>
          <w:sz w:val="24"/>
        </w:rPr>
        <w:t>" nu are personalitate juridică proprie, nici buget propriu, iar resursele umane sunt asigurate de personalul propriu al primăriei;</w:t>
      </w:r>
    </w:p>
    <w:p w:rsidR="00243FA1" w:rsidRDefault="00AB16FE" w14:paraId="1C9EFFFF" w14:textId="5037D160">
      <w:pPr>
        <w:pStyle w:val="Style13"/>
        <w:widowControl/>
        <w:ind w:firstLine="567"/>
        <w:jc w:val="both"/>
        <w:rPr>
          <w:rStyle w:val="FontStyle26"/>
          <w:rFonts w:ascii="Times New Roman" w:hAnsi="Times New Roman"/>
          <w:sz w:val="24"/>
        </w:rPr>
      </w:pPr>
      <w:r>
        <w:rPr>
          <w:rStyle w:val="FontStyle26"/>
          <w:rFonts w:ascii="Times New Roman" w:hAnsi="Times New Roman"/>
          <w:sz w:val="24"/>
        </w:rPr>
        <w:t xml:space="preserve">Compartimentul Casa de Cultură "Dr. </w:t>
      </w:r>
      <w:r w:rsidR="0064205A">
        <w:rPr>
          <w:rStyle w:val="FontStyle26"/>
          <w:rFonts w:ascii="Times New Roman" w:hAnsi="Times New Roman"/>
          <w:sz w:val="24"/>
        </w:rPr>
        <w:t>H</w:t>
      </w:r>
      <w:r>
        <w:rPr>
          <w:rStyle w:val="FontStyle26"/>
          <w:rFonts w:ascii="Times New Roman" w:hAnsi="Times New Roman"/>
          <w:sz w:val="24"/>
        </w:rPr>
        <w:t xml:space="preserve">" nu reprezintă o instituție de cultură, așa cum aceasta este definită de OUG. 189/2008, tocmai pentru că nu are personalitate juridică proprie, nu este un subiect de drept de sine stătător, independent de Mun. </w:t>
      </w:r>
      <w:r w:rsidR="0064205A">
        <w:rPr>
          <w:rStyle w:val="FontStyle26"/>
          <w:rFonts w:ascii="Times New Roman" w:hAnsi="Times New Roman"/>
          <w:sz w:val="24"/>
        </w:rPr>
        <w:t>................</w:t>
      </w:r>
      <w:r>
        <w:rPr>
          <w:rStyle w:val="FontStyle26"/>
          <w:rFonts w:ascii="Times New Roman" w:hAnsi="Times New Roman"/>
          <w:sz w:val="24"/>
        </w:rPr>
        <w:t>; Singura ipoteză în care salariul reclamantului poate fi supus disp. Anexei II - Cultură, este aceea în care Casa de Cultură ar fi o instituție distinctă, cu personalitate juridică proprie, cu buget propriu și/sau organigramă și personal propriu, aflată în subordinea Ministerului Culturii, ipoteză clar exclusă în prezenta cauză.</w:t>
      </w:r>
    </w:p>
    <w:p w:rsidR="00243FA1" w:rsidRDefault="00AB16FE" w14:paraId="1ACFA192" w14:textId="1D6A16E6">
      <w:pPr>
        <w:pStyle w:val="Style11"/>
        <w:widowControl/>
        <w:ind w:firstLine="567"/>
        <w:jc w:val="both"/>
        <w:rPr>
          <w:rStyle w:val="FontStyle26"/>
          <w:rFonts w:ascii="Times New Roman" w:hAnsi="Times New Roman"/>
          <w:sz w:val="24"/>
        </w:rPr>
      </w:pPr>
      <w:r>
        <w:rPr>
          <w:rStyle w:val="FontStyle26"/>
          <w:rFonts w:ascii="Times New Roman" w:hAnsi="Times New Roman"/>
          <w:sz w:val="24"/>
        </w:rPr>
        <w:t xml:space="preserve">Potrivit chiar mențiunii din Adresa nr. </w:t>
      </w:r>
      <w:r w:rsidR="0064205A">
        <w:rPr>
          <w:rStyle w:val="FontStyle26"/>
          <w:rFonts w:ascii="Times New Roman" w:hAnsi="Times New Roman"/>
          <w:sz w:val="24"/>
        </w:rPr>
        <w:t>...5/...../......2019</w:t>
      </w:r>
      <w:r>
        <w:rPr>
          <w:rStyle w:val="FontStyle26"/>
          <w:rFonts w:ascii="Times New Roman" w:hAnsi="Times New Roman"/>
          <w:sz w:val="24"/>
        </w:rPr>
        <w:t xml:space="preserve">, domeniul de care aparține autoritatea publică în cadrul căreia funcționează compartimentul casei de cultură, este administrație publică. Pe cale de consecință, salarizarea personalului contractual al acestui compartiment din cadrul municipiului </w:t>
      </w:r>
      <w:r w:rsidR="0064205A">
        <w:rPr>
          <w:rStyle w:val="FontStyle26"/>
          <w:rFonts w:ascii="Times New Roman" w:hAnsi="Times New Roman"/>
          <w:sz w:val="24"/>
        </w:rPr>
        <w:t>................</w:t>
      </w:r>
      <w:r>
        <w:rPr>
          <w:rStyle w:val="FontStyle26"/>
          <w:rFonts w:ascii="Times New Roman" w:hAnsi="Times New Roman"/>
          <w:sz w:val="24"/>
        </w:rPr>
        <w:t xml:space="preserve"> se face potrivit anexei VIII - Administrație Publică, nicidecum prin preluarea salarizării din Anexa III - Cultură, iar aplicarea dispozițiilor OUG nr. 118/2006 este greșită față de compartimentul Casei de cultură. Contrar celor reținute de prima instanța, acest compartiment din cadrul Mun. </w:t>
      </w:r>
      <w:r w:rsidR="0064205A">
        <w:rPr>
          <w:rStyle w:val="FontStyle26"/>
          <w:rFonts w:ascii="Times New Roman" w:hAnsi="Times New Roman"/>
          <w:sz w:val="24"/>
        </w:rPr>
        <w:t>................</w:t>
      </w:r>
      <w:r>
        <w:rPr>
          <w:rStyle w:val="FontStyle26"/>
          <w:rFonts w:ascii="Times New Roman" w:hAnsi="Times New Roman"/>
          <w:sz w:val="24"/>
        </w:rPr>
        <w:t xml:space="preserve"> nu are personalitate juridică </w:t>
      </w:r>
      <w:r>
        <w:rPr>
          <w:rStyle w:val="FontStyle26"/>
          <w:rFonts w:ascii="Times New Roman" w:hAnsi="Times New Roman"/>
          <w:sz w:val="24"/>
        </w:rPr>
        <w:lastRenderedPageBreak/>
        <w:t>proprie și nici buget propriu, iar subordonarea se face față de autoritatea publică locală, nu față de o instituție de cultura distinctă și cu personalitate proprie (Ex. Ministerul Culturii).</w:t>
      </w:r>
    </w:p>
    <w:p w:rsidR="00243FA1" w:rsidRDefault="00AB16FE" w14:paraId="2A761FE7" w14:textId="77777777">
      <w:pPr>
        <w:pStyle w:val="Style7"/>
        <w:widowControl/>
        <w:ind w:firstLine="567"/>
        <w:jc w:val="both"/>
        <w:rPr>
          <w:rStyle w:val="FontStyle26"/>
          <w:rFonts w:ascii="Times New Roman" w:hAnsi="Times New Roman"/>
          <w:sz w:val="24"/>
        </w:rPr>
      </w:pPr>
      <w:r>
        <w:rPr>
          <w:rStyle w:val="FontStyle26"/>
          <w:rFonts w:ascii="Times New Roman" w:hAnsi="Times New Roman"/>
          <w:sz w:val="24"/>
        </w:rPr>
        <w:t>Recurentul consideră că hotărârea primei instanțe s-a pronunțat cu încălcarea autorității de lucru judecat a doua decizii, astfel:</w:t>
      </w:r>
      <w:bookmarkStart w:name="_GoBack" w:id="0"/>
      <w:bookmarkEnd w:id="0"/>
    </w:p>
    <w:p w:rsidRPr="00046ECB" w:rsidR="0064205A" w:rsidP="0064205A" w:rsidRDefault="0064205A" w14:paraId="14C73D28" w14:textId="56656438">
      <w:pPr>
        <w:ind w:firstLine="567"/>
        <w:jc w:val="both"/>
        <w:rPr>
          <w:color w:val="000000" w:themeColor="text1"/>
        </w:rPr>
      </w:pPr>
      <w:r w:rsidRPr="00046ECB">
        <w:rPr>
          <w:color w:val="000000" w:themeColor="text1"/>
        </w:rPr>
        <w:t xml:space="preserve">Sentința civilă nr. </w:t>
      </w:r>
      <w:r w:rsidR="009400F7">
        <w:rPr>
          <w:color w:val="000000" w:themeColor="text1"/>
        </w:rPr>
        <w:t>...</w:t>
      </w:r>
      <w:r w:rsidRPr="00046ECB">
        <w:rPr>
          <w:color w:val="000000" w:themeColor="text1"/>
        </w:rPr>
        <w:t>/</w:t>
      </w:r>
      <w:r w:rsidR="009400F7">
        <w:rPr>
          <w:color w:val="000000" w:themeColor="text1"/>
        </w:rPr>
        <w:t>...</w:t>
      </w:r>
      <w:r w:rsidRPr="00046ECB">
        <w:rPr>
          <w:color w:val="000000" w:themeColor="text1"/>
        </w:rPr>
        <w:t xml:space="preserve">.06.2018 a Tribunalului </w:t>
      </w:r>
      <w:r w:rsidR="009400F7">
        <w:rPr>
          <w:color w:val="000000" w:themeColor="text1"/>
        </w:rPr>
        <w:t>...</w:t>
      </w:r>
      <w:r w:rsidRPr="00046ECB">
        <w:rPr>
          <w:color w:val="000000" w:themeColor="text1"/>
        </w:rPr>
        <w:t xml:space="preserve">, rămasă definitivă prin Decizia civilă nr. </w:t>
      </w:r>
      <w:r w:rsidR="009400F7">
        <w:rPr>
          <w:color w:val="000000" w:themeColor="text1"/>
        </w:rPr>
        <w:t>...</w:t>
      </w:r>
      <w:r w:rsidRPr="00046ECB">
        <w:rPr>
          <w:color w:val="000000" w:themeColor="text1"/>
        </w:rPr>
        <w:t>/A/</w:t>
      </w:r>
      <w:r w:rsidR="009400F7">
        <w:rPr>
          <w:color w:val="000000" w:themeColor="text1"/>
        </w:rPr>
        <w:t>...</w:t>
      </w:r>
      <w:r w:rsidRPr="00046ECB">
        <w:rPr>
          <w:color w:val="000000" w:themeColor="text1"/>
        </w:rPr>
        <w:t xml:space="preserve">.11.2018 a Curții de Apel </w:t>
      </w:r>
      <w:r w:rsidR="009400F7">
        <w:rPr>
          <w:color w:val="000000" w:themeColor="text1"/>
        </w:rPr>
        <w:t>....</w:t>
      </w:r>
      <w:r w:rsidRPr="00046ECB">
        <w:rPr>
          <w:color w:val="000000" w:themeColor="text1"/>
        </w:rPr>
        <w:t xml:space="preserve">, care a soluționat un litigiu între angajații Mun. </w:t>
      </w:r>
      <w:r w:rsidR="009400F7">
        <w:rPr>
          <w:color w:val="000000" w:themeColor="text1"/>
        </w:rPr>
        <w:t>...</w:t>
      </w:r>
      <w:r w:rsidRPr="00046ECB">
        <w:rPr>
          <w:color w:val="000000" w:themeColor="text1"/>
        </w:rPr>
        <w:t>, Compartimentul Casei de Cultură "</w:t>
      </w:r>
      <w:r w:rsidR="009400F7">
        <w:rPr>
          <w:color w:val="000000" w:themeColor="text1"/>
        </w:rPr>
        <w:t>Q</w:t>
      </w:r>
      <w:r w:rsidRPr="00046ECB">
        <w:rPr>
          <w:color w:val="000000" w:themeColor="text1"/>
        </w:rPr>
        <w:t>" (inclusiv funcția de director, manager, șef compartiment - adică situația identică a reclamantului din prezenta acțiune)</w:t>
      </w:r>
      <w:r w:rsidRPr="00046ECB">
        <w:rPr>
          <w:i/>
          <w:color w:val="000000" w:themeColor="text1"/>
        </w:rPr>
        <w:t xml:space="preserve"> </w:t>
      </w:r>
      <w:r w:rsidRPr="00046ECB">
        <w:rPr>
          <w:color w:val="000000" w:themeColor="text1"/>
        </w:rPr>
        <w:t xml:space="preserve">și Mun. </w:t>
      </w:r>
      <w:r w:rsidR="009400F7">
        <w:rPr>
          <w:color w:val="000000" w:themeColor="text1"/>
        </w:rPr>
        <w:t>...</w:t>
      </w:r>
      <w:r w:rsidRPr="00046ECB">
        <w:rPr>
          <w:color w:val="000000" w:themeColor="text1"/>
        </w:rPr>
        <w:t>, cu privire la aplicarea regimului de salarizare prevăzut de Cap. VIII -Administrație și nu al celui prev. de Cap. III - Cultură, invocat a fi cel corect și legal de către pirite: în această hotărâre judecătorească definitivă, instanța a statuat că, fiind vorba de un compartiment din cadrul instituției publice a primăriei orașului pârât, și nu o instituție de cultură cu personalitate juridică proprie, "este incontestabilă apartenența reclamanților la personalul contractual din cadrul familiei ocupaționale "Administrație" din primării și consilii locale, deci cărora li se aplică dispozițiile speciale ale art. 11 și ale art. 38, alin. 1 și 2, lit. b din Legea nr. 153/2017</w:t>
      </w:r>
      <w:r w:rsidRPr="00046ECB">
        <w:rPr>
          <w:i/>
          <w:color w:val="000000" w:themeColor="text1"/>
        </w:rPr>
        <w:t xml:space="preserve"> </w:t>
      </w:r>
      <w:r w:rsidRPr="00046ECB">
        <w:rPr>
          <w:color w:val="000000" w:themeColor="text1"/>
        </w:rPr>
        <w:t>(pag. 3, alin. 3, Sentință);</w:t>
      </w:r>
    </w:p>
    <w:p w:rsidRPr="00046ECB" w:rsidR="0064205A" w:rsidP="0064205A" w:rsidRDefault="0064205A" w14:paraId="3A81E8F2" w14:textId="3F3FC605">
      <w:pPr>
        <w:ind w:firstLine="567"/>
        <w:jc w:val="both"/>
        <w:rPr>
          <w:color w:val="000000" w:themeColor="text1"/>
        </w:rPr>
      </w:pPr>
      <w:r w:rsidRPr="00046ECB">
        <w:rPr>
          <w:color w:val="000000" w:themeColor="text1"/>
        </w:rPr>
        <w:t xml:space="preserve">Sentința civilă nr. </w:t>
      </w:r>
      <w:r w:rsidR="009400F7">
        <w:rPr>
          <w:color w:val="000000" w:themeColor="text1"/>
        </w:rPr>
        <w:t>...</w:t>
      </w:r>
      <w:r w:rsidRPr="00046ECB">
        <w:rPr>
          <w:color w:val="000000" w:themeColor="text1"/>
        </w:rPr>
        <w:t>/</w:t>
      </w:r>
      <w:r w:rsidR="009400F7">
        <w:rPr>
          <w:color w:val="000000" w:themeColor="text1"/>
        </w:rPr>
        <w:t>..</w:t>
      </w:r>
      <w:r w:rsidRPr="00046ECB">
        <w:rPr>
          <w:color w:val="000000" w:themeColor="text1"/>
        </w:rPr>
        <w:t xml:space="preserve">.05.2021 a Tribunalului </w:t>
      </w:r>
      <w:r w:rsidR="009400F7">
        <w:rPr>
          <w:color w:val="000000" w:themeColor="text1"/>
        </w:rPr>
        <w:t>...</w:t>
      </w:r>
      <w:r w:rsidRPr="00046ECB">
        <w:rPr>
          <w:color w:val="000000" w:themeColor="text1"/>
        </w:rPr>
        <w:t xml:space="preserve">, rămasa definitivă prin Decizia civila nr. </w:t>
      </w:r>
      <w:r w:rsidR="009400F7">
        <w:rPr>
          <w:color w:val="000000" w:themeColor="text1"/>
        </w:rPr>
        <w:t>...</w:t>
      </w:r>
      <w:r w:rsidRPr="00046ECB">
        <w:rPr>
          <w:color w:val="000000" w:themeColor="text1"/>
        </w:rPr>
        <w:t>/A/</w:t>
      </w:r>
      <w:r w:rsidR="009400F7">
        <w:rPr>
          <w:color w:val="000000" w:themeColor="text1"/>
        </w:rPr>
        <w:t>...</w:t>
      </w:r>
      <w:r w:rsidRPr="00046ECB">
        <w:rPr>
          <w:color w:val="000000" w:themeColor="text1"/>
        </w:rPr>
        <w:t xml:space="preserve">.09.2021 a Curții de Apel </w:t>
      </w:r>
      <w:r w:rsidR="009400F7">
        <w:rPr>
          <w:color w:val="000000" w:themeColor="text1"/>
        </w:rPr>
        <w:t>...</w:t>
      </w:r>
      <w:r w:rsidRPr="00046ECB">
        <w:rPr>
          <w:color w:val="000000" w:themeColor="text1"/>
        </w:rPr>
        <w:t xml:space="preserve"> prin care s-a admis acțiunea inițiala (din care s-a disjuns prezentul dosar), - în cadrul căreia regimul juridic de apartenența al compartimentului casei de cultura, de domeniul administrației publice locale (inclusiv salarizarea personalului) a fost deja tranșata, în sensul celor indicate și prin acțiunea lor.</w:t>
      </w:r>
    </w:p>
    <w:p w:rsidRPr="0064205A" w:rsidR="0064205A" w:rsidP="0064205A" w:rsidRDefault="0064205A" w14:paraId="24D25559" w14:textId="77777777">
      <w:pPr>
        <w:ind w:firstLine="567"/>
        <w:jc w:val="both"/>
      </w:pPr>
      <w:r w:rsidRPr="0064205A">
        <w:t>Pentru toate argumentele expuse, în temeiul disp. art. 483, art. 488, pct. 7 și 8 și art. 498 din Codul de procedură civilă, recurentul solicită  respectuos admiterea recursului, casarea în tot a hotărârii primei instanțe și admiterea acțiunii sale, cu consecința obligării intimatelor la plata cheltuielilor de judecata, constând în onorariu reprezentare și costuri deplasare, potrivit dovezilor de la dosar.</w:t>
      </w:r>
    </w:p>
    <w:p w:rsidR="00243FA1" w:rsidRDefault="00AB16FE" w14:paraId="16E63E50" w14:textId="480D1981">
      <w:pPr>
        <w:ind w:firstLine="567"/>
        <w:jc w:val="both"/>
      </w:pPr>
      <w:r>
        <w:rPr>
          <w:b/>
        </w:rPr>
        <w:t xml:space="preserve">La data de </w:t>
      </w:r>
      <w:r w:rsidR="00046ECB">
        <w:rPr>
          <w:b/>
        </w:rPr>
        <w:t>.........</w:t>
      </w:r>
      <w:r>
        <w:rPr>
          <w:b/>
        </w:rPr>
        <w:t xml:space="preserve">, au formulat întâmpinare intimații Consiliul local al municipiului </w:t>
      </w:r>
      <w:r w:rsidR="0064205A">
        <w:rPr>
          <w:b/>
        </w:rPr>
        <w:t>................</w:t>
      </w:r>
      <w:r>
        <w:rPr>
          <w:b/>
        </w:rPr>
        <w:t xml:space="preserve"> și Municipiul </w:t>
      </w:r>
      <w:r w:rsidR="0064205A">
        <w:rPr>
          <w:b/>
        </w:rPr>
        <w:t>................</w:t>
      </w:r>
      <w:r>
        <w:t>, solicitând respingerea recursului declarat ca fiind nefondat și neîntemeiat, sentința pronunțată de către tribunal fiind ferită de orice critică pentru următoarele motive:</w:t>
      </w:r>
    </w:p>
    <w:p w:rsidR="00243FA1" w:rsidRDefault="00AB16FE" w14:paraId="19F14A40" w14:textId="56CBE66F">
      <w:pPr>
        <w:ind w:firstLine="567"/>
        <w:jc w:val="both"/>
      </w:pPr>
      <w:r>
        <w:t xml:space="preserve"> Intimații consideră că recurentul-reclamant critică sentința fără a lua în considerare motivarea instanței de fond prin care în mod legal s-a reținut că reclamantul și-a desfășurat activitatea în baza contractului de management nr. </w:t>
      </w:r>
      <w:r w:rsidR="0064205A">
        <w:t>....74/....2012</w:t>
      </w:r>
      <w:r>
        <w:t>, în perioada 01.12.2012-01.12.2017, ocupând funcția de manager al Casei de Cultură a tineretului "</w:t>
      </w:r>
      <w:r w:rsidR="0064205A">
        <w:t>G</w:t>
      </w:r>
      <w:r>
        <w:t xml:space="preserve">" din localitatea </w:t>
      </w:r>
      <w:r w:rsidR="0064205A">
        <w:t>................</w:t>
      </w:r>
      <w:r>
        <w:t>.</w:t>
      </w:r>
    </w:p>
    <w:p w:rsidR="00243FA1" w:rsidRDefault="00AB16FE" w14:paraId="58BA274B" w14:textId="5CD61FD0">
      <w:pPr>
        <w:ind w:firstLine="567"/>
        <w:jc w:val="both"/>
      </w:pPr>
      <w:r>
        <w:t xml:space="preserve">Potrivit art. 2 din contractul de management menționat „(...) managerul se obligă să asigure organizarea, gestionarea și conducerea activității Casei de Cultură a Tineretului "G.  </w:t>
      </w:r>
      <w:r w:rsidR="0064205A">
        <w:t>................</w:t>
      </w:r>
      <w:r>
        <w:t>, denumită în continuare instituția, cu respectarea dispozițiilor legale în vigoare)”, iar prin art. 4 din contract părțile au convenit ca „(1) Pentru activitatea prestată conform dispozițiilor prezentului contract de management, managerul primește de la instituție, din subvențiile bugetare asigurate de autoritate în acest scop, o remunerație lunară, în valoare brută de 1654 lei/lunar...(2) Remunerația se actualizează (...) prin act adițional la prezentul contract de management." Mai mult, în art. 5 din același contract de management se stipulează că "Remunerația lunară a managerului se poate diminua sau majora în funcție de rezultatul fiecărei evaluări, raportat la realizarea obiectivelor și criteriilor de performanță stabilite prin prezentul contract de management, precum și la sumele alocate anual de autoritate pentru programul minimal. " iar în art. 32 că „Prezentul contract de management se completează de drept cu dispozițiile Ordonanței de urgență nr. 189/2008, actualizată".</w:t>
      </w:r>
    </w:p>
    <w:p w:rsidR="00243FA1" w:rsidRDefault="00AB16FE" w14:paraId="7882469D" w14:textId="77777777">
      <w:pPr>
        <w:ind w:firstLine="567"/>
        <w:jc w:val="both"/>
      </w:pPr>
      <w:r>
        <w:t xml:space="preserve">Ignorând toate aceste prevederi ale contractului pe care de altfel și le-a asumat, recurentul-reclamant a solicitat instanței prin cererea formulată ca remunerația sa prevăzută în contractul </w:t>
      </w:r>
      <w:r>
        <w:lastRenderedPageBreak/>
        <w:t>de management să fie stabilită prin raportare la prevederile art. 11, alin. 1-2 din Legea nr. 153/2017 și Anexei VIII, CAP. II, SUBCAP. 1, lit. A, secțiunea (pct.) IV din Legea nr. 153/2017. Ori, câtă vreme remunerația sa este una asumată prin contractul de management, care putea fi diminuată sau majorată în funcție de rezultatul fiecărei evaluări - lucru ce nu este posibil în cazul funcționarilor publici și a celor contractuali din cadrul familiei ocupaționale "Administrație", expres menționate în anexa nr. VIII, cap. I lit. A, pct. III și cap, II lit. A pct. IV, și anume, funcțiile din administrația publică locală, este profund nelegal ca reclamantul recurent să solicite altceva.</w:t>
      </w:r>
    </w:p>
    <w:p w:rsidR="00243FA1" w:rsidRDefault="00AB16FE" w14:paraId="38DBFFCE" w14:textId="1CFFEB7A">
      <w:pPr>
        <w:ind w:firstLine="567"/>
        <w:jc w:val="both"/>
      </w:pPr>
      <w:r>
        <w:t>Intimații consideră că în mod legal a reținut tribunalul (la pag. 11, parag. 4 din sentință) că „în conformitate cu proiectul de management al Casei de Cultură a Tineretului "</w:t>
      </w:r>
      <w:r w:rsidR="0064205A">
        <w:t>G</w:t>
      </w:r>
      <w:r>
        <w:t xml:space="preserve">,, din </w:t>
      </w:r>
      <w:r w:rsidR="0064205A">
        <w:t>................</w:t>
      </w:r>
      <w:r>
        <w:t>,  anexă la contractul de management, aceasta constituia o instituție publică de cultură, în accepțiunea OUG nr. 189/2008, astfel cum este specificat la cap. C 1" Analiza reglementărilor interne ale instituției și ale actelor normative incidente."</w:t>
      </w:r>
    </w:p>
    <w:p w:rsidR="00243FA1" w:rsidRDefault="00AB16FE" w14:paraId="6AF14498" w14:textId="77777777">
      <w:pPr>
        <w:ind w:firstLine="567"/>
        <w:jc w:val="both"/>
      </w:pPr>
      <w:r>
        <w:t>Potrivit prevederilor OUG nr. 189/2008 privind managementul instituțiilor publice de cultură, actualizată, „art. 2 în sensul prezentei ordonanțe de urgență, termenii și expresiile de mai jos au următoarele semnificații (...): b)manager - persoana fizică ce a câștigat concursul de proiecte de management și a încheiat un contract de management cu autoritatea, în condițiile prezentei ordonanțe de urgență; managerul nu este funcționar public, nu este angajat cu contract individual de muncă și nu are statut de funcție de autoritate publică; f) contract de management - contractul încheiat pe durată determinată între ordonatorul principal de credite și manager, prin care managerul se obligă, în schimbul unei remunerații, să asigure conducerea și buna administrare a activității instituției publice de cultură, în conformitate cu prevederile prezentei ordonanțe de urgență.</w:t>
      </w:r>
    </w:p>
    <w:p w:rsidR="00243FA1" w:rsidRDefault="00AB16FE" w14:paraId="44E1755A" w14:textId="77777777">
      <w:pPr>
        <w:ind w:firstLine="567"/>
        <w:jc w:val="both"/>
      </w:pPr>
      <w:r>
        <w:t>Intimații au mai invocat art. 22 care prevede că „ (1) în termen de 30 de zile lucrătoare de la data aducerii la cunoștința publici a rezultatului final al concursului, potrivit prevederilor art. 20 alin. (4), câștigătorul acestuia și ordonatorul principal de credite au obligația de a negocia, pe baza proiectului de management, clauzele contractului de management.”, art. 28 care prevede că „(1) pentru activitatea depusă, managerul are dreptul la o remunerație, în cuantumul și în limitele stipulate de lege, prevăzută în contractul de management” și art. 29 care prevede că „(1) remunerația managerului, prevăzută în contractul de management, este asimilată salariului numai din punct de vedere fiscal</w:t>
      </w:r>
      <w:r>
        <w:rPr>
          <w:u w:val="single"/>
        </w:rPr>
        <w:t>,</w:t>
      </w:r>
      <w:r>
        <w:t xml:space="preserve"> respectiv al obligațiilor ce decurg pentru manager și autoritate din legislația privind sistemul public de pensii și alte drepturi de asigurări sociale, inclusiv dreptul la asigurare pentru accidente de muncă și boli profesionale, din legislația privind sistemul asigurărilor pentru șomaj și stimularea ocupării forței de muncă, precum și din legislația privind asigurările de sănătate.(...)”</w:t>
      </w:r>
    </w:p>
    <w:p w:rsidR="00243FA1" w:rsidRDefault="00AB16FE" w14:paraId="185FDA89" w14:textId="34D4FADC">
      <w:pPr>
        <w:ind w:firstLine="567"/>
        <w:jc w:val="both"/>
      </w:pPr>
      <w:r>
        <w:t xml:space="preserve">Intimații susțin că urmare a celor arătate recurentul-reclamant nu poate susține că este străin de această legislație specială în baza căreia și-a desfășurat activitatea pe o durată de 5 ani - potrivit art. 4 din Contractul de Management nr. </w:t>
      </w:r>
      <w:r w:rsidR="0064205A">
        <w:t>....74/....2012</w:t>
      </w:r>
      <w:r>
        <w:t xml:space="preserve"> - cu atât mai mult cu cât a negociat clauzele contractului de management, inclusiv salarizarea.</w:t>
      </w:r>
    </w:p>
    <w:p w:rsidR="00243FA1" w:rsidRDefault="00AB16FE" w14:paraId="304F6F45" w14:textId="1B75DAC1">
      <w:pPr>
        <w:ind w:firstLine="567"/>
        <w:jc w:val="both"/>
      </w:pPr>
      <w:r>
        <w:t>De asemenea, în pofida solicitărilor recurentului-reclamant care nu mai dorește să se admită că activitatea desfășurată ca manager al Casei de Cultură a Tineretului "</w:t>
      </w:r>
      <w:r w:rsidR="0064205A">
        <w:t>G</w:t>
      </w:r>
      <w:r>
        <w:t xml:space="preserve">,, din </w:t>
      </w:r>
      <w:r w:rsidR="0064205A">
        <w:t>................</w:t>
      </w:r>
      <w:r>
        <w:t xml:space="preserve">, era supusă reglementărilor specifice domeniului cultură, indică și Anexa nr. 3 la Contractul de Management OBIECTIVE Șl CRITERII DE PERFORMANȚĂ, pct. 2, lit. c) ultimul paragraf, potrivit căruia: "Reglementări privind actele normative: - activitatea internă a instituției se desfășoară în conformitate cu întreaga legislație și este reglementată specific de OUG nr. 118/2006 și Regulamentul - cadru de organizare și funcționare a Caselor de cultură, în funcție de care s-a elaborat Regulamentul de organizare și funcționare propriu și Regulamentul de ordine interioară. </w:t>
      </w:r>
    </w:p>
    <w:p w:rsidR="00243FA1" w:rsidRDefault="00AB16FE" w14:paraId="726C7810" w14:textId="06711813">
      <w:pPr>
        <w:ind w:firstLine="567"/>
        <w:jc w:val="both"/>
      </w:pPr>
      <w:r>
        <w:t xml:space="preserve">Așadar, intimații consideră că nu poate fi primită și reținută de către instanța de control judiciar susținerea recurentului potrivit căreia este incontestabilă apartenența reclamantului la </w:t>
      </w:r>
      <w:r>
        <w:lastRenderedPageBreak/>
        <w:t xml:space="preserve">personalul contractual din cadrul Mun. </w:t>
      </w:r>
      <w:r w:rsidR="0064205A">
        <w:t>................</w:t>
      </w:r>
      <w:r>
        <w:t xml:space="preserve">, ca șef birou, câtă vreme acesta și-a desfășurat activitatea ca manager. În baza contactului de management în perioada 01.12.2012-01.12.2017 (și nu ca șef birou cum încearcă să inducă în eroare instanța), iar potrivit art. 2 lit. b) din OUG 189/2008 managerul nu este funcționar public, nu este angajat cu contract individual de muncă și nu are statut de funcție de autoritate publică. Pentru acest motiv, obiectul cererii de chemare în judecată (disjuns) respectiv, obligarea la stabilirea și calcularea în favoarea reclamantului, a drepturilor salariate cuvenite în temeiul Contractului de management nr. </w:t>
      </w:r>
      <w:r w:rsidR="0064205A">
        <w:t>....74/....2012</w:t>
      </w:r>
      <w:r>
        <w:t xml:space="preserve"> pentru perioada 01.07.2012-17.12.2017, în conformitate cu dispozițiile art. 11, alin. 1-2 din Legea nr. 153/2017 și ale Anexei VIII - Administrație, cap. II, lit. a, pct. IV, este în mod clar o solicitare neîntemeiată și nelegală.</w:t>
      </w:r>
    </w:p>
    <w:p w:rsidR="00243FA1" w:rsidRDefault="00AB16FE" w14:paraId="46470163" w14:textId="616CDBF6">
      <w:pPr>
        <w:ind w:firstLine="567"/>
        <w:jc w:val="both"/>
      </w:pPr>
      <w:r>
        <w:t>În aceeași ordine de idei, intimații solicită instanței să constate că funcția de manager este evidențiată în cadrul Anexei III Familia ocupațională de Funcții bugetare "Cultură" Unități de Cultură, Capitolul V, lit. a) - Funcții de conducere, aceasta neregăsindu-se în cadrul funcțiilor specifice familiei ocupaționale "Administrație" din Legea nr. 153/2017. Or, având în vedere că în perioada vizată Casa de Cultură a Tineretului "</w:t>
      </w:r>
      <w:r w:rsidR="0064205A">
        <w:t>G</w:t>
      </w:r>
      <w:r>
        <w:t xml:space="preserve">,, din </w:t>
      </w:r>
      <w:r w:rsidR="0064205A">
        <w:t>................</w:t>
      </w:r>
      <w:r>
        <w:t xml:space="preserve"> era organizată sub forma unei instituții de cultură, în mod corect salarizarea reclamantului s-a realizat în conformitate cu prevederile Anexei III - Familia ocupațională de Funcții bugetare "Cultură" Unități de Cultură, Capitolul V, lit. a) - Funcții de conducere, pentru care coeficienții și salariile sunt stabilite de lege și nu pot fi incluse la cele prevăzute de art. 11 din Legea nr. 153/2017 pentru a fi stabilite și aprobate în baza unui act administrativ adoptat de către consiliul local.</w:t>
      </w:r>
    </w:p>
    <w:p w:rsidR="00243FA1" w:rsidRDefault="00AB16FE" w14:paraId="2D0D0B4F" w14:textId="77777777">
      <w:pPr>
        <w:ind w:firstLine="567"/>
        <w:jc w:val="both"/>
      </w:pPr>
      <w:r>
        <w:t>Astfel, fața de cele mai sus expuse este incontestabilă apartenența recurentului-reclamant la personalul din cadrul Familiei ocupaționale "Cultură" așa încât acestuia nu i se aplică prevederile speciale ale art. 11 și art. 38, alin. 1 și alin. 2 lit. b din Legea nr. 153/2017.</w:t>
      </w:r>
    </w:p>
    <w:p w:rsidR="00243FA1" w:rsidRDefault="00AB16FE" w14:paraId="68778F18" w14:textId="61AF3102">
      <w:pPr>
        <w:ind w:firstLine="567"/>
        <w:jc w:val="both"/>
      </w:pPr>
      <w:r>
        <w:t xml:space="preserve">În ceea ce privește susținerea recurentului-reclamant cu privire la faptul că instanța de fond s-a pronunțat cu încălcarea autorității de lucru judecat a două decizii, intimații o consideră total greșită, deoarece nici una dintre cauzele menționate nu au același obiect, aceeași cauză și nu au fost purtat între aceleași părți. În primul caz este un litigiu între angajați ai Casei cultură din </w:t>
      </w:r>
      <w:r w:rsidR="00C543D7">
        <w:t>...</w:t>
      </w:r>
      <w:r>
        <w:t xml:space="preserve"> și Municipiul </w:t>
      </w:r>
      <w:r w:rsidR="00C543D7">
        <w:t>...</w:t>
      </w:r>
      <w:r>
        <w:t>, iar în al doilea caz obiectul nu era identic cu cel din prezenta cauză, de altfel acesta este și motivul disjungerii prezentei cauze.</w:t>
      </w:r>
    </w:p>
    <w:p w:rsidR="00243FA1" w:rsidRDefault="00AB16FE" w14:paraId="4DB96ACD" w14:textId="77777777">
      <w:pPr>
        <w:ind w:firstLine="567"/>
        <w:jc w:val="both"/>
      </w:pPr>
      <w:r>
        <w:t xml:space="preserve">În concluzie, pentru toate considerentele anterior expuse, intimații solicită respingerea recursului declarat ca nefondat și neîntemeiat și menținerea hotărârii atacate, aceasta fiind ferită de orice critică. </w:t>
      </w:r>
    </w:p>
    <w:p w:rsidR="00243FA1" w:rsidRDefault="00AB16FE" w14:paraId="5D432791" w14:textId="77777777">
      <w:pPr>
        <w:ind w:firstLine="567"/>
        <w:jc w:val="both"/>
        <w:rPr>
          <w:b/>
        </w:rPr>
      </w:pPr>
      <w:r>
        <w:rPr>
          <w:b/>
        </w:rPr>
        <w:t>Analizând legalitatea hotărârii atacate prin prisma criticilor formulate, Curtea apreciază că recursul este întemeiat, pentru următoarele considerente:</w:t>
      </w:r>
    </w:p>
    <w:p w:rsidR="00243FA1" w:rsidRDefault="00AB16FE" w14:paraId="7451D17F" w14:textId="52621E23">
      <w:pPr>
        <w:ind w:firstLine="567"/>
        <w:jc w:val="both"/>
      </w:pPr>
      <w:r>
        <w:t xml:space="preserve">În prealabil, </w:t>
      </w:r>
      <w:r>
        <w:rPr>
          <w:color w:val="000000"/>
        </w:rPr>
        <w:t xml:space="preserve">Curtea constată că reclamantul </w:t>
      </w:r>
      <w:r w:rsidR="00F3506A">
        <w:t>A</w:t>
      </w:r>
      <w:r>
        <w:rPr>
          <w:color w:val="000000"/>
        </w:rPr>
        <w:t xml:space="preserve"> prin cererea de recurs a invocat motivele de casare prevăzute la art. 488 alin. 1 pct. 7 și 8 </w:t>
      </w:r>
      <w:r>
        <w:t>din Codul de procedură civilă</w:t>
      </w:r>
      <w:r>
        <w:rPr>
          <w:color w:val="000000"/>
        </w:rPr>
        <w:t xml:space="preserve"> </w:t>
      </w:r>
      <w:r>
        <w:t>potrivit cărora „Casarea unor hotărâri se poate cere numai pentru următoarele motive de nelegalitate:… 7. când s-a încălcat autoritatea de lucru judecat; 8. când hotărârea a fost dată cu încălcarea sau aplicarea greșită a normelor de drept material.”</w:t>
      </w:r>
    </w:p>
    <w:p w:rsidR="00243FA1" w:rsidRDefault="00AB16FE" w14:paraId="01DEDD97" w14:textId="3B872040">
      <w:pPr>
        <w:ind w:firstLine="567"/>
        <w:jc w:val="both"/>
      </w:pPr>
      <w:r>
        <w:t xml:space="preserve">Curtea observă faptul că prin cererea care face obiectul prezentului dosar, reclamantul a solicitat ca pentru perioada 01.12.2012 - 01.12.2017, remunerația datorată de către Consiliul Local al Municipiului </w:t>
      </w:r>
      <w:r w:rsidR="0064205A">
        <w:t>................</w:t>
      </w:r>
      <w:r>
        <w:t xml:space="preserve"> acestuia, în baza contractului de management, să se stabilească prin raportare la prevederile art. 11 alin. 1-2 din Legea nr. 153/2017 și ale Anexei VIII, cap. II, subcap. 1, lit. a, secțiunea (pct.) IV din Legea nr. 153/2017, în concret în funcție de coeficientul 3,40 din anexa 1 la H.C.L. nr. 134/2017. De asemenea, acesta solicitase calcularea și plata diferențelor salariale rezultate astfel pe perioada respectivă raportat la sumele real plătite și obligarea pârâtei la plata dobânzii legale aferente fiecărei tranșe de drepturi salariale ce constituie diferența de sumă între salariul legal cuvenit și cel real plătit pentru aceeași perioadă, precum și cheltuieli de judecată.</w:t>
      </w:r>
    </w:p>
    <w:p w:rsidR="00243FA1" w:rsidRDefault="00AB16FE" w14:paraId="5DE7A56C" w14:textId="19216C42">
      <w:pPr>
        <w:ind w:firstLine="567"/>
        <w:jc w:val="both"/>
      </w:pPr>
      <w:r>
        <w:lastRenderedPageBreak/>
        <w:t xml:space="preserve">Prin sentința atacată, instanța de fond a dispus respingerea ca neîntemeiată a cererii formulate de reclamantul </w:t>
      </w:r>
      <w:r w:rsidR="0064205A">
        <w:t>A</w:t>
      </w:r>
      <w:r>
        <w:t>.</w:t>
      </w:r>
    </w:p>
    <w:p w:rsidRPr="00046ECB" w:rsidR="00046ECB" w:rsidP="00046ECB" w:rsidRDefault="00046ECB" w14:paraId="612E8AEC" w14:textId="4EED3F58">
      <w:pPr>
        <w:ind w:firstLine="567"/>
        <w:jc w:val="both"/>
      </w:pPr>
      <w:r w:rsidRPr="00046ECB">
        <w:t xml:space="preserve">În primul rând, în ceea ce privește critica adusă cu privire la încălcarea autorității de lucru judecat, Curtea constată faptul că recurentul - reclamant a indicat două hotărâri judecătorești respectiv Sentința civilă nr. </w:t>
      </w:r>
      <w:r w:rsidR="001D4573">
        <w:t>...</w:t>
      </w:r>
      <w:r w:rsidRPr="00046ECB">
        <w:t>/</w:t>
      </w:r>
      <w:r w:rsidR="001D4573">
        <w:t>...</w:t>
      </w:r>
      <w:r w:rsidRPr="00046ECB">
        <w:t xml:space="preserve">.06.2018 a Tribunalului </w:t>
      </w:r>
      <w:r w:rsidR="001D4573">
        <w:t>....</w:t>
      </w:r>
      <w:r w:rsidRPr="00046ECB">
        <w:t xml:space="preserve">, rămasă definitivă prin Decizia civilă nr. </w:t>
      </w:r>
      <w:r w:rsidR="001D4573">
        <w:t>...</w:t>
      </w:r>
      <w:r w:rsidRPr="00046ECB">
        <w:t>/A/</w:t>
      </w:r>
      <w:r w:rsidR="001D4573">
        <w:t>...</w:t>
      </w:r>
      <w:r w:rsidRPr="00046ECB">
        <w:t xml:space="preserve">11.2018 a Curții de Apel </w:t>
      </w:r>
      <w:r w:rsidR="001D4573">
        <w:t>....</w:t>
      </w:r>
      <w:r w:rsidRPr="00046ECB">
        <w:t xml:space="preserve"> și Sentința civilă nr. </w:t>
      </w:r>
      <w:r w:rsidR="001D4573">
        <w:t>...</w:t>
      </w:r>
      <w:r w:rsidRPr="00046ECB">
        <w:t>/</w:t>
      </w:r>
      <w:r w:rsidR="001D4573">
        <w:t>...</w:t>
      </w:r>
      <w:r w:rsidRPr="00046ECB">
        <w:t xml:space="preserve">05.2021 a Tribunalului </w:t>
      </w:r>
      <w:r w:rsidR="001D4573">
        <w:t>...</w:t>
      </w:r>
      <w:r w:rsidRPr="00046ECB">
        <w:t xml:space="preserve">, rămasa definitivă prin Decizia civila nr. </w:t>
      </w:r>
      <w:r w:rsidR="001D4573">
        <w:t>...</w:t>
      </w:r>
      <w:r w:rsidRPr="00046ECB">
        <w:t>/A/</w:t>
      </w:r>
      <w:r w:rsidR="001D4573">
        <w:t>...</w:t>
      </w:r>
      <w:r w:rsidRPr="00046ECB">
        <w:t xml:space="preserve">.09.2021 a Curții de Apel </w:t>
      </w:r>
      <w:r w:rsidR="001D4573">
        <w:t>...</w:t>
      </w:r>
      <w:r w:rsidRPr="00046ECB">
        <w:t>.</w:t>
      </w:r>
    </w:p>
    <w:p w:rsidR="00243FA1" w:rsidRDefault="00AB16FE" w14:paraId="20F698CF" w14:textId="77777777">
      <w:pPr>
        <w:ind w:firstLine="567"/>
        <w:jc w:val="both"/>
      </w:pPr>
      <w:r>
        <w:t>Curtea reține că potrivit art. 430 alin. 1, 2 din Codul de procedură civilă, hotărârea prin care se soluționează, în tot sau în parte, fondul cauzei sau se statuează asupra unei excepții procesuale ori asupra oricărui alt incident are, de la pronunțare, autoritate de lucru judecat, cu privire la chestiunea tranșată, această autoritate privind atât dispozitivul hotărârii, cât și considerentele pe care se sprijină, inclusiv cele prin care s-a rezolvat o chestiune litigioasă.</w:t>
      </w:r>
    </w:p>
    <w:p w:rsidR="00243FA1" w:rsidRDefault="00AB16FE" w14:paraId="2F510475" w14:textId="77777777">
      <w:pPr>
        <w:ind w:firstLine="567"/>
        <w:jc w:val="both"/>
      </w:pPr>
      <w:r>
        <w:t>Legiuitorul a statuat prin art. 431 din Codul de procedură civilă faptul că nimeni nu poate fi chemat în judecată de două ori în aceeași calitate, în temeiul aceleiași cauze și pentru același obiect, iar oricare dintre părți poate opune lucrul anterior judecat într-un alt litigiu, dacă are legătură cu soluționarea acestuia din urmă.</w:t>
      </w:r>
    </w:p>
    <w:p w:rsidR="00243FA1" w:rsidRDefault="00AB16FE" w14:paraId="5224CC60" w14:textId="77777777">
      <w:pPr>
        <w:ind w:firstLine="567"/>
        <w:jc w:val="both"/>
      </w:pPr>
      <w:r>
        <w:t xml:space="preserve">Așadar, Curtea constată că în speță, pentru a se putea discuta despre autoritatea de lucru judecat este necesar a fi îndeplinită tripla identitate de elemente la care se referă art. 431 alin. 1 din Codul de procedură civilă, respectiv părțile, obiectul și cauza. </w:t>
      </w:r>
    </w:p>
    <w:p w:rsidRPr="00046ECB" w:rsidR="00046ECB" w:rsidP="00046ECB" w:rsidRDefault="00046ECB" w14:paraId="50719100" w14:textId="5A8A269F">
      <w:pPr>
        <w:ind w:firstLine="567"/>
        <w:jc w:val="both"/>
      </w:pPr>
      <w:r w:rsidRPr="00046ECB">
        <w:t xml:space="preserve">Prima sentință menționată de recurent, respectiv Sentința civilă nr. </w:t>
      </w:r>
      <w:r w:rsidR="00EF557A">
        <w:t>...</w:t>
      </w:r>
      <w:r w:rsidRPr="00046ECB">
        <w:t>/</w:t>
      </w:r>
      <w:r w:rsidR="00EF557A">
        <w:t>...06.2018</w:t>
      </w:r>
      <w:r w:rsidRPr="00046ECB">
        <w:t xml:space="preserve"> a Tribunalului </w:t>
      </w:r>
      <w:r w:rsidR="00EF557A">
        <w:t>...</w:t>
      </w:r>
      <w:r w:rsidRPr="00046ECB">
        <w:t xml:space="preserve">, care a rămas rămasă definitivă prin Decizia civilă nr. </w:t>
      </w:r>
      <w:r w:rsidR="00EF557A">
        <w:t>...</w:t>
      </w:r>
      <w:r w:rsidRPr="00046ECB">
        <w:t>/A/</w:t>
      </w:r>
      <w:r w:rsidR="00EF557A">
        <w:t>...11.2018</w:t>
      </w:r>
      <w:r w:rsidRPr="00046ECB">
        <w:t xml:space="preserve"> a Curții de Apel </w:t>
      </w:r>
      <w:r w:rsidR="00EF557A">
        <w:t>...</w:t>
      </w:r>
      <w:r w:rsidRPr="00046ECB">
        <w:t xml:space="preserve">, a fost pronunțată în dosarul nr. </w:t>
      </w:r>
      <w:r w:rsidR="00EF557A">
        <w:t>.../.../2017</w:t>
      </w:r>
      <w:r w:rsidRPr="00046ECB">
        <w:t xml:space="preserve">, care avea ca obiect litigii de muncă - anulare act.  </w:t>
      </w:r>
    </w:p>
    <w:p w:rsidRPr="00046ECB" w:rsidR="00046ECB" w:rsidP="00046ECB" w:rsidRDefault="00046ECB" w14:paraId="2FD47F59" w14:textId="7C6BE9BD">
      <w:pPr>
        <w:ind w:firstLine="567"/>
        <w:jc w:val="both"/>
      </w:pPr>
      <w:r w:rsidRPr="00046ECB">
        <w:t xml:space="preserve">Analizând dacă este îndeplinită tripla identitate de elemente la care se referă art. 431 alin. 1 din Codul de procedură civilă, Curtea observă în primul rând faptul că nu există identitate de părți între părțile din dosarul nr. </w:t>
      </w:r>
      <w:r w:rsidR="00EF557A">
        <w:t>.../.../2017</w:t>
      </w:r>
      <w:r w:rsidRPr="00046ECB">
        <w:t xml:space="preserve"> ( Sentința nr. </w:t>
      </w:r>
      <w:r w:rsidR="00EF557A">
        <w:t>...</w:t>
      </w:r>
      <w:r w:rsidRPr="00046ECB">
        <w:t>/</w:t>
      </w:r>
      <w:r w:rsidR="00EF557A">
        <w:t>...06.2018</w:t>
      </w:r>
      <w:r w:rsidRPr="00046ECB">
        <w:t xml:space="preserve"> a Tribunalului </w:t>
      </w:r>
      <w:r w:rsidR="00EF557A">
        <w:t>...</w:t>
      </w:r>
      <w:r w:rsidRPr="00046ECB">
        <w:t xml:space="preserve">) și cele din prezentul dosar ( Sentința nr. </w:t>
      </w:r>
      <w:r w:rsidR="00EF557A">
        <w:t>...</w:t>
      </w:r>
      <w:r w:rsidRPr="00046ECB">
        <w:t>/</w:t>
      </w:r>
      <w:r w:rsidR="00EF557A">
        <w:t>...</w:t>
      </w:r>
      <w:r w:rsidRPr="00046ECB">
        <w:t xml:space="preserve">.09.2021). Astfel, nici reclamantul și nici pârâții nu au fost părți în litigiul de muncă în privința căruia s-a pronunțat Sentința nr. </w:t>
      </w:r>
      <w:r w:rsidR="00EF557A">
        <w:t>...</w:t>
      </w:r>
      <w:r w:rsidRPr="00046ECB">
        <w:t>/</w:t>
      </w:r>
      <w:r w:rsidR="00EF557A">
        <w:t>...06.2018</w:t>
      </w:r>
      <w:r w:rsidRPr="00046ECB">
        <w:t xml:space="preserve"> a Tribunalului </w:t>
      </w:r>
      <w:r w:rsidR="00EF557A">
        <w:t>...</w:t>
      </w:r>
      <w:r w:rsidRPr="00046ECB">
        <w:t>, sens în care în speță nu se poate pune problema existenței unei autorități de lucru judecat.</w:t>
      </w:r>
    </w:p>
    <w:p w:rsidRPr="00046ECB" w:rsidR="00046ECB" w:rsidP="00046ECB" w:rsidRDefault="00046ECB" w14:paraId="062644B7" w14:textId="77777777">
      <w:pPr>
        <w:ind w:firstLine="567"/>
        <w:jc w:val="both"/>
      </w:pPr>
      <w:r w:rsidRPr="00046ECB">
        <w:t>Având în vedere lipsa identității de părți, Curtea constată că nu se mai impune și analiza identității de cauză și obiect cu privire la dosarul menționat.</w:t>
      </w:r>
    </w:p>
    <w:p w:rsidRPr="00EF557A" w:rsidR="00046ECB" w:rsidP="00046ECB" w:rsidRDefault="00046ECB" w14:paraId="0526C99F" w14:textId="3AF471E3">
      <w:pPr>
        <w:ind w:firstLine="567"/>
        <w:jc w:val="both"/>
      </w:pPr>
      <w:r w:rsidRPr="00EF557A">
        <w:t xml:space="preserve">În ceea ce privește cea de-a doua sentință menționată de recurent și anume  Sentința civilă nr. </w:t>
      </w:r>
      <w:r w:rsidRPr="00EF557A" w:rsidR="00EF557A">
        <w:t>...</w:t>
      </w:r>
      <w:r w:rsidRPr="00EF557A">
        <w:t>/</w:t>
      </w:r>
      <w:r w:rsidRPr="00EF557A" w:rsidR="00EF557A">
        <w:t>...</w:t>
      </w:r>
      <w:r w:rsidRPr="00EF557A">
        <w:t xml:space="preserve">.05.2021 a Tribunalului </w:t>
      </w:r>
      <w:r w:rsidRPr="00EF557A" w:rsidR="00EF557A">
        <w:t>...</w:t>
      </w:r>
      <w:r w:rsidRPr="00EF557A">
        <w:t xml:space="preserve">, rămasă definitivă prin Decizia civila nr. </w:t>
      </w:r>
      <w:r w:rsidRPr="00EF557A" w:rsidR="00EF557A">
        <w:t>...</w:t>
      </w:r>
      <w:r w:rsidRPr="00EF557A">
        <w:t>/A/</w:t>
      </w:r>
      <w:r w:rsidRPr="00EF557A" w:rsidR="00EF557A">
        <w:t>...</w:t>
      </w:r>
      <w:r w:rsidRPr="00EF557A">
        <w:t xml:space="preserve">.09.2021 a Curții de Apel </w:t>
      </w:r>
      <w:r w:rsidRPr="00EF557A" w:rsidR="00EF557A">
        <w:t>...</w:t>
      </w:r>
      <w:r w:rsidRPr="00EF557A">
        <w:t xml:space="preserve">, Curtea observă faptul că aceasta a fost pronunțată în dosarul nr. </w:t>
      </w:r>
      <w:r w:rsidRPr="00EF557A" w:rsidR="00EF557A">
        <w:t>.../.../.2020</w:t>
      </w:r>
      <w:r w:rsidRPr="00EF557A">
        <w:t xml:space="preserve">, dosar în care într-adevăr există identitate de părți având în vedere faptul că din acel dosar au fost disjunse petitele 1, 3 și 5 care fac obiectul prezentului dosar. </w:t>
      </w:r>
    </w:p>
    <w:p w:rsidRPr="00046ECB" w:rsidR="00046ECB" w:rsidP="00046ECB" w:rsidRDefault="00046ECB" w14:paraId="3C118186" w14:textId="446AB184">
      <w:pPr>
        <w:ind w:firstLine="567"/>
        <w:jc w:val="both"/>
      </w:pPr>
      <w:r w:rsidRPr="00046ECB">
        <w:t xml:space="preserve">De asemenea, Curtea constată faptul că deși în ambele dosare sunt solicitate drepturi bănești, în cadrul dosarului nr. </w:t>
      </w:r>
      <w:r w:rsidR="00EF557A">
        <w:t>.../.../.2020</w:t>
      </w:r>
      <w:r w:rsidRPr="00046ECB">
        <w:t xml:space="preserve"> au fost solicitate drepturi bănești în temeiul contractului individual de muncă nr. </w:t>
      </w:r>
      <w:r w:rsidR="002F0596">
        <w:t>...</w:t>
      </w:r>
      <w:r w:rsidRPr="00046ECB">
        <w:t>57/</w:t>
      </w:r>
      <w:r w:rsidR="002F0596">
        <w:t>...</w:t>
      </w:r>
      <w:r w:rsidRPr="00046ECB">
        <w:t xml:space="preserve">.2017, iar în prezentul dosar au fost solicitate drepturi bănești în baza Contractului de management nr. </w:t>
      </w:r>
      <w:r w:rsidR="002F0596">
        <w:t>...</w:t>
      </w:r>
      <w:r w:rsidRPr="00046ECB">
        <w:t>74/</w:t>
      </w:r>
      <w:r w:rsidR="002F0596">
        <w:t>...</w:t>
      </w:r>
      <w:r w:rsidRPr="00046ECB">
        <w:t>2012.</w:t>
      </w:r>
    </w:p>
    <w:p w:rsidR="00243FA1" w:rsidRDefault="00AB16FE" w14:paraId="2983A24C" w14:textId="77777777">
      <w:pPr>
        <w:ind w:firstLine="567"/>
        <w:jc w:val="both"/>
      </w:pPr>
      <w:r>
        <w:t>Prin urmare Curtea constată faptul că nu poate exista identitate de obiecte între cele două dosare atâta timp cât unul privește drepturi solicitate în baza contractului individual de muncă pe o anumită perioadă de timp, iar celălalt privește drepturi solicitate în baza unui alt contract, de management, pentru o altă perioadă de timp.</w:t>
      </w:r>
    </w:p>
    <w:p w:rsidR="00243FA1" w:rsidRDefault="00AB16FE" w14:paraId="39F613DA" w14:textId="77777777">
      <w:pPr>
        <w:ind w:firstLine="567"/>
        <w:jc w:val="both"/>
      </w:pPr>
      <w:r>
        <w:t>Astfel, având în vedere lipsa identității de obiect, Curtea constată că în speță nu se poate reține autoritatea de lucru judecat în sensul celor dorite de recurentul reclamant și având în vedere toate aspectele reținute mai sus, nu poate fi reţinut ca fiind incident motivul de casare prevăzut de art. 488 alin. 1 pct. 7 din Codul de procedură civilă.</w:t>
      </w:r>
    </w:p>
    <w:p w:rsidR="00243FA1" w:rsidRDefault="00AB16FE" w14:paraId="30646EA8" w14:textId="77777777">
      <w:pPr>
        <w:ind w:firstLine="567"/>
        <w:jc w:val="both"/>
      </w:pPr>
      <w:r>
        <w:lastRenderedPageBreak/>
        <w:t>În ceea ce privește critica adusă cu privire la interpretarea și aplicarea greșită a normelor de drept material, Curtea observă faptul că recurentul - reclamant consideră în esență că instanța de fond a aplicat greșit normele O.U.G. nr.118/2006 și cele ale Legii nr. 153/2017.</w:t>
      </w:r>
    </w:p>
    <w:p w:rsidR="00243FA1" w:rsidRDefault="00AB16FE" w14:paraId="17F6026B" w14:textId="21077350">
      <w:pPr>
        <w:ind w:firstLine="567"/>
        <w:jc w:val="both"/>
      </w:pPr>
      <w:r>
        <w:t xml:space="preserve">Analizând această critică, Curtea observă faptul că în perioada 01.12.2012 - 01.12.2017, recurentul - reclamant a ocupat funcția de manager al Casei de Cultură a Tineretului „ </w:t>
      </w:r>
      <w:r w:rsidR="0064205A">
        <w:t>G</w:t>
      </w:r>
      <w:r>
        <w:t xml:space="preserve">” din  localitatea </w:t>
      </w:r>
      <w:r w:rsidR="0064205A">
        <w:t>................</w:t>
      </w:r>
      <w:r>
        <w:t xml:space="preserve">, în baza Contractului de management nr. </w:t>
      </w:r>
      <w:r w:rsidR="0064205A">
        <w:t>....74/....2012</w:t>
      </w:r>
      <w:r>
        <w:t xml:space="preserve"> (f. 29 din dosarul Tribunalului </w:t>
      </w:r>
      <w:r w:rsidR="00F3506A">
        <w:t>..............</w:t>
      </w:r>
      <w:r>
        <w:t xml:space="preserve"> - Secția de contencios administrativ și fiscal).</w:t>
      </w:r>
    </w:p>
    <w:p w:rsidR="00243FA1" w:rsidRDefault="00AB16FE" w14:paraId="53C77F1D" w14:textId="77777777">
      <w:pPr>
        <w:ind w:firstLine="567"/>
        <w:jc w:val="both"/>
      </w:pPr>
      <w:r>
        <w:t>Curtea observă faptul că „renumerația managerului” (astfel cum prevede art. 24, 28, 29, 57 din Ordonanța de urgență nr. 189/2008) era prevăzută la capitolul IV din Contractul de management astfel: „ art. 4 (1) Pentru activitatea prestată conform dispozițiilor prezentului contract de management, managerul primește de la instituție, din subvențiile bugetare asigurate de autoritate în acest scop, o remunerație lunară, în valoare brută de 1.654 lei/lunar, din care se rețin impozitul și contribuțiile (...); (2) Renumerația se actualizează prin raportare la legislația în vigoare privind salarizarea, prin act adițional (...); art. 5 Renumerația lunară a managerului se poate majora sau diminua în funcție de rezultatul fiecărei evaluări, raportat la realizarea obiectivelor și criteriilor de performanță stabilite prin prezentul contract de management, precum și la sumele alocate anual de autoritate pentru programul minimal”.</w:t>
      </w:r>
    </w:p>
    <w:p w:rsidR="00243FA1" w:rsidRDefault="00AB16FE" w14:paraId="276456E0" w14:textId="77777777">
      <w:pPr>
        <w:ind w:firstLine="567"/>
        <w:jc w:val="both"/>
      </w:pPr>
      <w:r>
        <w:t>Tot în Contractul de management, la capitolul XVI art. 32 se prevede că „prezentul contract se completează de drept cu dispozițiile Ordonanței de urgență nr. 189/2008, actualizată.”</w:t>
      </w:r>
    </w:p>
    <w:p w:rsidR="00243FA1" w:rsidRDefault="00AB16FE" w14:paraId="4F6592F6" w14:textId="77777777">
      <w:pPr>
        <w:ind w:firstLine="567"/>
        <w:jc w:val="both"/>
      </w:pPr>
      <w:r>
        <w:t>Conform art. 2 lit. b din OUG nr. 189/2008 privind managementul instituțiilor publice de cultură, managerul este „persoana fizică ce a câștigat concursul de management și a încheiat un contract de management cu autoritatea, în condițiile prezentei ordonanțe de urgență; managerul nu este funcționar public, nu este angajat cu contract individual de muncă și nu are statut de funcție de autoritate publică”, iar conform lit. f, contractul de management este „contractul încheiat pe durată determinată între ordonatorul principal de credite și manager, prin care managerul se obligă, în schimbul unei remunerații, să asigure conducerea și buna administrare a activității instituției publice de cultură, în conformitate cu prevederile prezentei ordonanțe de urgență”.</w:t>
      </w:r>
    </w:p>
    <w:p w:rsidR="00243FA1" w:rsidRDefault="00AB16FE" w14:paraId="06C3BB11" w14:textId="07FEB9A6">
      <w:pPr>
        <w:ind w:firstLine="567"/>
        <w:jc w:val="both"/>
      </w:pPr>
      <w:r>
        <w:t>De asemenea, proiectul de management al Casei de Cultură a Tineretului „</w:t>
      </w:r>
      <w:r w:rsidR="0064205A">
        <w:t>G</w:t>
      </w:r>
      <w:r>
        <w:t xml:space="preserve">” din  </w:t>
      </w:r>
      <w:r w:rsidR="0064205A">
        <w:t>................</w:t>
      </w:r>
      <w:r>
        <w:t xml:space="preserve">, care era anexă la contractul de management, prevedea la capitolul C1 că „Casa de Cultură a Tineretului </w:t>
      </w:r>
      <w:r w:rsidR="0064205A">
        <w:t>G</w:t>
      </w:r>
      <w:r>
        <w:t xml:space="preserve">, este o instituție publică de cultură sub autoritatea Primăriei </w:t>
      </w:r>
      <w:r w:rsidR="0064205A">
        <w:t>................</w:t>
      </w:r>
      <w:r>
        <w:t xml:space="preserve"> și a Consiliului Local </w:t>
      </w:r>
      <w:r w:rsidR="0064205A">
        <w:t>................</w:t>
      </w:r>
      <w:r>
        <w:t xml:space="preserve">, și sub îndrumarea de specialitate a Ministerului Culturii și Patrimoniului și a Direcției Județene pentru Cultură și Patrimoniu </w:t>
      </w:r>
      <w:r w:rsidR="00F3506A">
        <w:t>..............</w:t>
      </w:r>
      <w:r>
        <w:t xml:space="preserve">.”(f. 54 din dosarul Tribunalului </w:t>
      </w:r>
      <w:r w:rsidR="00F3506A">
        <w:t>..............</w:t>
      </w:r>
      <w:r>
        <w:t xml:space="preserve"> - Secția de contencios administrativ și fiscal).</w:t>
      </w:r>
    </w:p>
    <w:p w:rsidR="00243FA1" w:rsidRDefault="00AB16FE" w14:paraId="1DEC2A88" w14:textId="77777777">
      <w:pPr>
        <w:ind w:firstLine="567"/>
        <w:jc w:val="both"/>
      </w:pPr>
      <w:r>
        <w:t>Tot la acest capitol este prevăzut și că această Casă de Cultură „este finanțată din bugetul municipiului, fondurile nominalizându-se distinct pentru plata personalului angajat, restul cheltuielilor necesare bunei desfășurări a activităților și plata serviciilor provenind din autofinanțare, cu responsabilitate, conform fișei de post și atribuțiilor fiecărui angajat, prin activități artistice și specifice. (...)”, astfel cum este prevăzut și de art. 15 alin. 2 lit. b din OUG nr. 118/2006 privind înființarea, organizarea și desfășurarea activității așezămintelor culturale.</w:t>
      </w:r>
    </w:p>
    <w:p w:rsidR="00243FA1" w:rsidRDefault="00AB16FE" w14:paraId="08287575" w14:textId="6A50FA24">
      <w:pPr>
        <w:ind w:firstLine="708"/>
        <w:jc w:val="both"/>
      </w:pPr>
      <w:r>
        <w:t>Astfel cum corect a reținut și instanța de fond, funcționarea Casei de Cultură a Tineretului „</w:t>
      </w:r>
      <w:r w:rsidR="0064205A">
        <w:t>G</w:t>
      </w:r>
      <w:r>
        <w:t xml:space="preserve">" din  </w:t>
      </w:r>
      <w:r w:rsidR="0064205A">
        <w:t>................</w:t>
      </w:r>
      <w:r>
        <w:t xml:space="preserve">  se  asigura prin activitatea personalului angajat cu contract individual de muncă, în funcții de specialitate, administrative și de întreținere și nu prin asigurarea acestor resurse de către pârâți (f. 54 - 55 din dosarul Tribunalului </w:t>
      </w:r>
      <w:r w:rsidR="00F3506A">
        <w:t>..............</w:t>
      </w:r>
      <w:r>
        <w:t xml:space="preserve"> - Secția de contencios administrativ și fiscal), fiind aplicabile astfel dispozițiile art. 12 - 13 din O.U.G. nr. 118/2006, referitoare la instituțiile publice - persoane juridice de drept public, care își angajează propriul personal, încheind contracte individuale de muncă.</w:t>
      </w:r>
    </w:p>
    <w:p w:rsidR="00243FA1" w:rsidRDefault="00AB16FE" w14:paraId="132EB903" w14:textId="77777777">
      <w:pPr>
        <w:ind w:firstLine="567"/>
        <w:jc w:val="both"/>
      </w:pPr>
      <w:r>
        <w:t xml:space="preserve">Curtea observă faptul că în perioada de referință, la art. 11 alin. 1 și 2 din Legea - cadru nr. 153/2017 privind salarizarea personalului plătit din fonduri publice, era prevăzut că „(1) </w:t>
      </w:r>
      <w:r>
        <w:lastRenderedPageBreak/>
        <w:t>Pentru funcționarii publici și personalul contractual din cadrul familiei ocupaționale „Administrație” din aparatul propriu al consiliilor județene, primării și consilii locale și din serviciile publice din subordinea acestora, salariile de bază se stabilesc prin hotărâre a consiliului local, a consiliului județean sau a Consiliului General al Municipiului București, după caz, în urma consultării organizației sindicale reprezentative la nivel de unitate sau, după caz, a reprezentanților salariaților. (2) Nomenclatorul funcțiilor necesare desfășurării activităților specifice fiecărei instituții sau autorități a administrației publice locale, precum și ierarhia funcțiilor sunt prevăzute în Anexa nr. VIII cap. I lit. A pct. III și cap. II lit.  IV ”.</w:t>
      </w:r>
    </w:p>
    <w:p w:rsidR="00243FA1" w:rsidRDefault="00AB16FE" w14:paraId="027C61B7" w14:textId="77777777">
      <w:pPr>
        <w:ind w:firstLine="708"/>
        <w:jc w:val="both"/>
      </w:pPr>
      <w:r>
        <w:t>Analizând această ultimă prevedere legală, Curtea constată faptul că art. 11 alin. 1 din Legea - cadru nr. 153/2017, vizează funcțiile prevăzute în anexa nr. VIII, cap. I lit. A pct. III, respectiv funcțiile publice din administrația publică locală și în cap. II lit. A pct. IV, și anume funcțiile contractuale de specialitate din administrația publică locală, instanța de fond reținând în mod corect faptul că stabilirea salariilor de bază prin hotărâre a consiliului local, a consiliului județean sau a Consiliului General al Municipiului București vizează exclusiv funcțiile publice și contractuale din cadrul familiei ocupaționale „Administrație” , expres menționate în anexa nr. VIII, cap. I lit. A pct. III și cap. II lit. A pct. IV.</w:t>
      </w:r>
    </w:p>
    <w:p w:rsidR="00243FA1" w:rsidRDefault="00AB16FE" w14:paraId="78BD50BD" w14:textId="77777777">
      <w:pPr>
        <w:ind w:firstLine="708"/>
        <w:jc w:val="both"/>
      </w:pPr>
      <w:r>
        <w:t>Ori, analizând Legea-cadru nr. 153/2017, Curtea reţine faptul că funcția publică de manager nu se regăsește în cadrul funcțiilor specifice familiei ocupaționale "Administrație" astfel cum greșit susține recurentul - reclamant, ci aceasta este evidențiată în cadrul Anexei III (intitulată Familia ocupațională de funcții bugetare „Cultură” - Unități de Cultură), la Capitolul V (intitulat Salarii de bază din case de cultură, case de cultură studențești și alte instituții publice din domeniul culturii), lit. a (Funcții de conducere ), nr. crt.1 - funcția de manager (director).</w:t>
      </w:r>
    </w:p>
    <w:p w:rsidR="00243FA1" w:rsidRDefault="00AB16FE" w14:paraId="11CF69C3" w14:textId="77777777">
      <w:pPr>
        <w:ind w:firstLine="708"/>
        <w:jc w:val="both"/>
      </w:pPr>
      <w:r>
        <w:t>Prin urmare, Curtea consideră că din înscrisurile aflate la dosar și din prevederile legale interpretate reiese clar faptul că nu se poate reține că recurentul reclamant ar fi făcut parte din familia ocupațională „Administrație”, deoarece acesta făcea parte din cadrul familiei ocupaționale „Cultură„ și a fost salarizat în conformitate cu contractul de management și cu Anexa III, capitolul V, lit. a din Legea-cadru nr. 153/2017.</w:t>
      </w:r>
    </w:p>
    <w:p w:rsidR="00243FA1" w:rsidRDefault="00AB16FE" w14:paraId="5D191510" w14:textId="7FBF9565">
      <w:pPr>
        <w:ind w:firstLine="708"/>
        <w:jc w:val="both"/>
      </w:pPr>
      <w:r>
        <w:t xml:space="preserve">În ceea ce privește susținerea recurentului reclamant cu privire la calcularea salariului pe perioada vizată prin raportare la Hotărârea Consiliului Local </w:t>
      </w:r>
      <w:r w:rsidR="0064205A">
        <w:t>................</w:t>
      </w:r>
      <w:r>
        <w:t xml:space="preserve"> nr. 134/2017, Curtea, în acord cu considerentele instanței de fond, reține faptul că atâta timp cât recurentului nu îi sunt aplicabile prevederile art.11 alin. 1 și 2 din Legea – cadru nr. 153/2017 pentru perioada vizată, salariul acestuia nu putea fi stabilit prin respectiva hotărâre de consiliu. </w:t>
      </w:r>
    </w:p>
    <w:p w:rsidR="00243FA1" w:rsidRDefault="00AB16FE" w14:paraId="2649DBA2" w14:textId="232C2B79">
      <w:pPr>
        <w:ind w:firstLine="708"/>
        <w:jc w:val="both"/>
      </w:pPr>
      <w:r>
        <w:t xml:space="preserve">Având în vedere toate aspectele reținute mai sus, Curtea constată faptul că instanța de fond a interpretat și aplicat în mod corect prevederile Legii-cadru nr. 153/2017, a O.U.G. nr. 189/2008 și a O.U.G. nr. 118/2006, nefiind incident motivul de casare prevăzut de art. 488 alin. 1 pct. 8 din Codul de procedură civilă, sens în care va respinge ca neîntemeiat recursul formulat de către </w:t>
      </w:r>
      <w:r w:rsidR="00F3506A">
        <w:t>A</w:t>
      </w:r>
      <w:r>
        <w:t>.</w:t>
      </w:r>
    </w:p>
    <w:p w:rsidR="00243FA1" w:rsidRDefault="00243FA1" w14:paraId="7A7BA100" w14:textId="77777777">
      <w:pPr>
        <w:jc w:val="both"/>
        <w:rPr>
          <w:b/>
        </w:rPr>
      </w:pPr>
    </w:p>
    <w:p w:rsidR="00243FA1" w:rsidRDefault="00AB16FE" w14:paraId="73DC8451" w14:textId="77777777">
      <w:pPr>
        <w:jc w:val="center"/>
        <w:rPr>
          <w:b/>
        </w:rPr>
      </w:pPr>
      <w:r>
        <w:rPr>
          <w:b/>
        </w:rPr>
        <w:t>PENTRU ACESTE MOTIVE,</w:t>
      </w:r>
      <w:r>
        <w:rPr>
          <w:b/>
        </w:rPr>
        <w:br/>
        <w:t>ÎN NUMELE LEGII,</w:t>
      </w:r>
    </w:p>
    <w:p w:rsidR="00243FA1" w:rsidRDefault="00AB16FE" w14:paraId="6DCD196D" w14:textId="77777777">
      <w:pPr>
        <w:jc w:val="center"/>
        <w:rPr>
          <w:b/>
        </w:rPr>
      </w:pPr>
      <w:r>
        <w:rPr>
          <w:b/>
        </w:rPr>
        <w:t>D E C I D E:</w:t>
      </w:r>
    </w:p>
    <w:p w:rsidR="00243FA1" w:rsidRDefault="00243FA1" w14:paraId="70554A21" w14:textId="77777777">
      <w:pPr>
        <w:jc w:val="center"/>
      </w:pPr>
    </w:p>
    <w:p w:rsidR="00243FA1" w:rsidRDefault="00AB16FE" w14:paraId="1309C49C" w14:textId="72D3ADA8">
      <w:pPr>
        <w:ind w:firstLine="851"/>
        <w:jc w:val="both"/>
      </w:pPr>
      <w:r>
        <w:t xml:space="preserve">Respinge ca neîntemeiat recursul formulat de </w:t>
      </w:r>
      <w:r w:rsidR="00F3506A">
        <w:t>A</w:t>
      </w:r>
      <w:r>
        <w:t xml:space="preserve"> (domiciliul în </w:t>
      </w:r>
      <w:r w:rsidR="00F3506A">
        <w:t>..............................</w:t>
      </w:r>
      <w:r>
        <w:t xml:space="preserve">și domiciliul procesual ales în </w:t>
      </w:r>
      <w:r w:rsidR="00F3506A">
        <w:t>..............................</w:t>
      </w:r>
      <w:r>
        <w:t xml:space="preserve">), împotriva sentinței civile nr. </w:t>
      </w:r>
      <w:r w:rsidR="00F3506A">
        <w:t>...../...............</w:t>
      </w:r>
      <w:r>
        <w:t xml:space="preserve">, pronunțată de Tribunalul </w:t>
      </w:r>
      <w:r w:rsidR="00F3506A">
        <w:t>..............</w:t>
      </w:r>
      <w:r>
        <w:t xml:space="preserve">, în dosarul nr. </w:t>
      </w:r>
      <w:r w:rsidR="00F3506A">
        <w:t>....../......./.......*</w:t>
      </w:r>
      <w:r>
        <w:t>.</w:t>
      </w:r>
    </w:p>
    <w:p w:rsidR="00243FA1" w:rsidRDefault="00AB16FE" w14:paraId="78C84872" w14:textId="77777777">
      <w:pPr>
        <w:ind w:firstLine="851"/>
        <w:jc w:val="both"/>
      </w:pPr>
      <w:r>
        <w:t>Definitivă.</w:t>
      </w:r>
    </w:p>
    <w:p w:rsidR="00243FA1" w:rsidRDefault="00AB16FE" w14:paraId="36902AF6" w14:textId="0F2FABF5">
      <w:pPr>
        <w:ind w:firstLine="851"/>
        <w:jc w:val="both"/>
      </w:pPr>
      <w:r>
        <w:t xml:space="preserve">Pronunțată potrivit art. 396 al. 2 din codul de procedură civilă, prin punerea soluției la dispoziția părților prin mijlocirea grefei instanței azi, </w:t>
      </w:r>
      <w:r w:rsidR="00E8218E">
        <w:t>....................</w:t>
      </w:r>
      <w:r>
        <w:t>.</w:t>
      </w: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54"/>
        <w:gridCol w:w="2787"/>
        <w:gridCol w:w="3219"/>
      </w:tblGrid>
      <w:tr w:rsidR="00243FA1" w14:paraId="594605EA" w14:textId="77777777">
        <w:trPr>
          <w:jc w:val="center"/>
        </w:trPr>
        <w:tc>
          <w:tcPr>
            <w:tcW w:w="3096" w:type="dxa"/>
          </w:tcPr>
          <w:p w:rsidR="00243FA1" w:rsidRDefault="00AB16FE" w14:paraId="53CCE86C" w14:textId="77777777">
            <w:pPr>
              <w:jc w:val="center"/>
              <w:rPr>
                <w:b/>
              </w:rPr>
            </w:pPr>
            <w:r>
              <w:rPr>
                <w:b/>
              </w:rPr>
              <w:lastRenderedPageBreak/>
              <w:t>Președinte,</w:t>
            </w:r>
          </w:p>
          <w:p w:rsidR="00243FA1" w:rsidRDefault="00F3506A" w14:paraId="76FD54E4" w14:textId="631415BE">
            <w:pPr>
              <w:jc w:val="center"/>
              <w:rPr>
                <w:b/>
              </w:rPr>
            </w:pPr>
            <w:r>
              <w:rPr>
                <w:b/>
              </w:rPr>
              <w:t>...............</w:t>
            </w:r>
          </w:p>
        </w:tc>
        <w:tc>
          <w:tcPr>
            <w:tcW w:w="2824" w:type="dxa"/>
          </w:tcPr>
          <w:p w:rsidR="00243FA1" w:rsidRDefault="00AB16FE" w14:paraId="6FAEB0FA" w14:textId="77777777">
            <w:pPr>
              <w:jc w:val="center"/>
              <w:rPr>
                <w:b/>
              </w:rPr>
            </w:pPr>
            <w:r>
              <w:rPr>
                <w:b/>
              </w:rPr>
              <w:t>Judecător,</w:t>
            </w:r>
          </w:p>
          <w:p w:rsidR="00243FA1" w:rsidRDefault="00F3506A" w14:paraId="1BC8544B" w14:textId="2EA42766">
            <w:pPr>
              <w:jc w:val="center"/>
              <w:rPr>
                <w:b/>
              </w:rPr>
            </w:pPr>
            <w:r>
              <w:rPr>
                <w:b/>
              </w:rPr>
              <w:t>A0015</w:t>
            </w:r>
          </w:p>
        </w:tc>
        <w:tc>
          <w:tcPr>
            <w:tcW w:w="3267" w:type="dxa"/>
          </w:tcPr>
          <w:p w:rsidR="00243FA1" w:rsidRDefault="00AB16FE" w14:paraId="6F568341" w14:textId="77777777">
            <w:pPr>
              <w:jc w:val="center"/>
              <w:rPr>
                <w:b/>
              </w:rPr>
            </w:pPr>
            <w:r>
              <w:rPr>
                <w:b/>
              </w:rPr>
              <w:t>Judecător,</w:t>
            </w:r>
          </w:p>
          <w:p w:rsidR="00243FA1" w:rsidRDefault="00F3506A" w14:paraId="64F655CA" w14:textId="6A09A448">
            <w:pPr>
              <w:jc w:val="center"/>
              <w:rPr>
                <w:b/>
              </w:rPr>
            </w:pPr>
            <w:r>
              <w:rPr>
                <w:b/>
              </w:rPr>
              <w:t>...............</w:t>
            </w:r>
          </w:p>
        </w:tc>
      </w:tr>
      <w:tr w:rsidR="00243FA1" w14:paraId="77B44C8D" w14:textId="77777777">
        <w:trPr>
          <w:jc w:val="center"/>
        </w:trPr>
        <w:tc>
          <w:tcPr>
            <w:tcW w:w="3096" w:type="dxa"/>
          </w:tcPr>
          <w:p w:rsidR="00243FA1" w:rsidRDefault="00243FA1" w14:paraId="6E5DD28C" w14:textId="77777777">
            <w:pPr>
              <w:jc w:val="center"/>
              <w:rPr>
                <w:b/>
              </w:rPr>
            </w:pPr>
          </w:p>
        </w:tc>
        <w:tc>
          <w:tcPr>
            <w:tcW w:w="2824" w:type="dxa"/>
          </w:tcPr>
          <w:p w:rsidR="00243FA1" w:rsidRDefault="00AB16FE" w14:paraId="20633E52" w14:textId="77777777">
            <w:pPr>
              <w:jc w:val="center"/>
              <w:rPr>
                <w:b/>
              </w:rPr>
            </w:pPr>
            <w:r>
              <w:rPr>
                <w:b/>
              </w:rPr>
              <w:t>Grefier,</w:t>
            </w:r>
          </w:p>
          <w:p w:rsidR="00243FA1" w:rsidRDefault="00F3506A" w14:paraId="1A5A9434" w14:textId="33FA388E">
            <w:pPr>
              <w:jc w:val="center"/>
              <w:rPr>
                <w:b/>
              </w:rPr>
            </w:pPr>
            <w:r>
              <w:rPr>
                <w:b/>
              </w:rPr>
              <w:t>...............</w:t>
            </w:r>
          </w:p>
        </w:tc>
        <w:tc>
          <w:tcPr>
            <w:tcW w:w="3267" w:type="dxa"/>
          </w:tcPr>
          <w:p w:rsidR="00243FA1" w:rsidRDefault="00243FA1" w14:paraId="1FF43C26" w14:textId="77777777">
            <w:pPr>
              <w:jc w:val="center"/>
              <w:rPr>
                <w:b/>
              </w:rPr>
            </w:pPr>
          </w:p>
        </w:tc>
      </w:tr>
    </w:tbl>
    <w:p w:rsidR="00243FA1" w:rsidRDefault="00AB16FE" w14:paraId="5AE9B9C1" w14:textId="77777777">
      <w:pPr>
        <w:jc w:val="center"/>
      </w:pPr>
      <w:r>
        <w:rPr>
          <w:b/>
        </w:rPr>
      </w:r>
    </w:p>
    <w:p w:rsidR="00243FA1" w:rsidRDefault="00243FA1" w14:paraId="5387F6C1" w14:textId="77777777">
      <w:pPr>
        <w:jc w:val="center"/>
      </w:pPr>
    </w:p>
    <w:p w:rsidR="00243FA1" w:rsidRDefault="00243FA1" w14:paraId="22123B8F" w14:textId="77777777"/>
    <w:p w:rsidR="00243FA1" w:rsidRDefault="00243FA1" w14:paraId="30839093" w14:textId="77777777"/>
    <w:p w:rsidR="00243FA1" w:rsidRDefault="00243FA1" w14:paraId="424E3703" w14:textId="77777777"/>
    <w:p w:rsidR="00243FA1" w:rsidRDefault="00243FA1" w14:paraId="4DA13F3D" w14:textId="77777777"/>
    <w:p w:rsidR="00243FA1" w:rsidRDefault="00243FA1" w14:paraId="3E03D623" w14:textId="77777777"/>
    <w:p w:rsidR="00243FA1" w:rsidRDefault="00243FA1" w14:paraId="343AC16D" w14:textId="77777777"/>
    <w:p w:rsidR="00243FA1" w:rsidRDefault="00243FA1" w14:paraId="4D1B3BBA" w14:textId="77777777"/>
    <w:p w:rsidR="00243FA1" w:rsidRDefault="00243FA1" w14:paraId="28CF3333" w14:textId="77777777"/>
    <w:p w:rsidR="00243FA1" w:rsidRDefault="00243FA1" w14:paraId="2FEC0332" w14:textId="77777777"/>
    <w:p w:rsidR="00243FA1" w:rsidRDefault="00243FA1" w14:paraId="0C435C93" w14:textId="77777777"/>
    <w:p w:rsidR="00243FA1" w:rsidRDefault="00243FA1" w14:paraId="0F432ADA" w14:textId="77777777"/>
    <w:p w:rsidR="00243FA1" w:rsidRDefault="00243FA1" w14:paraId="1ECFB08F" w14:textId="77777777"/>
    <w:p w:rsidR="00243FA1" w:rsidRDefault="00AB16FE" w14:paraId="20B51CBE" w14:textId="1FD3F512">
      <w:pPr>
        <w:rPr>
          <w:sz w:val="16"/>
        </w:rPr>
      </w:pPr>
      <w:r>
        <w:rPr>
          <w:sz w:val="16"/>
        </w:rPr>
        <w:t xml:space="preserve">Red. </w:t>
      </w:r>
      <w:r w:rsidR="00E8218E">
        <w:rPr>
          <w:sz w:val="16"/>
        </w:rPr>
        <w:t>A0015</w:t>
      </w:r>
      <w:r>
        <w:rPr>
          <w:sz w:val="16"/>
        </w:rPr>
        <w:t xml:space="preserve">. la </w:t>
      </w:r>
      <w:r w:rsidR="00E8218E">
        <w:rPr>
          <w:sz w:val="16"/>
        </w:rPr>
        <w:t>................</w:t>
      </w:r>
    </w:p>
    <w:p w:rsidR="00243FA1" w:rsidRDefault="00AB16FE" w14:paraId="5F1C60BD" w14:textId="614978A8">
      <w:pPr>
        <w:rPr>
          <w:sz w:val="16"/>
        </w:rPr>
      </w:pPr>
      <w:r>
        <w:rPr>
          <w:sz w:val="16"/>
        </w:rPr>
        <w:t xml:space="preserve">Tehnored. </w:t>
      </w:r>
      <w:r w:rsidR="00E8218E">
        <w:rPr>
          <w:sz w:val="16"/>
        </w:rPr>
        <w:t>...............</w:t>
      </w:r>
      <w:r>
        <w:rPr>
          <w:sz w:val="16"/>
        </w:rPr>
        <w:t xml:space="preserve">, la </w:t>
      </w:r>
      <w:r w:rsidR="00E8218E">
        <w:rPr>
          <w:sz w:val="16"/>
        </w:rPr>
        <w:t>.......................</w:t>
      </w:r>
      <w:r>
        <w:rPr>
          <w:sz w:val="16"/>
        </w:rPr>
        <w:t xml:space="preserve"> </w:t>
      </w:r>
    </w:p>
    <w:p w:rsidR="00243FA1" w:rsidRDefault="00AB16FE" w14:paraId="5EB829F2" w14:textId="77777777">
      <w:pPr>
        <w:rPr>
          <w:sz w:val="16"/>
        </w:rPr>
      </w:pPr>
      <w:r>
        <w:rPr>
          <w:sz w:val="16"/>
        </w:rPr>
        <w:t>5 ex.</w:t>
      </w:r>
    </w:p>
    <w:p w:rsidR="00243FA1" w:rsidRDefault="00AB16FE" w14:paraId="5A2E0958" w14:textId="2451D44B">
      <w:pPr>
        <w:rPr>
          <w:sz w:val="16"/>
        </w:rPr>
      </w:pPr>
      <w:r>
        <w:rPr>
          <w:sz w:val="16"/>
        </w:rPr>
        <w:t>Jud.fond.</w:t>
      </w:r>
      <w:r w:rsidR="00E8218E">
        <w:rPr>
          <w:sz w:val="16"/>
        </w:rPr>
        <w:t>........................</w:t>
      </w:r>
      <w:r>
        <w:rPr>
          <w:sz w:val="16"/>
        </w:rPr>
        <w:t xml:space="preserve">.-Tribunalul </w:t>
      </w:r>
      <w:r w:rsidR="00F3506A">
        <w:rPr>
          <w:sz w:val="16"/>
        </w:rPr>
        <w:t>..............</w:t>
      </w:r>
    </w:p>
    <w:sectPr w:rsidR="00243FA1">
      <w:footerReference w:type="default" r:id="rId7"/>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D4C" w:rsidRDefault="00A76D4C" w14:paraId="1A7B640C" w14:textId="77777777">
      <w:r>
        <w:separator/>
      </w:r>
    </w:p>
  </w:endnote>
  <w:endnote w:type="continuationSeparator" w:id="0">
    <w:p w:rsidR="00A76D4C" w:rsidRDefault="00A76D4C" w14:paraId="1764FA6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notTrueType/>
    <w:pitch w:val="default"/>
  </w:font>
  <w:font w:name="Palatino Linotype">
    <w:panose1 w:val="02040502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FA1" w:rsidRDefault="00AB16FE" w14:paraId="61C47A71" w14:textId="46068E6E">
    <w:pPr>
      <w:pStyle w:val="Footer"/>
      <w:jc w:val="center"/>
    </w:pPr>
    <w:r>
      <w:fldChar w:fldCharType="begin"/>
    </w:r>
    <w:r>
      <w:instrText xml:space="preserve"> PAGE   \* MERGEFORMAT </w:instrText>
    </w:r>
    <w:r>
      <w:fldChar w:fldCharType="separate"/>
    </w:r>
    <w:r w:rsidR="0088093C">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D4C" w:rsidRDefault="00A76D4C" w14:paraId="4E606E58" w14:textId="77777777">
      <w:r>
        <w:separator/>
      </w:r>
    </w:p>
  </w:footnote>
  <w:footnote w:type="continuationSeparator" w:id="0">
    <w:p w:rsidR="00A76D4C" w:rsidRDefault="00A76D4C" w14:paraId="1D14832F" w14:textId="777777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19"/>
    <w:multiLevelType w:val="multilevel"/>
    <w:tmpl w:val="B846E82E"/>
    <w:lvl w:ilvl="0">
      <w:start w:val="1"/>
      <w:numFmt w:val="decimal"/>
      <w:lvlText w:val="(%1)"/>
      <w:lvlJc w:val="left"/>
      <w:pPr>
        <w:ind w:left="1467" w:hanging="90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4AD931E0"/>
    <w:multiLevelType w:val="multilevel"/>
    <w:tmpl w:val="E41A60E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url" w:val="http://10.29.48.63:80/ecris_cdms/document_upload.aspx?id_document=4300000000670876&amp;id_departament=4&amp;id_sesiune=406158&amp;id_user=170&amp;id_institutie=43&amp;actiune=modifica"/>
  </w:docVars>
  <w:rsids>
    <w:rsidRoot w:val="00243FA1"/>
    <w:rsid w:val="00002BA8"/>
    <w:rsid w:val="000145FF"/>
    <w:rsid w:val="00046ECB"/>
    <w:rsid w:val="001D4573"/>
    <w:rsid w:val="00243FA1"/>
    <w:rsid w:val="00287182"/>
    <w:rsid w:val="002F0596"/>
    <w:rsid w:val="00500C48"/>
    <w:rsid w:val="0064205A"/>
    <w:rsid w:val="006C7B23"/>
    <w:rsid w:val="0088093C"/>
    <w:rsid w:val="009400F7"/>
    <w:rsid w:val="00A76D4C"/>
    <w:rsid w:val="00AB16FE"/>
    <w:rsid w:val="00B2264D"/>
    <w:rsid w:val="00C543D7"/>
    <w:rsid w:val="00E8218E"/>
    <w:rsid w:val="00EF557A"/>
    <w:rsid w:val="00F35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F7C0C"/>
  <w15:docId w15:val="{24CBB498-AAC6-4367-B0DA-3764F319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Header">
    <w:name w:val="header"/>
    <w:basedOn w:val="Normal"/>
    <w:link w:val="HeaderChar"/>
    <w:pPr>
      <w:tabs>
        <w:tab w:val="center" w:pos="4703"/>
        <w:tab w:val="right" w:pos="9406"/>
      </w:tabs>
    </w:pPr>
  </w:style>
  <w:style w:type="paragraph" w:styleId="Footer">
    <w:name w:val="footer"/>
    <w:basedOn w:val="Normal"/>
    <w:link w:val="FooterChar"/>
    <w:pPr>
      <w:tabs>
        <w:tab w:val="center" w:pos="4703"/>
        <w:tab w:val="right" w:pos="9406"/>
      </w:tabs>
    </w:pPr>
  </w:style>
  <w:style w:type="paragraph" w:customStyle="1" w:styleId="Style4">
    <w:name w:val="Style4"/>
    <w:basedOn w:val="Normal"/>
    <w:pPr>
      <w:widowControl w:val="0"/>
    </w:pPr>
    <w:rPr>
      <w:rFonts w:ascii="Georgia" w:hAnsi="Georgia"/>
    </w:rPr>
  </w:style>
  <w:style w:type="paragraph" w:customStyle="1" w:styleId="Style5">
    <w:name w:val="Style5"/>
    <w:basedOn w:val="Normal"/>
    <w:pPr>
      <w:widowControl w:val="0"/>
    </w:pPr>
    <w:rPr>
      <w:rFonts w:ascii="Georgia" w:hAnsi="Georgia"/>
    </w:rPr>
  </w:style>
  <w:style w:type="paragraph" w:customStyle="1" w:styleId="Style6">
    <w:name w:val="Style6"/>
    <w:basedOn w:val="Normal"/>
    <w:pPr>
      <w:widowControl w:val="0"/>
    </w:pPr>
    <w:rPr>
      <w:rFonts w:ascii="Georgia" w:hAnsi="Georgia"/>
    </w:rPr>
  </w:style>
  <w:style w:type="paragraph" w:customStyle="1" w:styleId="Style7">
    <w:name w:val="Style7"/>
    <w:basedOn w:val="Normal"/>
    <w:pPr>
      <w:widowControl w:val="0"/>
    </w:pPr>
    <w:rPr>
      <w:rFonts w:ascii="Georgia" w:hAnsi="Georgia"/>
    </w:rPr>
  </w:style>
  <w:style w:type="paragraph" w:customStyle="1" w:styleId="Style10">
    <w:name w:val="Style10"/>
    <w:basedOn w:val="Normal"/>
    <w:pPr>
      <w:widowControl w:val="0"/>
    </w:pPr>
    <w:rPr>
      <w:rFonts w:ascii="Georgia" w:hAnsi="Georgia"/>
    </w:rPr>
  </w:style>
  <w:style w:type="paragraph" w:customStyle="1" w:styleId="Style11">
    <w:name w:val="Style11"/>
    <w:basedOn w:val="Normal"/>
    <w:pPr>
      <w:widowControl w:val="0"/>
    </w:pPr>
    <w:rPr>
      <w:rFonts w:ascii="Georgia" w:hAnsi="Georgia"/>
    </w:rPr>
  </w:style>
  <w:style w:type="paragraph" w:customStyle="1" w:styleId="Style12">
    <w:name w:val="Style12"/>
    <w:basedOn w:val="Normal"/>
    <w:pPr>
      <w:widowControl w:val="0"/>
    </w:pPr>
    <w:rPr>
      <w:rFonts w:ascii="Georgia" w:hAnsi="Georgia"/>
    </w:rPr>
  </w:style>
  <w:style w:type="paragraph" w:customStyle="1" w:styleId="Style13">
    <w:name w:val="Style13"/>
    <w:basedOn w:val="Normal"/>
    <w:pPr>
      <w:widowControl w:val="0"/>
    </w:pPr>
    <w:rPr>
      <w:rFonts w:ascii="Georgia" w:hAnsi="Georgia"/>
    </w:rPr>
  </w:style>
  <w:style w:type="paragraph" w:customStyle="1" w:styleId="Style14">
    <w:name w:val="Style14"/>
    <w:basedOn w:val="Normal"/>
    <w:pPr>
      <w:widowControl w:val="0"/>
    </w:pPr>
    <w:rPr>
      <w:rFonts w:ascii="Georgia" w:hAnsi="Georgia"/>
    </w:rPr>
  </w:style>
  <w:style w:type="paragraph" w:customStyle="1" w:styleId="Style15">
    <w:name w:val="Style15"/>
    <w:basedOn w:val="Normal"/>
    <w:pPr>
      <w:widowControl w:val="0"/>
    </w:pPr>
    <w:rPr>
      <w:rFonts w:ascii="Georgia" w:hAnsi="Georgia"/>
    </w:rPr>
  </w:style>
  <w:style w:type="paragraph" w:customStyle="1" w:styleId="Style16">
    <w:name w:val="Style16"/>
    <w:basedOn w:val="Normal"/>
    <w:pPr>
      <w:widowControl w:val="0"/>
    </w:pPr>
    <w:rPr>
      <w:rFonts w:ascii="Georgia" w:hAnsi="Georgia"/>
    </w:rPr>
  </w:style>
  <w:style w:type="paragraph" w:customStyle="1" w:styleId="Style17">
    <w:name w:val="Style17"/>
    <w:basedOn w:val="Normal"/>
    <w:pPr>
      <w:widowControl w:val="0"/>
    </w:pPr>
    <w:rPr>
      <w:rFonts w:ascii="Georgia" w:hAnsi="Georgia"/>
    </w:rPr>
  </w:style>
  <w:style w:type="paragraph" w:customStyle="1" w:styleId="Style18">
    <w:name w:val="Style18"/>
    <w:basedOn w:val="Normal"/>
    <w:pPr>
      <w:widowControl w:val="0"/>
    </w:pPr>
    <w:rPr>
      <w:rFonts w:ascii="Georgia" w:hAnsi="Georgia"/>
    </w:rPr>
  </w:style>
  <w:style w:type="paragraph" w:customStyle="1" w:styleId="Style19">
    <w:name w:val="Style19"/>
    <w:basedOn w:val="Normal"/>
    <w:pPr>
      <w:widowControl w:val="0"/>
    </w:pPr>
    <w:rPr>
      <w:rFonts w:ascii="Georgia" w:hAnsi="Georgia"/>
    </w:rPr>
  </w:style>
  <w:style w:type="paragraph" w:styleId="ListParagraph">
    <w:name w:val="List Paragraph"/>
    <w:basedOn w:val="Normal"/>
    <w:qFormat/>
    <w:pPr>
      <w:ind w:left="720"/>
      <w:contextualSpacing/>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erChar">
    <w:name w:val="Header Char"/>
    <w:link w:val="Header"/>
  </w:style>
  <w:style w:type="character" w:customStyle="1" w:styleId="FooterChar">
    <w:name w:val="Footer Char"/>
    <w:link w:val="Footer"/>
  </w:style>
  <w:style w:type="character" w:customStyle="1" w:styleId="FontStyle26">
    <w:name w:val="Font Style26"/>
    <w:rPr>
      <w:rFonts w:ascii="Palatino Linotype" w:hAnsi="Palatino Linotype"/>
      <w:sz w:val="16"/>
    </w:rPr>
  </w:style>
  <w:style w:type="character" w:customStyle="1" w:styleId="FontStyle28">
    <w:name w:val="Font Style28"/>
    <w:rPr>
      <w:rFonts w:ascii="Palatino Linotype" w:hAnsi="Palatino Linotype"/>
      <w:b/>
      <w:i/>
      <w:sz w:val="16"/>
    </w:rPr>
  </w:style>
  <w:style w:type="character" w:customStyle="1" w:styleId="FontStyle29">
    <w:name w:val="Font Style29"/>
    <w:rPr>
      <w:rFonts w:ascii="Palatino Linotype" w:hAnsi="Palatino Linotype"/>
      <w:b/>
      <w:sz w:val="18"/>
    </w:rPr>
  </w:style>
  <w:style w:type="character" w:customStyle="1" w:styleId="FontStyle30">
    <w:name w:val="Font Style30"/>
    <w:rPr>
      <w:rFonts w:ascii="Palatino Linotype" w:hAnsi="Palatino Linotype"/>
      <w:b/>
      <w:sz w:val="24"/>
    </w:rPr>
  </w:style>
  <w:style w:type="character" w:customStyle="1" w:styleId="FontStyle31">
    <w:name w:val="Font Style31"/>
    <w:rPr>
      <w:rFonts w:ascii="Palatino Linotype" w:hAnsi="Palatino Linotype"/>
      <w:b/>
      <w:sz w:val="22"/>
    </w:rPr>
  </w:style>
  <w:style w:type="character" w:customStyle="1" w:styleId="FontStyle32">
    <w:name w:val="Font Style32"/>
    <w:rPr>
      <w:rFonts w:ascii="Palatino Linotype" w:hAnsi="Palatino Linotype"/>
      <w:sz w:val="22"/>
    </w:rPr>
  </w:style>
  <w:style w:type="character" w:customStyle="1" w:styleId="FontStyle33">
    <w:name w:val="Font Style33"/>
    <w:rPr>
      <w:rFonts w:ascii="Palatino Linotype" w:hAnsi="Palatino Linotype"/>
      <w:b/>
      <w:i/>
      <w:sz w:val="22"/>
    </w:rPr>
  </w:style>
  <w:style w:type="character" w:customStyle="1" w:styleId="FontStyle34">
    <w:name w:val="Font Style34"/>
    <w:rPr>
      <w:rFonts w:ascii="Cambria" w:hAnsi="Cambria"/>
      <w:b/>
      <w:sz w:val="30"/>
    </w:rPr>
  </w:style>
  <w:style w:type="character" w:customStyle="1" w:styleId="FontStyle35">
    <w:name w:val="Font Style35"/>
    <w:rPr>
      <w:rFonts w:ascii="Palatino Linotype" w:hAnsi="Palatino Linotype"/>
      <w:b/>
      <w:sz w:val="28"/>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44</ap:TotalTime>
  <ap:Pages>9</ap:Pages>
  <ap:Words>4840</ap:Words>
  <ap:Characters>28074</ap:Characters>
  <ap:Application>Microsoft Office Word</ap:Application>
  <ap:DocSecurity>0</ap:DocSecurity>
  <ap:Lines>233</ap:Lines>
  <ap:Paragraphs>65</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32849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