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&#65279;<?xml version="1.0" encoding="utf-8"?><Relationships xmlns="http://schemas.openxmlformats.org/package/2006/relationships"><Relationship Type="http://schemas.openxmlformats.org/package/2006/relationships/metadata/core-properties" Target="docProps/core.xml" Id="rId1" /><Relationship Type="http://schemas.openxmlformats.org/officeDocument/2006/relationships/extended-properties" Target="docProps/app.xml" Id="rId2" /><Relationship Type="http://schemas.openxmlformats.org/officeDocument/2006/relationships/officeDocument" Target="word/document.xml" Id="rId4"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b/>
        </w:rPr>
      </w:pPr>
      <w:r>
        <w:rPr>
          <w:b/>
          <w:color w:val="BFBFBF"/>
        </w:rPr>
        <w:t>...</w:t>
      </w:r>
    </w:p>
    <w:p>
      <w:pPr>
        <w:pStyle w:val="Normal"/>
        <w:rPr>
          <w:b/>
        </w:rPr>
      </w:pPr>
      <w:r>
        <w:rPr>
          <w:b/>
        </w:rPr>
        <w:t>Hot. 4</w:t>
      </w:r>
    </w:p>
    <w:p>
      <w:pPr>
        <w:pStyle w:val="Normal"/>
        <w:rPr>
          <w:b/>
        </w:rPr>
      </w:pPr>
      <w:r>
        <w:rPr>
          <w:b/>
        </w:rPr>
      </w:r>
    </w:p>
    <w:p>
      <w:pPr>
        <w:pStyle w:val="Heading3"/>
        <w:rPr>
          <w:rFonts w:ascii="Times New Roman" w:hAnsi="Times New Roman"/>
          <w:b/>
          <w:sz w:val="24"/>
        </w:rPr>
      </w:pPr>
      <w:r>
        <w:rPr>
          <w:rFonts w:ascii="Times New Roman" w:hAnsi="Times New Roman"/>
          <w:b/>
          <w:sz w:val="24"/>
        </w:rPr>
        <w:t>R O M Â N I A</w:t>
      </w:r>
    </w:p>
    <w:p>
      <w:pPr>
        <w:pStyle w:val="Normal"/>
        <w:jc w:val="center"/>
        <w:rPr>
          <w:b/>
        </w:rPr>
      </w:pPr>
      <w:r>
        <w:rPr>
          <w:b/>
        </w:rPr>
        <w:t>CURTEA DE APEL ....</w:t>
      </w:r>
    </w:p>
    <w:p>
      <w:pPr>
        <w:pStyle w:val="Normal"/>
        <w:jc w:val="center"/>
        <w:rPr>
          <w:b/>
        </w:rPr>
      </w:pPr>
      <w:r>
        <w:rPr>
          <w:b/>
        </w:rPr>
        <w:t xml:space="preserve">DREPTURI SI LIBERTATI-SECŢIA ... ŞI PENTRU CAUZE CU MINORI </w:t>
      </w:r>
    </w:p>
    <w:p>
      <w:pPr>
        <w:pStyle w:val="Normal"/>
        <w:jc w:val="center"/>
        <w:rPr>
          <w:b/>
          <w:lang w:val="en-US"/>
        </w:rPr>
      </w:pPr>
      <w:r>
        <w:rPr>
          <w:b/>
          <w:lang w:val="en-US"/>
        </w:rPr>
      </w:r>
    </w:p>
    <w:p>
      <w:pPr>
        <w:pStyle w:val="Normal"/>
        <w:rPr>
          <w:b/>
        </w:rPr>
      </w:pPr>
      <w:r>
        <w:rPr>
          <w:b/>
        </w:rPr>
        <w:t>Dosar nr. D1</w:t>
      </w:r>
    </w:p>
    <w:p>
      <w:pPr>
        <w:pStyle w:val="Normal"/>
        <w:rPr>
          <w:b/>
        </w:rPr>
      </w:pPr>
      <w:r>
        <w:rPr>
          <w:b/>
        </w:rPr>
      </w:r>
    </w:p>
    <w:p>
      <w:pPr>
        <w:pStyle w:val="Heading2"/>
        <w:rPr>
          <w:rFonts w:ascii="Times New Roman" w:hAnsi="Times New Roman"/>
        </w:rPr>
      </w:pPr>
      <w:r>
        <w:rPr>
          <w:rFonts w:ascii="Times New Roman" w:hAnsi="Times New Roman"/>
        </w:rPr>
        <w:t>ÎNCHEIEREA PENALĂ NR. ...</w:t>
      </w:r>
    </w:p>
    <w:p>
      <w:pPr>
        <w:pStyle w:val="Normal"/>
        <w:rPr/>
      </w:pPr>
      <w:r>
        <w:rPr/>
      </w:r>
    </w:p>
    <w:p>
      <w:pPr>
        <w:pStyle w:val="Normal"/>
        <w:jc w:val="center"/>
        <w:rPr>
          <w:b/>
        </w:rPr>
      </w:pPr>
      <w:r>
        <w:rPr>
          <w:b/>
        </w:rPr>
        <w:t xml:space="preserve">Şedinţa de cameră de consiliu din data de ... </w:t>
      </w:r>
    </w:p>
    <w:p>
      <w:pPr>
        <w:pStyle w:val="Normal"/>
        <w:jc w:val="center"/>
        <w:rPr>
          <w:b/>
        </w:rPr>
      </w:pPr>
      <w:r>
        <w:rPr>
          <w:b/>
        </w:rPr>
      </w:r>
    </w:p>
    <w:p>
      <w:pPr>
        <w:pStyle w:val="Normal"/>
        <w:jc w:val="center"/>
        <w:rPr>
          <w:b/>
        </w:rPr>
      </w:pPr>
      <w:r>
        <w:rPr>
          <w:b/>
        </w:rPr>
        <w:t>Instanţa constituită din:</w:t>
      </w:r>
    </w:p>
    <w:p>
      <w:pPr>
        <w:pStyle w:val="Normal"/>
        <w:jc w:val="center"/>
        <w:rPr>
          <w:b/>
        </w:rPr>
      </w:pPr>
      <w:r>
        <w:rPr>
          <w:b/>
        </w:rPr>
        <w:t>PREŞEDINTE – Judecător de drepturi şi libertăţi: A0013</w:t>
      </w:r>
    </w:p>
    <w:p>
      <w:pPr>
        <w:pStyle w:val="Normal"/>
        <w:jc w:val="center"/>
        <w:rPr>
          <w:b/>
        </w:rPr>
      </w:pPr>
      <w:r>
        <w:rPr>
          <w:b/>
        </w:rPr>
        <w:t>Grefier: ...</w:t>
      </w:r>
    </w:p>
    <w:p>
      <w:pPr>
        <w:pStyle w:val="Normal"/>
        <w:rPr/>
      </w:pPr>
      <w:r>
        <w:rPr/>
      </w:r>
    </w:p>
    <w:p>
      <w:pPr>
        <w:pStyle w:val="Normal"/>
        <w:ind w:firstLine="708"/>
        <w:jc w:val="both"/>
        <w:rPr/>
      </w:pPr>
      <w:r>
        <w:rPr/>
        <w:t xml:space="preserve">Pe rol se află pronunţarea contestaţiilor formulate de </w:t>
      </w:r>
      <w:r>
        <w:rPr>
          <w:b/>
        </w:rPr>
        <w:t xml:space="preserve">petentele A1 și A2 </w:t>
      </w:r>
      <w:r>
        <w:rPr/>
        <w:t>împotriva o</w:t>
      </w:r>
      <w:r>
        <w:rPr>
          <w:i/>
        </w:rPr>
        <w:t>rdonanței procurorului de menținere a măsurilor asigurătorii din data de ...,</w:t>
      </w:r>
      <w:r>
        <w:rPr/>
        <w:t xml:space="preserve"> emisă în dosarul de urmărire penală nr. D2 al Parchetului European–Biroul procurorului european delegat în România.</w:t>
      </w:r>
    </w:p>
    <w:p>
      <w:pPr>
        <w:pStyle w:val="Normal"/>
        <w:ind w:right="-1" w:firstLine="708"/>
        <w:jc w:val="both"/>
        <w:rPr/>
      </w:pPr>
      <w:r>
        <w:rPr/>
        <w:t xml:space="preserve">Dezbaterile asupra prezentelor contestaţiilor au avut loc în şedinţa de cameră de consiliu din data de ..., fiind consemnate în încheierea de şedinţă din acea dată, parte integrantă din prezenta decizie, </w:t>
      </w:r>
      <w:r>
        <w:rPr>
          <w:i/>
        </w:rPr>
        <w:t xml:space="preserve">la şedinţa de judecată participând procuror ..., din cadrul Parchetului European – Biroul procurorului european delegat în România, </w:t>
      </w:r>
      <w:r>
        <w:rPr/>
        <w:t>când instanţa, în temeiul art. 405 alin. 2 Cod procedură penală, a stabilit termen pentru pronunţarea hotărârii la data de ....</w:t>
      </w:r>
    </w:p>
    <w:p>
      <w:pPr>
        <w:pStyle w:val="Normal"/>
        <w:jc w:val="both"/>
        <w:rPr/>
      </w:pPr>
      <w:r>
        <w:rPr/>
      </w:r>
    </w:p>
    <w:p>
      <w:pPr>
        <w:pStyle w:val="Normal"/>
        <w:jc w:val="center"/>
        <w:rPr>
          <w:b/>
        </w:rPr>
      </w:pPr>
      <w:r>
        <w:rPr>
          <w:b/>
        </w:rPr>
        <w:t>JUDECĂTORUL DE DREPTURI ŞI LIBERTĂŢI</w:t>
      </w:r>
    </w:p>
    <w:p>
      <w:pPr>
        <w:pStyle w:val="Normal"/>
        <w:jc w:val="center"/>
        <w:rPr>
          <w:b/>
        </w:rPr>
      </w:pPr>
      <w:r>
        <w:rPr>
          <w:b/>
        </w:rPr>
      </w:r>
    </w:p>
    <w:p>
      <w:pPr>
        <w:pStyle w:val="Normal"/>
        <w:ind w:firstLine="709"/>
        <w:jc w:val="both"/>
        <w:rPr>
          <w:b/>
        </w:rPr>
      </w:pPr>
      <w:r>
        <w:rPr>
          <w:b/>
        </w:rPr>
        <w:t>Deliberând asupra contestaţie formulate de</w:t>
      </w:r>
      <w:r>
        <w:rPr/>
        <w:t xml:space="preserve"> </w:t>
      </w:r>
      <w:r>
        <w:rPr>
          <w:b/>
        </w:rPr>
        <w:t xml:space="preserve">inculpata A1 şi de persoana interesată A2, constată următoarele:  </w:t>
      </w:r>
    </w:p>
    <w:p>
      <w:pPr>
        <w:pStyle w:val="Normal"/>
        <w:ind w:right="-1" w:firstLine="708"/>
        <w:jc w:val="both"/>
        <w:rPr/>
      </w:pPr>
      <w:r>
        <w:rPr>
          <w:b/>
        </w:rPr>
        <w:t xml:space="preserve">Prin Ordonanţa procurorului din data de ..., dispusă de Parchetul European – Biroul procurorului european delegat în România în dosarul nr. D3, </w:t>
      </w:r>
      <w:r>
        <w:rPr/>
        <w:t>s-a dispus menținerea măsurii asiguratorii a sechestrului dispusă prin ordonanța din ... și menținută prin ordonanța din ...  asupra următoarelor bunuri imobile:</w:t>
      </w:r>
    </w:p>
    <w:p>
      <w:pPr>
        <w:pStyle w:val="Normal"/>
        <w:ind w:right="-1" w:firstLine="708"/>
        <w:jc w:val="both"/>
        <w:rPr/>
      </w:pPr>
      <w:r>
        <w:rPr/>
        <w:t xml:space="preserve"> </w:t>
      </w:r>
      <w:r>
        <w:rPr/>
        <w:t>1) imobilul apartament compus din 3(trei) camere și dependințe, având suprafața utilă de 81,93 mp, imobil situat în intravilanul orașului ..., strada ..., bloc ... etaj....ap...., județul ..., împreună cu dreptul de proprietate forțată și perpetuă asupra tuturor spațiilor comune cu suprafața de 7,53 mp, terenului aferent imobilului cu suprafata de 17,89 mp, aflat în indiviziune cu ceilalți colocatari, având număr cadastral ..., înscris în cartea funciară numărul ... a orașului ..., judetul aparținând în fapt inculpatei A1, CNP ...., menționate în evidențele ANCPI pe numele persoanei interesate A2, CNP ...</w:t>
      </w:r>
    </w:p>
    <w:p>
      <w:pPr>
        <w:pStyle w:val="Normal"/>
        <w:ind w:right="-1"/>
        <w:jc w:val="both"/>
        <w:rPr/>
      </w:pPr>
      <w:r>
        <w:rPr/>
        <w:tab/>
        <w:t>2) imobilul teren curți construcții cu suprafața din acte 694 mp, suprafața măsurată de 726 mp, împreună cu o locuință-C2, cu suprafața de 57,21 mp, o anexă C3, cu suprafața de 6,21 mp, imobil situat în oraș ..., strada ... nr..., judetul, având număr cadastral ... , înscris în cartea funciară numărul ... a orașului ...  aparținând în fapt inculpatei A1, CNP ...., menționate în evidențele ANCPI pe numele persoanei interesate A2, CNP:....</w:t>
      </w:r>
    </w:p>
    <w:p>
      <w:pPr>
        <w:pStyle w:val="Normal"/>
        <w:ind w:right="-1"/>
        <w:jc w:val="both"/>
        <w:rPr>
          <w:b/>
        </w:rPr>
      </w:pPr>
      <w:r>
        <w:rPr>
          <w:b/>
        </w:rPr>
        <w:t>Pentru a pronunţa această ordonanţă, procurorul european delegat în România a reţinut, în esență, următoarele considerente:</w:t>
      </w:r>
    </w:p>
    <w:p>
      <w:pPr>
        <w:pStyle w:val="Normal"/>
        <w:tabs>
          <w:tab w:val="clear" w:pos="720"/>
          <w:tab w:val="left" w:leader="none" w:pos="8160"/>
        </w:tabs>
        <w:ind w:firstLine="709"/>
        <w:jc w:val="both"/>
        <w:rPr/>
      </w:pPr>
      <w:r>
        <w:rPr/>
        <w:t>În data de 11 octombrie 2022, inculpata A1 a vândut fiicei sale A2 imobilul apartament compus din 3 (trei) camere şi dependinţe, având suprafaţa utilă de 81,93 mp, imobil situat în intravilanul oraşului ..., strada ..., bloc ... etaj....ap...., judetul, împreună cu dreptul de proprietate forţată şi perpetuă asupra tuturor spaţiilor comune cu suprafaţa de 7,53 mp, terenului aferent imobilului cu suprafaţa de 17,89 mp, aflat în indiviziune cu ceilalţi colocatari, având număr cadastral ..., înscris în cartea funciară numărul ... a oraşului ..., judetul pentru suma de 10.000 de euro.</w:t>
      </w:r>
    </w:p>
    <w:p>
      <w:pPr>
        <w:pStyle w:val="Normal"/>
        <w:tabs>
          <w:tab w:val="clear" w:pos="720"/>
          <w:tab w:val="left" w:leader="none" w:pos="8160"/>
        </w:tabs>
        <w:ind w:firstLine="709"/>
        <w:jc w:val="both"/>
        <w:rPr/>
      </w:pPr>
      <w:r>
        <w:rPr/>
        <w:t>In data de 03.11.2022, inculpata A1 a vândut fiicei sale A2 imobilul constând în teren curţi construcţii cu suprafaţa din acte 694 mp, suprafaţa măsurată de 726 mp, împreună cu o locuinţă-C2, cu suprafaţa de 57,21 mp, o anexă C3, cu suprafaţa de 6,21 mp, imobil situat în oraş ..., strada ... nr..., judetul, având număr cadastral ... , înscris în cartea funciară numărul ... a oraşului ... pentru suma de 10.000 de euro.</w:t>
      </w:r>
    </w:p>
    <w:p>
      <w:pPr>
        <w:pStyle w:val="Normal"/>
        <w:tabs>
          <w:tab w:val="clear" w:pos="720"/>
          <w:tab w:val="left" w:leader="none" w:pos="8160"/>
        </w:tabs>
        <w:ind w:firstLine="709"/>
        <w:jc w:val="both"/>
        <w:rPr/>
      </w:pPr>
      <w:r>
        <w:rPr/>
        <w:t>Urmare   a   verificărilor   efectuate   s-a   stabilit   că   A2 CNP:..., fiica inculpatei A1 deţine conturi bancare la: BANCA1 deschis la data de 23.10.2012; BANCA2 ROMÂNIA deschis la data de 16.11.2010; BANCA3 SA deschis la data de 24.03.2008.</w:t>
      </w:r>
    </w:p>
    <w:p>
      <w:pPr>
        <w:pStyle w:val="Normal"/>
        <w:tabs>
          <w:tab w:val="clear" w:pos="720"/>
          <w:tab w:val="left" w:leader="none" w:pos="8160"/>
        </w:tabs>
        <w:ind w:firstLine="709"/>
        <w:jc w:val="both"/>
        <w:rPr/>
      </w:pPr>
      <w:r>
        <w:rPr/>
        <w:t>A obţinut venituri brute din salarii de la: SC T1 ROMÂNIA SRL CUI ... în perioada octombrie-decembrie 2012 în valoare totală de 1.780 lei; SC T2 SRL CUI ... în perioada aprilie 2019-septembrie 2021 în valoare totală de 55.260 lei.</w:t>
      </w:r>
    </w:p>
    <w:p>
      <w:pPr>
        <w:pStyle w:val="Normal"/>
        <w:tabs>
          <w:tab w:val="clear" w:pos="720"/>
          <w:tab w:val="left" w:leader="none" w:pos="8160"/>
        </w:tabs>
        <w:ind w:firstLine="709"/>
        <w:jc w:val="both"/>
        <w:rPr/>
      </w:pPr>
      <w:r>
        <w:rPr/>
        <w:t xml:space="preserve">A obţinut venituri brute din cedarea folosinţei locuinţei în anul 2021 în valoare totală de 3125 lei. A obţinut venituri brute din dividende de la SC T3 SRL, în anul 2022 în valoare totală de 30.000 lei. </w:t>
      </w:r>
    </w:p>
    <w:p>
      <w:pPr>
        <w:pStyle w:val="Normal"/>
        <w:tabs>
          <w:tab w:val="clear" w:pos="720"/>
          <w:tab w:val="left" w:leader="none" w:pos="8160"/>
        </w:tabs>
        <w:ind w:firstLine="709"/>
        <w:jc w:val="both"/>
        <w:rPr/>
      </w:pPr>
      <w:r>
        <w:rPr/>
        <w:t>Deţine în proprietate terenurile având suprafeţele de: 16.7 mp intravilan-arabil situat în mun. ...,STR....NR... -drum acces dobândit la data de 04.11.2022; 12 mp intravilan-arabil situat în mun. ...,STR....NR... -parcare dobândit la data de 04.11.2022; 19.91 mp intravilan-teren cu construcţii situat în mun. ...,STR....NR... - drum acces dobândit la data de 04.11.2022; 726 mp intravilan-teren cu construcţii situat în mun. ...,STR....NR... - dobândit la data de 03.11.2022; 18.1 mp intravilan-teren cu construcţii situat în mun. ...,STR....NR... - dobândit la data de 03.11.2022.</w:t>
      </w:r>
    </w:p>
    <w:p>
      <w:pPr>
        <w:pStyle w:val="Normal"/>
        <w:tabs>
          <w:tab w:val="clear" w:pos="720"/>
          <w:tab w:val="left" w:leader="none" w:pos="8160"/>
        </w:tabs>
        <w:ind w:firstLine="709"/>
        <w:jc w:val="both"/>
        <w:rPr/>
      </w:pPr>
      <w:r>
        <w:rPr/>
        <w:t>Deţine în proprietate imobilele având suprafeţele de:  70.7 mp clădire de locuit-corp principal în mun. ...,STR....NR..., bl. 14, ap. 29 dobândit la data de 04.11.2022; 64.63 mp anexa - servind scopului profesional situată în mun. ..., str. ..., bl. ...ap. ... - dobândit la data de 03.11.2022.</w:t>
      </w:r>
    </w:p>
    <w:p>
      <w:pPr>
        <w:pStyle w:val="Normal"/>
        <w:tabs>
          <w:tab w:val="clear" w:pos="720"/>
          <w:tab w:val="left" w:leader="none" w:pos="8160"/>
        </w:tabs>
        <w:ind w:firstLine="709"/>
        <w:jc w:val="both"/>
        <w:rPr/>
      </w:pPr>
      <w:r>
        <w:rPr/>
        <w:t>Analizând situaţia veniturilor totale brute realizate din salarii, cedarea folosinţei locuinţei şi dividende încasate s-a stabilit că valoarea totală a acestora este de 90.165 lei.</w:t>
      </w:r>
    </w:p>
    <w:p>
      <w:pPr>
        <w:pStyle w:val="Normal"/>
        <w:tabs>
          <w:tab w:val="clear" w:pos="720"/>
          <w:tab w:val="left" w:leader="none" w:pos="8160"/>
        </w:tabs>
        <w:ind w:firstLine="709"/>
        <w:jc w:val="both"/>
        <w:rPr/>
      </w:pPr>
      <w:r>
        <w:rPr/>
        <w:t xml:space="preserve">Se constată că bunurile imobile susmenţionate care au fost în proprietatea inculpatei A1 (apartament situat în ... şi teren plus casa situate în ...) au fost înstrăinate ulterior momentului în care A1 a aflat că organele de urmărire penală din cadrul D.N.A. - Serviciul Teritorial ... au început să facă verificări ce fac obiectul prezentei cauze, respectiv în datele de 11 octombrie 2022, respectiv 03 noiembrie 2022. </w:t>
      </w:r>
    </w:p>
    <w:p>
      <w:pPr>
        <w:pStyle w:val="Normal"/>
        <w:tabs>
          <w:tab w:val="clear" w:pos="720"/>
          <w:tab w:val="left" w:leader="none" w:pos="8160"/>
        </w:tabs>
        <w:ind w:firstLine="709"/>
        <w:jc w:val="both"/>
        <w:rPr/>
      </w:pPr>
      <w:r>
        <w:rPr/>
        <w:t>Drept urmare, se poate lesne observa că:</w:t>
      </w:r>
    </w:p>
    <w:p>
      <w:pPr>
        <w:pStyle w:val="Normal"/>
        <w:tabs>
          <w:tab w:val="clear" w:pos="720"/>
          <w:tab w:val="left" w:leader="none" w:pos="8160"/>
        </w:tabs>
        <w:ind w:firstLine="709"/>
        <w:jc w:val="both"/>
        <w:rPr/>
      </w:pPr>
      <w:r>
        <w:rPr/>
        <w:t>- bunurile imobile susmenţionate au fost vândute în mod simulat de A1 în perioada ulterioară desfăşurării activităţii infracţionale pentru care este inculpată în prezenta cauză în scopul ascunderii acestora de o eventuală urmărire;</w:t>
      </w:r>
    </w:p>
    <w:p>
      <w:pPr>
        <w:pStyle w:val="Normal"/>
        <w:tabs>
          <w:tab w:val="clear" w:pos="720"/>
          <w:tab w:val="left" w:leader="none" w:pos="8160"/>
        </w:tabs>
        <w:ind w:firstLine="709"/>
        <w:jc w:val="both"/>
        <w:rPr/>
      </w:pPr>
      <w:r>
        <w:rPr/>
        <w:t>- valoarea de vânzare a acestor bunuri, de doar 10.000 de euro, reflectă în mod evident scopul vânzării;</w:t>
      </w:r>
    </w:p>
    <w:p>
      <w:pPr>
        <w:pStyle w:val="Normal"/>
        <w:tabs>
          <w:tab w:val="clear" w:pos="720"/>
          <w:tab w:val="left" w:leader="none" w:pos="8160"/>
        </w:tabs>
        <w:ind w:firstLine="709"/>
        <w:jc w:val="both"/>
        <w:rPr/>
      </w:pPr>
      <w:r>
        <w:rPr/>
        <w:t>- achiziţia imobilului apartament din municipiul ... în data de 04.11.2022 nu a mai fost efectuată în numele inculpatei A1, cum de altfel se încheiase antecontractul, în acelaşi scop de a ascunde acest bun de o eventuală urmărire din partea organelor judiciare; valoarea veniturilor obţinute în mod licit de A2 este insuficientă pentru achiziţionarea acestor bunuri mobile (venituri declarate de nici 20.000 de euro, iar un preţ real poate fi considerat doar cel de achiziţie al imobilelor din...., respectiv aproximativ 78.000 euro, fiindcă preţul de 10.000 de euro al achiziţionării celor două imobile din oraşul ... nu poate fi apreciat decât ca un preţ simulat).</w:t>
      </w:r>
    </w:p>
    <w:p>
      <w:pPr>
        <w:pStyle w:val="Normal"/>
        <w:tabs>
          <w:tab w:val="clear" w:pos="720"/>
          <w:tab w:val="left" w:leader="none" w:pos="8160"/>
        </w:tabs>
        <w:ind w:firstLine="709"/>
        <w:jc w:val="both"/>
        <w:rPr/>
      </w:pPr>
      <w:r>
        <w:rPr/>
        <w:t>Chiar dacă şi persoana interesată a obţinut venituri licite, ansamblul probator din cauză a dus la stabilirea faptului că bunurile au fost "înstrăinate"/ cumpărate pur formal de către A2, beneficiarul real fiind inculpata A1.</w:t>
      </w:r>
    </w:p>
    <w:p>
      <w:pPr>
        <w:pStyle w:val="Normal"/>
        <w:tabs>
          <w:tab w:val="clear" w:pos="720"/>
          <w:tab w:val="left" w:leader="none" w:pos="8160"/>
        </w:tabs>
        <w:ind w:firstLine="709"/>
        <w:jc w:val="both"/>
        <w:rPr/>
      </w:pPr>
      <w:r>
        <w:rPr/>
        <w:t>Astfel, se poate concluziona că scopul urmărit a fost strict de a evita urmărirea bunurilor pe care inculpata A1 le-a avut în proprietate în perioada săvârşirii activităţii infracţionale, fiind conştientă de faptul că prejudiciul produs urmare a activităţii infracţionale are o dimensiune mare şi pentru a nu răspunde patrimonial în raport cu acesta.</w:t>
      </w:r>
    </w:p>
    <w:p>
      <w:pPr>
        <w:pStyle w:val="Normal"/>
        <w:tabs>
          <w:tab w:val="clear" w:pos="720"/>
          <w:tab w:val="left" w:leader="none" w:pos="8160"/>
        </w:tabs>
        <w:ind w:firstLine="709"/>
        <w:jc w:val="both"/>
        <w:rPr/>
      </w:pPr>
      <w:r>
        <w:rPr/>
        <w:t>Cu privire la activitatea infracțională raportat la societățile comerciale SC T5 SRL și SC T6 SRL se constată că prin ordonanța din 18.01.2024 s-a dispus   disjungerea cauzei și întocmirea unui nou dosar în vederea continuării cercetărilor față de inculpatul A3   CNP ... posesor a CI seria ... numărul ... eliberată de SPC. ... la data de 14 Oct 2014 având funcția de consilier superior la AJOFM ... – Agenția Locală ... – Punctul de lucru ... cercetat  pentru săvârșirea infracțiunilor de  fals intelectual în formă continuată, prev. art 321 alin. 1 din Codul penal cu aplicarea art. 35 C.pen.(73 – șaptezeci și trei acte materiale)  și complicitate la folosire sau prezentare cu rea-credinţă de documente ori declaraţii false, inexacte sau incomplete, dacă fapta are ca rezultat obţinerea pe nedrept de fonduri din bugetul general al Uniunii Europene sau din bugetele administrate de aceasta ori în numele ei, în formă continuată, prevăzută de art. 48 Cpen. rap. la art 181 alin. 1 din Legea nr.78/2000 cu aplicarea   art. 35 C.pen.( două acte materiale), în vederea încheierii unui acord de recunoaștere a vinovăției.</w:t>
      </w:r>
    </w:p>
    <w:p>
      <w:pPr>
        <w:pStyle w:val="Normal"/>
        <w:tabs>
          <w:tab w:val="clear" w:pos="720"/>
          <w:tab w:val="left" w:leader="none" w:pos="8160"/>
        </w:tabs>
        <w:ind w:firstLine="709"/>
        <w:jc w:val="both"/>
        <w:rPr/>
      </w:pPr>
      <w:r>
        <w:rPr/>
        <w:t>Din conţinutul mijloacelor de probă administrate în cauză, rezultă că există probe care stabilesc că inculpata A1 a săvârşit infracţiunile de complicitate la folosire sau prezentare cu rea-credinţă de documente ori declaraţii false, inexacte sau incomplete, dacă fapta are ca rezultat obţinerea pe nedrept de fonduri din bugetul general al Uniunii Europene sau din bugetele administrate de aceasta ori în numele ei, în formă continuată, prevăzută de art. 48 din Codul penal rap. la art. 18 indice (1) alin. 1 din Legea nr. 78/2000, republicată, cu aplicarea art. 35 alin. 1 din Codul penal (raportat la sprijinul acordat fiecărei societăţi angajatoare beneficiară a sprijinului nerambursabil), precum şi faptul că:</w:t>
      </w:r>
    </w:p>
    <w:p>
      <w:pPr>
        <w:pStyle w:val="Normal"/>
        <w:tabs>
          <w:tab w:val="clear" w:pos="720"/>
          <w:tab w:val="left" w:leader="none" w:pos="8160"/>
        </w:tabs>
        <w:ind w:firstLine="709"/>
        <w:jc w:val="both"/>
        <w:rPr/>
      </w:pPr>
      <w:r>
        <w:rPr/>
        <w:t xml:space="preserve">• </w:t>
      </w:r>
      <w:r>
        <w:rPr/>
        <w:t>se impune recuperarea prejudiciilor produse în cauză, iar măsurile asigurătorii dispuse anterior în cauză sunt neîndestulătoare</w:t>
      </w:r>
    </w:p>
    <w:p>
      <w:pPr>
        <w:pStyle w:val="Normal"/>
        <w:tabs>
          <w:tab w:val="clear" w:pos="720"/>
          <w:tab w:val="left" w:leader="none" w:pos="8160"/>
        </w:tabs>
        <w:ind w:firstLine="709"/>
        <w:jc w:val="both"/>
        <w:rPr/>
      </w:pPr>
      <w:r>
        <w:rPr/>
        <w:t xml:space="preserve">• </w:t>
      </w:r>
      <w:r>
        <w:rPr/>
        <w:t>bunurile pot servi la garantarea executării cheltuielilor judiciare pentru a evita ascunderea sau înstrăinarea acestor bunuri.</w:t>
      </w:r>
    </w:p>
    <w:p>
      <w:pPr>
        <w:pStyle w:val="Normal"/>
        <w:tabs>
          <w:tab w:val="clear" w:pos="720"/>
          <w:tab w:val="left" w:leader="none" w:pos="8160"/>
        </w:tabs>
        <w:ind w:firstLine="709"/>
        <w:jc w:val="both"/>
        <w:rPr/>
      </w:pPr>
      <w:r>
        <w:rPr/>
        <w:t>Având în vedere necesitatea de a evita ascunderea, distrugerea, înstrăinarea sau sustragerea de la urmărire a bunurilor menționate mai sus, în vederea reparării pagubei produse prin săvârșirea infracțiunii, precum și faptul că potrivit art. 20 din Legea nr. 78/2000 luarea măsurilor asigurătorii este obligatorie în cazul infracțiunilor prevăzute de această lege, prin ordonanța procurorului din ... s-a dispus instituirea măsurii asiguratorii a sechestrului în vederea recuperării prejudiciului produs în cauză, precum şi în vederea garantării executării cheltuielilor judiciare asupra mai multor bunuri imobile, printre care și asupra următoarelor bunuri imobile:</w:t>
      </w:r>
    </w:p>
    <w:p>
      <w:pPr>
        <w:pStyle w:val="Normal"/>
        <w:tabs>
          <w:tab w:val="clear" w:pos="720"/>
          <w:tab w:val="left" w:leader="none" w:pos="8160"/>
        </w:tabs>
        <w:ind w:firstLine="709"/>
        <w:jc w:val="both"/>
        <w:rPr/>
      </w:pPr>
      <w:r>
        <w:rPr/>
        <w:t>1) imobilul apartament compus din 3(trei) camere şi dependinţe, având suprafaţa utilă de 81,93 mp, imobil situat în intravilanul oraşului ..., strada ..., bloc ... etaj....ap...., judetul, împreună cu dreptul de proprietate forţată şi perpetuă asupra tuturor spaţiilor comune cu suprafaţa de 7,53 mp, terenului aferent imobilului cu suprafaţa de 17,89 mp, aflat în indiviziune cu ceilalţi colocatari, având număr cadastral ..., înscris în cartea funciară numărul ... a oraşului ..., judetul, aparţinând în fapt inculpatei A1, menţionate în evidenţele ANC PI pe numele persoanei interesate A2;</w:t>
      </w:r>
    </w:p>
    <w:p>
      <w:pPr>
        <w:pStyle w:val="Normal"/>
        <w:tabs>
          <w:tab w:val="clear" w:pos="720"/>
          <w:tab w:val="left" w:leader="none" w:pos="8160"/>
        </w:tabs>
        <w:ind w:firstLine="709"/>
        <w:jc w:val="both"/>
        <w:rPr/>
      </w:pPr>
      <w:r>
        <w:rPr/>
        <w:t xml:space="preserve"> </w:t>
      </w:r>
      <w:r>
        <w:rPr/>
        <w:t>2) imobilul teren curţi construcţii cu suprafaţa din acte 694 mp, suprafaţa măsurată de 726 mp, împreună cu o locuinţă-C2, cu suprafaţa de 57,21 mp, o anexă C3, cu suprafaţa de 6,21 mp, imobil situat în oraş ..., strada ... nr..., judetul, având număr cadastral ... , înscris în cartea funciară numărul ... a oraşului ... aparţinând în fapt inculpatei A1, menţionate în evidenţele ANCPI pe numele persoanei interesate A2.</w:t>
      </w:r>
    </w:p>
    <w:p>
      <w:pPr>
        <w:pStyle w:val="Normal"/>
        <w:tabs>
          <w:tab w:val="clear" w:pos="720"/>
          <w:tab w:val="left" w:leader="none" w:pos="8160"/>
        </w:tabs>
        <w:ind w:firstLine="709"/>
        <w:jc w:val="both"/>
        <w:rPr/>
      </w:pPr>
      <w:r>
        <w:rPr/>
        <w:t>În raport cu această măsură asiguratorie, din conţinutul mijloacelor de probă administrate în cauză, rezultă că : se impune recuperarea prejudiciilor produse în cauză; bunurile pot servi a garantarea executării cheltuielilor judiciare, precum şi în vederea confiscării speciale şi a confiscării extinse, pentru a evita ascunderea sau înstrăinarea acestor bunuri şi drept urmare se impune menţinerea măsurii asigurătorii susmenţionate.”</w:t>
      </w:r>
    </w:p>
    <w:p>
      <w:pPr>
        <w:pStyle w:val="Normal"/>
        <w:tabs>
          <w:tab w:val="clear" w:pos="720"/>
          <w:tab w:val="left" w:leader="none" w:pos="8160"/>
        </w:tabs>
        <w:ind w:firstLine="709"/>
        <w:jc w:val="both"/>
        <w:rPr/>
      </w:pPr>
      <w:r>
        <w:rPr/>
      </w:r>
    </w:p>
    <w:p>
      <w:pPr>
        <w:pStyle w:val="Normal"/>
        <w:jc w:val="center"/>
        <w:rPr/>
      </w:pPr>
      <w:r>
        <w:rPr/>
        <w:t>***</w:t>
      </w:r>
    </w:p>
    <w:p>
      <w:pPr>
        <w:pStyle w:val="Normal"/>
        <w:ind w:firstLine="709"/>
        <w:jc w:val="center"/>
        <w:rPr/>
      </w:pPr>
      <w:r>
        <w:rPr/>
      </w:r>
    </w:p>
    <w:p>
      <w:pPr>
        <w:pStyle w:val="Normal"/>
        <w:ind w:firstLine="708"/>
        <w:jc w:val="both"/>
        <w:rPr>
          <w:b/>
          <w:i/>
          <w:i/>
        </w:rPr>
      </w:pPr>
      <w:r>
        <w:rPr>
          <w:b/>
          <w:i/>
        </w:rPr>
        <w:t>Împotriva ordonanţei procurorului din data de ..., dispusă de Parchetul European – Biroul procurorului european delegat în România în dosarul nr. D3, inculpata A1 şi de persoana interesată A2 au promovat calea de atac a contestaţiei.</w:t>
      </w:r>
    </w:p>
    <w:p>
      <w:pPr>
        <w:pStyle w:val="Normal"/>
        <w:ind w:firstLine="708"/>
        <w:jc w:val="both"/>
        <w:rPr/>
      </w:pPr>
      <w:r>
        <w:rPr>
          <w:b/>
        </w:rPr>
        <w:t>Prin motivele scrise de contestaţie, în primul rând,</w:t>
      </w:r>
      <w:r>
        <w:rPr>
          <w:i/>
        </w:rPr>
        <w:t xml:space="preserve"> </w:t>
      </w:r>
      <w:r>
        <w:rPr/>
        <w:t>inculpata A1 a criticat ordonanţă supusă prezentului control judiciar arătând că aceasta este contradictorie, nu se înţelege dacă presupusa formalitate a înstrăinărilor rezultă din veniturile insuficiente ale numitei A1 sau din ansamblul probator, astfel, a considerat că menţinerea măsurii fiind lipsită de suport probator şi întemeiată pe presupunerea procurorului de caz.</w:t>
      </w:r>
    </w:p>
    <w:p>
      <w:pPr>
        <w:pStyle w:val="Normal"/>
        <w:ind w:firstLine="709"/>
        <w:jc w:val="both"/>
        <w:rPr/>
      </w:pPr>
      <w:r>
        <w:rPr/>
        <w:t>În acest sens, a arătat că în cuprinsul Ordonanţei din data de ..., procurorul a analizat situatia veniturilor tertului A2 în perioada 2019-2022, stabilindu-se că ar fi totalizat 90.165 lei (echivalentul a 18.130 euro), apreciat de către organele de urmărire penala ca fiind insuficiente pentru achiziţionarea imobilelor din ...: "valoarea veniturilor obtinute in mod licit de A2 este insuficientă pentru achiziţionarea acestor bunuri imobile (vorbim de venituri declarate de nici 20.000 euro, iar un preț real poate fi considerat doar cel de achiziţie al imobilelor din ..., respectiv aproximativ 78.000 euro, fiindcă preţul de 10.000 euro al achiziţionării celor doua imobile din oraşul ... nu poate fi apreciat decât ca un preț simulat)”.</w:t>
      </w:r>
    </w:p>
    <w:p>
      <w:pPr>
        <w:pStyle w:val="Normal"/>
        <w:ind w:firstLine="709"/>
        <w:jc w:val="both"/>
        <w:rPr/>
      </w:pPr>
      <w:r>
        <w:rPr/>
        <w:t>In următorul paragraf din ordonanţa, procurorul de caz răstoarnă toata aceasta analiza a veniturilor numitei A2, invalidând argumentul iniţial pentru menţinerea masurilor asigurătorii: chiar daca si persoana interesata a obţinut venituri licite, ansamblul probator din cauza a dus la stabilirea faptului ca bunurile au fost înstrăinate/cumpărate pur formal de către A2, beneficiarul real fiind inculpata A1</w:t>
      </w:r>
    </w:p>
    <w:p>
      <w:pPr>
        <w:pStyle w:val="Normal"/>
        <w:ind w:firstLine="709"/>
        <w:jc w:val="both"/>
        <w:rPr/>
      </w:pPr>
      <w:r>
        <w:rPr/>
        <w:t>Procurorul de caz avea cunoştinţa de faptul ca A2 a obținut in mod licit venituri suplimentare celor consemnate in cuprinsul Ordonanţei de menţinere, aceste aspecte fiind dovedite cu ocazia soluţionării primei contestaţii Împotriva ordonanţei de instituire a masurilor asigurătorii din data de 13.04.2023, in cadrul dosarului nr. D4 al Tribunalului ....</w:t>
      </w:r>
    </w:p>
    <w:p>
      <w:pPr>
        <w:pStyle w:val="Normal"/>
        <w:ind w:firstLine="709"/>
        <w:jc w:val="both"/>
        <w:rPr/>
      </w:pPr>
      <w:r>
        <w:rPr/>
        <w:t>A arătat că total venituri obţinute de A2 in perioada 2016-2022: 150,921.09 lire sterline, respectiv echivalentul in lei a 848.200,14 RON, însă, în cuprinsul Ordonanţei de menţinere a masurilor asigurătorii din ... nu se face nici o referire la aceste venituri.</w:t>
      </w:r>
    </w:p>
    <w:p>
      <w:pPr>
        <w:pStyle w:val="Normal"/>
        <w:ind w:firstLine="709"/>
        <w:jc w:val="both"/>
        <w:rPr/>
      </w:pPr>
      <w:r>
        <w:rPr/>
        <w:t>Mai mult, contractele de vânzare cumpărare a celor doua imobile ce fac obiectul masurilor asigurătorii nu au fost anulate, fiind valabile si in prezent. “Formalitatea” vânzării celor doua imobile nu are suport probator, ci este doar o presupunere nefundamentata a procurorului de caz.</w:t>
      </w:r>
    </w:p>
    <w:p>
      <w:pPr>
        <w:pStyle w:val="Normal"/>
        <w:ind w:firstLine="709"/>
        <w:jc w:val="both"/>
        <w:rPr/>
      </w:pPr>
      <w:r>
        <w:rPr/>
        <w:t>Cu referire la preţul simulat afirmat de organele de urmărire penala, a solicitat instanţei să constate ca si aceasta afirmaţie este nefondata. Primordial trebuie observat faptul ca este vorba despre o vânzare in familie. Nici un părinte nu îşi va vinde bunuri către copil peste sau la media pieţei.</w:t>
      </w:r>
    </w:p>
    <w:p>
      <w:pPr>
        <w:pStyle w:val="Normal"/>
        <w:ind w:firstLine="709"/>
        <w:jc w:val="both"/>
        <w:rPr/>
      </w:pPr>
      <w:r>
        <w:rPr/>
        <w:t>Subsecvent, in ceea ce priveşte apartamentul situat in oraşul ..., Str. ... bloc ///, scara ..., et. ..., ap, ..., jud. ..., jumătate din acesta ii revenea numitei A2, conform înțelegerii dintre A1 si fostul soţ A4.</w:t>
      </w:r>
    </w:p>
    <w:p>
      <w:pPr>
        <w:pStyle w:val="Normal"/>
        <w:ind w:firstLine="709"/>
        <w:jc w:val="both"/>
        <w:rPr/>
      </w:pPr>
      <w:r>
        <w:rPr/>
        <w:t>Astfel, preţul de 10.000 euro achitat pentru apartamentul din ..., Str. ... bloc ..., scara .., et. ..., ap. ..., jud. ... viza doar o cota de 1/2 din acest imobil, întrucât restul cotei de 1/2 aparţinea deja numitei A2, conform voinţei tatălui acesteia. Astfel, un pret de 10.000 euro pentru ½ dintr-un apartament situat in localitatea ... nu poate fi apreciat ca derizoriu.</w:t>
      </w:r>
    </w:p>
    <w:p>
      <w:pPr>
        <w:pStyle w:val="Normal"/>
        <w:ind w:firstLine="709"/>
        <w:jc w:val="both"/>
        <w:rPr/>
      </w:pPr>
      <w:r>
        <w:rPr/>
        <w:t>A precizat că motivul pentru care apartamentul a fost vândut in anul 2022 a constat in faptul ca in acel an A2 urma sa se căsătoreasca si s-a dorit ca imobilul sa nu intre in masa partajabila in eventualitatea unui divorț. De altfel, chiar analizând piața imobiliara din ... (la data redactării prezentei cereri, când preturile au crescut fata de anul 2022) se poate observa apartamente comparabile celor vândute la un preţ sub 20.000 euro (99.000 lei). Trebuie avut in vedere si faptul că preţul din anunţ este cel solicitat de vânzător si nu cel la care se si vinde imobilul (care poate fi mult mai mic).</w:t>
      </w:r>
    </w:p>
    <w:p>
      <w:pPr>
        <w:pStyle w:val="Normal"/>
        <w:ind w:firstLine="709"/>
        <w:jc w:val="both"/>
        <w:rPr/>
      </w:pPr>
      <w:r>
        <w:rPr/>
        <w:t>A solicitat instanţei sa constate faptul ca preţul de achiziţie a imobilelor nu este unul derizoriu, contractele de înstrăinare nu sunt simulate, condiţii in care menţinerea masurilor asigurătorii asupra imobilelor deţinute de A2 este nelegala.</w:t>
      </w:r>
    </w:p>
    <w:p>
      <w:pPr>
        <w:pStyle w:val="Normal"/>
        <w:ind w:firstLine="709"/>
        <w:jc w:val="both"/>
        <w:rPr/>
      </w:pPr>
      <w:r>
        <w:rPr/>
        <w:t>Un alt argument pentru ridicarea masurilor asigurătorii constă în faptul ca imobilele ce fac obiectul sechestrului au fost obţinute de către A1 cu mult înainte de reţinerea presupusei activităţi infracţionale reţinute in prezenta cauza. De asemenea, a solicitat instanţei să constate absenta unei legături directe intre achiziţionarea imobilelor de către A2 si presupusul folos necuvenit obţinui de inculpata A1.</w:t>
      </w:r>
    </w:p>
    <w:p>
      <w:pPr>
        <w:pStyle w:val="Normal"/>
        <w:ind w:firstLine="709"/>
        <w:jc w:val="both"/>
        <w:rPr/>
      </w:pPr>
      <w:r>
        <w:rPr/>
        <w:t>Pentru aceste motive, a solicitat admiterea contestaţiei formulate împotriva Ordonanţei procurorului din data de ... si ridicarea masurilor asigurătorii dispuse fata de bunurile aparţinând terţei persoane, respectiv A2.</w:t>
      </w:r>
    </w:p>
    <w:p>
      <w:pPr>
        <w:pStyle w:val="Normal"/>
        <w:ind w:firstLine="709"/>
        <w:jc w:val="both"/>
        <w:rPr/>
      </w:pPr>
      <w:r>
        <w:rPr/>
      </w:r>
    </w:p>
    <w:p>
      <w:pPr>
        <w:pStyle w:val="Normal"/>
        <w:jc w:val="both"/>
        <w:rPr/>
      </w:pPr>
      <w:r>
        <w:rPr/>
      </w:r>
    </w:p>
    <w:p>
      <w:pPr>
        <w:pStyle w:val="Normal"/>
        <w:ind w:firstLine="708"/>
        <w:jc w:val="both"/>
        <w:rPr>
          <w:b/>
        </w:rPr>
      </w:pPr>
      <w:r>
        <w:rPr>
          <w:b/>
        </w:rPr>
        <w:t>Analizând contestațiile formulate de A1 și A2, judecătorul de drepturi și libertăți de la Curtea de Apel constată caracterul nefondat al acestora.</w:t>
      </w:r>
    </w:p>
    <w:p>
      <w:pPr>
        <w:pStyle w:val="Normal"/>
        <w:ind w:firstLine="708"/>
        <w:jc w:val="both"/>
        <w:rPr>
          <w:b/>
          <w:i/>
          <w:i/>
        </w:rPr>
      </w:pPr>
      <w:r>
        <w:rPr/>
        <w:t xml:space="preserve">În contextul factual al cauzei, la acest moment procesual, </w:t>
      </w:r>
      <w:r>
        <w:rPr>
          <w:b/>
        </w:rPr>
        <w:t>subzistă</w:t>
      </w:r>
      <w:r>
        <w:rPr/>
        <w:t xml:space="preserve"> temeiurile care au fost avute în vedere la luarea măsurilor asigurătorii, din perspectiva</w:t>
      </w:r>
      <w:r>
        <w:rPr>
          <w:b/>
        </w:rPr>
        <w:t xml:space="preserve"> caracterului necesar și proporțional al acestora</w:t>
      </w:r>
      <w:r>
        <w:rPr/>
        <w:t xml:space="preserve"> în vederea garantării acoperirii despăgubirilor către partea civilă, pentru garantarea executării cheltuielilor judiciare, precum şi în vederea confiscării speciale şi a confiscării extinse.</w:t>
      </w:r>
    </w:p>
    <w:p>
      <w:pPr>
        <w:pStyle w:val="Normal"/>
        <w:ind w:firstLine="708"/>
        <w:jc w:val="both"/>
        <w:rPr/>
      </w:pPr>
      <w:r>
        <w:rPr/>
        <w:t xml:space="preserve">Potrivit art. 20 din Legea nr. 78/2000 pentru prevenirea, descoperirea și sancționarea faptelor de corupție luarea măsurilor asiguratorii </w:t>
      </w:r>
      <w:r>
        <w:rPr>
          <w:b/>
        </w:rPr>
        <w:t>este obligatorie</w:t>
      </w:r>
      <w:r>
        <w:rPr/>
        <w:t xml:space="preserve"> inclusiv în ipoteza săvârșirii unor infracțiuni împotriva intereselor financiare ale Uniunii Europene, pentru a evita ascunderea, distrugerea, înstrăinarea sau sustragerea de la urmărire a bunurilor care pot servi la repararea pagubei produse prin pretinsele infracțiuni, acest temei fiind indicat în Ordonanțele de luare (din ...) și de menținere a măsurii sechestrului asigurător în privința:</w:t>
      </w:r>
    </w:p>
    <w:p>
      <w:pPr>
        <w:pStyle w:val="Normal"/>
        <w:ind w:right="-1" w:firstLine="708"/>
        <w:jc w:val="both"/>
        <w:rPr/>
      </w:pPr>
      <w:r>
        <w:rPr>
          <w:b/>
        </w:rPr>
        <w:t xml:space="preserve">- </w:t>
      </w:r>
      <w:r>
        <w:rPr/>
        <w:t>imobilului apartament compus din 3 (trei) camere şi dependinţe, având suprafaţa utilă de 81,93 mp, situat în intravilanul oraşului ..., strada ..., bloc ... etaj....ap...., judetul, împreună cu dreptul de proprietate forţată şi perpetuă asupra tuturor spaţiilor comune cu suprafaţa de 7,53 mp, terenului aferent imobilului cu suprafaţa de 17,89 mp, aflat</w:t>
      </w:r>
      <w:r>
        <w:rPr>
          <w:b/>
        </w:rPr>
        <w:t xml:space="preserve"> </w:t>
      </w:r>
      <w:r>
        <w:rPr/>
        <w:t>în indiviziune cu ceilalţi colocatari, având număr cadastral ..., înscris în cartea funciară numărul ... a oraşului ..., judetul;</w:t>
      </w:r>
    </w:p>
    <w:p>
      <w:pPr>
        <w:pStyle w:val="Normal"/>
        <w:ind w:right="-1" w:firstLine="708"/>
        <w:jc w:val="both"/>
        <w:rPr>
          <w:b/>
        </w:rPr>
      </w:pPr>
      <w:r>
        <w:rPr/>
        <w:t xml:space="preserve">- imobilului teren curţi construcţii cu suprafaţa din acte 694 mp, suprafaţa măsurată de 726 mp, împreună cu o locuinţă - C2, cu suprafaţa de 57,21 mp, o anexă C3, cu suprafaţa de 6,21 mp, imobil situat în oraş ..., strada ... nr..., judetul, având număr cadastral ... , înscris în cartea funciară numărul ...  a oraşului ... </w:t>
      </w:r>
      <w:r>
        <w:rPr>
          <w:b/>
        </w:rPr>
        <w:t>aparţinând în fapt</w:t>
      </w:r>
      <w:r>
        <w:rPr/>
        <w:t xml:space="preserve"> inculpatei </w:t>
      </w:r>
      <w:r>
        <w:rPr>
          <w:b/>
        </w:rPr>
        <w:t>A1</w:t>
      </w:r>
      <w:r>
        <w:rPr/>
        <w:t xml:space="preserve">, menţionate în evidenţele A.N.C.P.I. pe numele persoanei interesate </w:t>
      </w:r>
      <w:r>
        <w:rPr>
          <w:b/>
        </w:rPr>
        <w:t>A2.</w:t>
      </w:r>
    </w:p>
    <w:p>
      <w:pPr>
        <w:pStyle w:val="Normal"/>
        <w:ind w:firstLine="708"/>
        <w:jc w:val="both"/>
        <w:rPr/>
      </w:pPr>
      <w:r>
        <w:rPr/>
        <w:t xml:space="preserve">În situațiile în care necesitatea dispunerii măsurilor asigurătorii analizate își găsește izvor chiar în lege, </w:t>
      </w:r>
      <w:r>
        <w:rPr>
          <w:b/>
        </w:rPr>
        <w:t>controlul instanţei este limitat, în acest context, la evaluarea proporţionalităţii</w:t>
      </w:r>
      <w:r>
        <w:rPr/>
        <w:t xml:space="preserve"> dintre scopul urmărit prin instituirea măsurii şi restrângerea drepturilor persoanelor acuzate şi, eventual, a efectelor în planul măsurii procesuale a eventualelor modificări intervenite pe parcursul procesului penal în situaţia patrimonială a acestora.</w:t>
      </w:r>
    </w:p>
    <w:p>
      <w:pPr>
        <w:pStyle w:val="Normal"/>
        <w:ind w:firstLine="708"/>
        <w:jc w:val="both"/>
        <w:rPr/>
      </w:pPr>
      <w:r>
        <w:rPr/>
        <w:t xml:space="preserve">Așadar, chiar dacă dispunerea măsurilor asiguratorii în cazul infracțiunilor prevăzute de </w:t>
      </w:r>
      <w:r>
        <w:rPr>
          <w:b/>
        </w:rPr>
        <w:t>art. 18</w:t>
      </w:r>
      <w:r>
        <w:rPr>
          <w:b/>
          <w:vertAlign w:val="superscript"/>
        </w:rPr>
        <w:t>1</w:t>
      </w:r>
      <w:r>
        <w:rPr>
          <w:b/>
        </w:rPr>
        <w:t xml:space="preserve"> alin. (1), alin. (3) din Legea nr. 78/2000</w:t>
      </w:r>
      <w:r>
        <w:rPr>
          <w:b/>
          <w:i/>
        </w:rPr>
        <w:t xml:space="preserve"> </w:t>
      </w:r>
      <w:r>
        <w:rPr/>
        <w:t>este obligatorie ope legis (prin efectul legii), acestea nu pot fi menținute sine die (la nesfârșit), fără a se analiza scopul și proporționalitatea acestora raportat la durata ingerinței asupra dreptului de dispoziție a bunurilor.</w:t>
      </w:r>
    </w:p>
    <w:p>
      <w:pPr>
        <w:pStyle w:val="Normal"/>
        <w:ind w:firstLine="708"/>
        <w:jc w:val="both"/>
        <w:rPr/>
      </w:pPr>
      <w:r>
        <w:rPr/>
        <w:t xml:space="preserve"> </w:t>
      </w:r>
      <w:r>
        <w:rPr/>
        <w:t>Temeinicia subzistenței acestor temeiuri legale trebuie examinată, așadar, și din perspectiva criteriilor impuse de jurisprudența Curții Europene a Drepturilor Omului în materie și a cadrului procesual actual din cauză, conferit de conduita procesuală a suspecților/inculpaților și demersurile organelor judiciare.</w:t>
      </w:r>
    </w:p>
    <w:p>
      <w:pPr>
        <w:pStyle w:val="Normal"/>
        <w:ind w:firstLine="708"/>
        <w:jc w:val="both"/>
        <w:rPr/>
      </w:pPr>
      <w:r>
        <w:rPr/>
        <w:t>În acord cu jurisprudenţa Convenției Europene a Drepturilor Omului, trebuie verificată și constatată respectarea exigențelor de proporționalitate a măsurilor asigurătorii dintre scopul urmărit prin instituirea măsurilor asigurătorii şi restrângerea dreptului de proprietate al persoanelor acuzate, având în vedere efectul de indisponibilizare a bunurilor aparținând acestora (care afectează atributul dispoziției juridice şi materiale, proprietarul pierzând dreptul de a le înstrăina sau greva de sarcini), în conformitate cu garanțiile procedurale prevăzute de art. 1 din Protocolul nr. 1 la Convenție.</w:t>
      </w:r>
    </w:p>
    <w:p>
      <w:pPr>
        <w:pStyle w:val="Normal"/>
        <w:ind w:firstLine="708"/>
        <w:jc w:val="both"/>
        <w:rPr/>
      </w:pPr>
      <w:r>
        <w:rPr/>
        <w:t>Din această perspectivă, Curtea E.D.O. a statuat în repetate rânduri că o ingerință în dreptul de proprietate trebuie să fie prevăzută de lege și să urmărească unul sau mai multe scopuri legitime. În plus, trebuie să existe un raport rezonabil de proporționalitate între mijloacele utilizate și scopurile urmărite. Cu alte cuvinte, trebuie să se stabilească dacă a fost păstrat un echilibru între cerințele interesului general și interesele persoanelor în cauză (cauza Silickienė contra Lituaniei).</w:t>
      </w:r>
    </w:p>
    <w:p>
      <w:pPr>
        <w:pStyle w:val="Normal"/>
        <w:ind w:firstLine="708"/>
        <w:jc w:val="both"/>
        <w:rPr/>
      </w:pPr>
      <w:r>
        <w:rPr/>
        <w:t>De asemenea, analiza subzistenţei temeiurilor inițiale care au determinat luarea măsurilor asigurătorii, trebuie să se raporteze la criteriile stabilite în jurisprudenţa Curţii Europene a Drepturilor Omului în materia protecției proprietății şi a dreptului la un proces echitabil: durata procedurii; evaluarea complexităţii cauzei; comportamentul părților; multitudinea şi valoarea importantă a bunurilor ce au format obiectul indisponibilizării.</w:t>
      </w:r>
    </w:p>
    <w:p>
      <w:pPr>
        <w:pStyle w:val="Normal"/>
        <w:ind w:firstLine="708"/>
        <w:jc w:val="both"/>
        <w:rPr/>
      </w:pPr>
      <w:r>
        <w:rPr/>
        <w:t>Ridicarea măsurii asigurătorii ar trebui să fie posibilă şi atunci când durata efectivă a acesteia este exagerat de mare în raport de durata şi evoluţia procedurii şi consecinţele pe care le produce depăşesc efectele normale ale unei astfel de măsuri [Curtea E.D.O., cauza Forminster Entreprises Limited c. Republicii Cehe, hotărârea din 9 ianuarie 2009, parag. 76-78].</w:t>
      </w:r>
    </w:p>
    <w:p>
      <w:pPr>
        <w:pStyle w:val="Normal"/>
        <w:ind w:firstLine="708"/>
        <w:jc w:val="both"/>
        <w:rPr/>
      </w:pPr>
      <w:r>
        <w:rPr/>
        <w:t>Prin urmare, în accepţiunea Convenţiei Europene a Drepturilor Omului, în raport de stadiul cauzei și de atitudinea procesuală a părților, trecerea unei perioade mari de timp este de natură să pună în discuție și principiul rezonabilității măsurii, care se apreciază în concret, în raport cu complexitatea cauzei și obiectul acesteia,</w:t>
      </w:r>
    </w:p>
    <w:p>
      <w:pPr>
        <w:pStyle w:val="Normal"/>
        <w:ind w:firstLine="708"/>
        <w:jc w:val="both"/>
        <w:rPr/>
      </w:pPr>
      <w:r>
        <w:rPr/>
        <w:t>În prezenta cauză, în raport cu momentul și data luării măsurilor asiguratorii – în cursul urmăririi penale, în luna martie 2023 (o durată de aproximativ 1 an), complexitatea cauzei (un număr important de suspecți și inculpați – persoane fizice și persoane juridice; numărul martorilor; sunt cercetate infracțiuni cu o natură eterogenă, inclusiv infracțiunea de constituirea unui grup infracțional organizat; perioada de desfășurare a presupusei activități infracționale sesizate), stadiul procesual actual (faza de urmărire penală), cuantumul prejudiciilor imputate (aproximativ 7.000.000 lei), lipsa de pasivitate a organelor judiciare (urmărirea penală se desfășoară cu ritmicitate, fără a fi identificate perioade de pasivitate ale organelor de urmărire penală; au fost efectuate audieri, percheziții), judecătorul de drepturi și libertăți de la Curtea de Apel constată că menținerea măsurilor asiguratorii este necesară și proporțională cu natura faptelor pentru care contestatoarele sunt cercetate și scopul acestor măsuri.</w:t>
      </w:r>
    </w:p>
    <w:p>
      <w:pPr>
        <w:pStyle w:val="Normal"/>
        <w:ind w:firstLine="708"/>
        <w:jc w:val="both"/>
        <w:rPr>
          <w:b/>
        </w:rPr>
      </w:pPr>
      <w:r>
        <w:rPr>
          <w:b/>
        </w:rPr>
        <w:t>Cu privire la apărările formulate de contestatoare</w:t>
      </w:r>
      <w:r>
        <w:rPr/>
        <w:t>, se impune a fi arătat, în primul rând, că măsurile asiguratorii au fost instituite în mai multe scopuri: în vederea garantării acoperirii despăgubirilor către partea civilă; pentru garantarea executării cheltuielilor judiciare; în vederea confiscării speciale şi a confiscării extinse.</w:t>
      </w:r>
    </w:p>
    <w:p>
      <w:pPr>
        <w:pStyle w:val="Normal"/>
        <w:ind w:firstLine="708"/>
        <w:jc w:val="both"/>
        <w:rPr>
          <w:b/>
        </w:rPr>
      </w:pPr>
      <w:r>
        <w:rPr/>
        <w:t>În acest moment procesual, judecătorul de drepturi și libertăți verifică exclusiv condiţiile formale/legale pentru menținerea măsurii asigurătorii - iar nu aspectele de temeinicie care sunt supuse examinării completului de judecată învestit cu judecarea pe fond a cauzei penale, analizează dacă sunt îndeplinite cerinţele generale prevăzute în art. 249 din Codul de procedură penală.</w:t>
      </w:r>
    </w:p>
    <w:p>
      <w:pPr>
        <w:pStyle w:val="Normal"/>
        <w:ind w:firstLine="708"/>
        <w:jc w:val="both"/>
        <w:rPr/>
      </w:pPr>
      <w:r>
        <w:rPr/>
        <w:t xml:space="preserve">Conform art. 249 alin. (4) din Codul de procedură penală, măsurile asigurătorii în vederea </w:t>
      </w:r>
      <w:r>
        <w:rPr>
          <w:b/>
        </w:rPr>
        <w:t>confiscării speciale sau confiscării extinse</w:t>
      </w:r>
      <w:r>
        <w:rPr/>
        <w:t xml:space="preserve"> se pot lua asupra bunurilor suspectului sau inculpatului ori ale altor persoane </w:t>
      </w:r>
      <w:r>
        <w:rPr>
          <w:b/>
        </w:rPr>
        <w:t>în proprietatea sau posesia cărora se află bunurile care urmează a fi confiscate.</w:t>
      </w:r>
      <w:r>
        <w:rPr/>
        <w:t xml:space="preserve"> </w:t>
      </w:r>
    </w:p>
    <w:p>
      <w:pPr>
        <w:pStyle w:val="Normal"/>
        <w:ind w:firstLine="708"/>
        <w:jc w:val="both"/>
        <w:rPr/>
      </w:pPr>
      <w:r>
        <w:rPr/>
        <w:t xml:space="preserve">De asemenea, în speţă, procurorul a indicat în cuprinsul ordonanţei necesitatea luării măsurii asigurătorii pentru recuperarea prejudiciului presupus cauzat prin faptele care au format obiectul urmăririi penale a inculpatei, întinderea presupusului prejudiciu, pentru garantarea executării cheltuielilor judiciare, dar şi în vederea confiscării speciale şi a confiscării extinse, dar şi datele/probele din care rezultă, de o manieră rezonabilă în acest moment al procedurii judiciare, că </w:t>
      </w:r>
      <w:r>
        <w:rPr>
          <w:b/>
          <w:i/>
        </w:rPr>
        <w:t>acestea sunt deţinute, indirect, de inculpata A1, și că înstrăinarea către A2 a fost una simulată</w:t>
      </w:r>
      <w:r>
        <w:rPr/>
        <w:t xml:space="preserve"> (prețul plătit; faptul că  s-ar fi trecut o sumă cu respectarea plafonului prevăzut de Legea nr. 70/2015, în care se pot face tranzacții în numerar – ”plățile făcute între persoane fizice, efectuate ca urmare a transferului dreptului de proprietate asupra unor bunuri sau drepturi, a prestarii de servicii, precum si cele reprezentând acordarea/restituirea de împrumuturi, se pot efectua în limita unui plafon zilnic de 50.000 lei/tranzactie”; momentul la care s-a realizat înstrăinarea – ulterior, momentului la care s-a cunoscut că organul de urmărire penală cercetează faptele imputate).</w:t>
      </w:r>
    </w:p>
    <w:p>
      <w:pPr>
        <w:pStyle w:val="Normal"/>
        <w:ind w:firstLine="708"/>
        <w:jc w:val="both"/>
        <w:rPr/>
      </w:pPr>
      <w:r>
        <w:rPr>
          <w:b/>
        </w:rPr>
        <w:t>Faptul că persoana interesată A2 ar fi dispus de fondurile necesar achitării sumei de 20.000 de euro este lipsit de relevanță</w:t>
      </w:r>
      <w:r>
        <w:rPr/>
        <w:t xml:space="preserve">, cât timp chiar în Ordonanța contestată se reţine că, inclusiv pentru ipoteza în care A2 a obținut venituri licite, ansamblul probator a dus la stabilirea faptului că imobilele în privința cărora a fost menținută măsura sechestrului asigurător ar fi fost cumpărate pur formal de aceasta, beneficiarul real fiind inculpata contestatoare A1, scopul urmărit fiind de a evita urmărirea bunurilor pe care inculpata le-a avut în proprietate, raportat la cuantumul prejudiciului presus a fi cauzat și pentru a nu răspunde patrimonial în raport cu acesta. </w:t>
      </w:r>
    </w:p>
    <w:p>
      <w:pPr>
        <w:pStyle w:val="Normal"/>
        <w:ind w:firstLine="708"/>
        <w:jc w:val="both"/>
        <w:rPr/>
      </w:pPr>
      <w:r>
        <w:rPr/>
        <w:t>Oricum, o parte se pare că o parte a veniturilor dobândite de A2 au fost destinate achiziționării imobilului din municipiul ...,STR....NR..., bl 14, et. 4, ap. 29, judetul ..., în privința căruia s-a dispus ridicarea măsurii sechestrului asigurător prin Încheierea nr. ... pronunțată de judecătorul de drepturi și libertăți din cadrul Tribunalului ..., în dosarul nr. D4.</w:t>
      </w:r>
    </w:p>
    <w:p>
      <w:pPr>
        <w:pStyle w:val="Normal"/>
        <w:ind w:firstLine="708"/>
        <w:jc w:val="both"/>
        <w:rPr/>
      </w:pPr>
      <w:r>
        <w:rPr/>
        <w:t xml:space="preserve">Respectând prezentul cadru procesual și limitele analizei impuse de acesta, judecătorul de drepturi și libertăți constată și că suma de 64.000 lei a fost transferată de numita A1 mamei sale, A2, la data de 24.03.2021, prin ordin de plată, cu mult anterior actului de vânzare – cumpărare din data de 11.10.2022 (cu aproximativ 1 an și 6 luni înainte). Mai mult decât atât, faptul că suma nu ar reprezenta contravaloarea bunurilor imobile sechestrate ar decurge și din ale două aspecte – la descrierea operațiunii bancare din data de 24.03.2021 figurează ”împrumut”, iar în contractul de vânzare-cumpărare se menţionează că prețul a fost achitat </w:t>
      </w:r>
      <w:r>
        <w:rPr>
          <w:b/>
        </w:rPr>
        <w:t xml:space="preserve">în numerar, </w:t>
      </w:r>
      <w:r>
        <w:rPr/>
        <w:t>înainte de încheierea actului de vânzare-cumpărare, iar nu prin ordinul de plată din 24.03.2021.</w:t>
      </w:r>
    </w:p>
    <w:p>
      <w:pPr>
        <w:pStyle w:val="Normal"/>
        <w:ind w:firstLine="708"/>
        <w:jc w:val="both"/>
        <w:rPr/>
      </w:pPr>
      <w:r>
        <w:rPr/>
        <w:t>Bunurile imobile au fost sechestrate cu respectarea dispoziţiilor legale. Prin urmare, aşa cum s-a arătat, soluţionarea prezentei contestaţii nu presupune verificarea temeiniciei măsurii de confiscare, care impune administrarea de probe, fiind esenţialmente o chestiune pe fondul cauzei şi - deci - orice consideraţii cu privire la posibilitatea dispunerii confiscării bunurilor în discuţie sunt premature; acestea vor forma obiectul dezbaterilor pe fondul cauzei, în urma administrării de probe şi în condiţii de contradictorialitate, moment la care se vor putea aduce în discuţie aspecte precum buna sau reaua-credinţă a terţilor, caracterul simulat sau nesimulat al unor acte de înstrăinare, încheierea actului cu intenţia de a evita confiscarea, provenienţa bunului, acestea fiind specifice analizei instanţei prin dispunerea confiscării, ca dispoziţie a unei eventuale sentinţe de condamnare, iar nu la verificarea legalităţii măsurii sechestrului.</w:t>
      </w:r>
    </w:p>
    <w:p>
      <w:pPr>
        <w:pStyle w:val="Normal"/>
        <w:ind w:firstLine="708"/>
        <w:jc w:val="both"/>
        <w:rPr/>
      </w:pPr>
      <w:r>
        <w:rPr/>
        <w:t>Prin raportare la natura acuzației oficiale formulate împotriva inculpatei și la dispozițiile art. 249 alin. (4) din Codul de procedură penală, care permit luarea măsurilor asigurătorii în vederea confiscării speciale/confiscării extinse inclusiv asupra bunurilor altor persoane în proprietatea sau posesia cărora se află bunurile ce urmează a fi confiscate, precum și la dispozițiile art. 112 alin. (5) din Codul penal [”dacă bunurile supuse confiscării potrivit alin. (1) lit. b) și e) nu se găsesc, în locul lor se confiscă bani și bunuri până la concurența valorii acestora”], referitoare la confiscarea specială prin echivalent, în condițiile concrete din cauză, se constată că instituirea, respectiv menținerea, măsurilor asigurătorii asupra bunurilor aflate formal în proprietatea altei persoane este legală și proporțională.</w:t>
      </w:r>
    </w:p>
    <w:p>
      <w:pPr>
        <w:pStyle w:val="Normal"/>
        <w:ind w:firstLine="708"/>
        <w:jc w:val="both"/>
        <w:rPr/>
      </w:pPr>
      <w:r>
        <w:rPr/>
        <w:t>Art. 112 alin (3) din Codul penal nu își găsește aplicabilitatea în prezenta cauză, nefiind vorba, în ipoteza imobilelor sechestrate, de bunuri care au fost folosite, în orice mod, sau destinate a fi folosite la săvârșirea unei fapte prevăzute de legea penală sau de bunuri folosite, imediat după săvârșirea faptei, pentru a asigura scăparea făptuitorului sau păstrarea folosului ori a produsului obținut.</w:t>
      </w:r>
    </w:p>
    <w:p>
      <w:pPr>
        <w:pStyle w:val="Normal"/>
        <w:ind w:firstLine="708"/>
        <w:jc w:val="both"/>
        <w:rPr/>
      </w:pPr>
      <w:r>
        <w:rPr/>
        <w:t>Mai mult decât atât, conform art. 249 alin (4 indice 1) din Codul de procedură penală, în cazul bunurilor care pot face obiectul confiscării speciale sau al confiscării extinse, luarea de către procuror a măsurilor asiguratorii pentru a evita ascunderea, distrugerea, înstrăinarea sau sustragerea de la urmărire a acestor bunuri este obligatorie.</w:t>
      </w:r>
    </w:p>
    <w:p>
      <w:pPr>
        <w:pStyle w:val="Normal"/>
        <w:jc w:val="both"/>
        <w:rPr/>
      </w:pPr>
      <w:r>
        <w:rPr/>
        <w:tab/>
        <w:t>Nicio dispoziție legală nu impune luarea măsurii sechestrului asigurător doar asupra unor bunuri dobândite din activitatea infracțională imputată sau asupra unor bunuri dobândite ulterior faptelor cercetate.</w:t>
      </w:r>
    </w:p>
    <w:p>
      <w:pPr>
        <w:pStyle w:val="Normal"/>
        <w:ind w:right="-1" w:firstLine="708"/>
        <w:jc w:val="both"/>
        <w:rPr>
          <w:b/>
        </w:rPr>
      </w:pPr>
      <w:r>
        <w:rPr>
          <w:b/>
        </w:rPr>
      </w:r>
    </w:p>
    <w:p>
      <w:pPr>
        <w:pStyle w:val="Normal"/>
        <w:ind w:firstLine="708"/>
        <w:jc w:val="both"/>
        <w:rPr/>
      </w:pPr>
      <w:r>
        <w:rPr>
          <w:b/>
        </w:rPr>
        <w:t xml:space="preserve">Față de considerentele anterior expuse, va respinge, </w:t>
      </w:r>
      <w:r>
        <w:rPr>
          <w:b/>
          <w:i/>
        </w:rPr>
        <w:t>ca nefondată</w:t>
      </w:r>
      <w:r>
        <w:rPr>
          <w:b/>
        </w:rPr>
        <w:t xml:space="preserve">, contestaţia </w:t>
      </w:r>
      <w:r>
        <w:rPr/>
        <w:t xml:space="preserve">formulată de </w:t>
      </w:r>
      <w:r>
        <w:rPr>
          <w:b/>
        </w:rPr>
        <w:t xml:space="preserve">A1 </w:t>
      </w:r>
      <w:r>
        <w:rPr/>
        <w:t>şi</w:t>
      </w:r>
      <w:r>
        <w:rPr>
          <w:b/>
        </w:rPr>
        <w:t xml:space="preserve"> A2 împotriva Ordonanței de menținere a sechestrului asigurător din data de ..., </w:t>
      </w:r>
      <w:r>
        <w:rPr/>
        <w:t xml:space="preserve">dispusă în dosarul nr. D3 al Parchetului European – Biroul procurorului european delegat în România. </w:t>
      </w:r>
    </w:p>
    <w:p>
      <w:pPr>
        <w:pStyle w:val="Normal"/>
        <w:ind w:firstLine="708"/>
        <w:jc w:val="both"/>
        <w:rPr/>
      </w:pPr>
      <w:r>
        <w:rPr/>
        <w:t xml:space="preserve">Constatând culpa procesuală, va obliga fiecare contestatoare la plata sumei de 300 lei, cu titlu de cheltuieli judiciare ocazionate de soluţionarea prezentei contestaţii. </w:t>
      </w:r>
    </w:p>
    <w:p>
      <w:pPr>
        <w:pStyle w:val="Normal"/>
        <w:rPr>
          <w:b/>
        </w:rPr>
      </w:pPr>
      <w:r>
        <w:rPr>
          <w:b/>
        </w:rPr>
      </w:r>
    </w:p>
    <w:p>
      <w:pPr>
        <w:pStyle w:val="Normal"/>
        <w:jc w:val="center"/>
        <w:rPr>
          <w:b/>
        </w:rPr>
      </w:pPr>
      <w:r>
        <w:rPr>
          <w:b/>
        </w:rPr>
        <w:t>PENTRU ACESTE MOTIVE,</w:t>
        <w:br/>
        <w:t>ÎN NUMELE LEGII</w:t>
      </w:r>
    </w:p>
    <w:p>
      <w:pPr>
        <w:pStyle w:val="Normal"/>
        <w:jc w:val="center"/>
        <w:rPr>
          <w:b/>
        </w:rPr>
      </w:pPr>
      <w:r>
        <w:rPr>
          <w:b/>
        </w:rPr>
        <w:t>DISPUNE:</w:t>
      </w:r>
    </w:p>
    <w:p>
      <w:pPr>
        <w:pStyle w:val="Normal"/>
        <w:jc w:val="center"/>
        <w:rPr/>
      </w:pPr>
      <w:r>
        <w:rPr/>
      </w:r>
    </w:p>
    <w:p>
      <w:pPr>
        <w:pStyle w:val="Normal"/>
        <w:ind w:firstLine="708"/>
        <w:jc w:val="both"/>
        <w:rPr/>
      </w:pPr>
      <w:r>
        <w:rPr>
          <w:b/>
        </w:rPr>
        <w:t xml:space="preserve">Respinge, </w:t>
      </w:r>
      <w:r>
        <w:rPr>
          <w:b/>
          <w:i/>
        </w:rPr>
        <w:t>ca nefondată</w:t>
      </w:r>
      <w:r>
        <w:rPr>
          <w:b/>
        </w:rPr>
        <w:t xml:space="preserve">, contestaţia </w:t>
      </w:r>
      <w:r>
        <w:rPr/>
        <w:t xml:space="preserve">formulată de </w:t>
      </w:r>
      <w:r>
        <w:rPr>
          <w:b/>
        </w:rPr>
        <w:t xml:space="preserve">A1 </w:t>
      </w:r>
      <w:r>
        <w:rPr/>
        <w:t>(cu domiciliul în jud. ..., .., str. ... nr. ..)</w:t>
      </w:r>
      <w:r>
        <w:rPr>
          <w:b/>
        </w:rPr>
        <w:t xml:space="preserve"> şi A2 </w:t>
      </w:r>
      <w:r>
        <w:rPr/>
        <w:t>(cu domiciliul în jud. .., ..., str. ... nr. ...)</w:t>
      </w:r>
      <w:r>
        <w:rPr>
          <w:b/>
        </w:rPr>
        <w:t xml:space="preserve"> împotriva Ordonanței de menținere a sechestrului asigurător din data de ..., </w:t>
      </w:r>
      <w:r>
        <w:rPr/>
        <w:t xml:space="preserve">dispusă în dosarul nr. D3 al Parchetului European – Biroul procurorului european delegat în România. </w:t>
      </w:r>
    </w:p>
    <w:p>
      <w:pPr>
        <w:pStyle w:val="Normal"/>
        <w:ind w:firstLine="708"/>
        <w:jc w:val="both"/>
        <w:rPr/>
      </w:pPr>
      <w:r>
        <w:rPr/>
        <w:t xml:space="preserve">Obligă fiecare contestatoare la plata sumei de 300 lei, cu titlu de cheltuieli judiciare ocazionate de soluţionarea prezentei contestaţii. </w:t>
      </w:r>
    </w:p>
    <w:p>
      <w:pPr>
        <w:pStyle w:val="Normal"/>
        <w:jc w:val="both"/>
        <w:rPr>
          <w:b/>
        </w:rPr>
      </w:pPr>
      <w:r>
        <w:rPr/>
        <w:tab/>
      </w:r>
      <w:r>
        <w:rPr>
          <w:b/>
        </w:rPr>
        <w:t>Definitivă.</w:t>
      </w:r>
    </w:p>
    <w:p>
      <w:pPr>
        <w:pStyle w:val="Normal"/>
        <w:jc w:val="both"/>
        <w:rPr/>
      </w:pPr>
      <w:r>
        <w:rPr>
          <w:b/>
        </w:rPr>
        <w:tab/>
      </w:r>
      <w:r>
        <w:rPr/>
        <w:t xml:space="preserve">Pronunţată astăzi, </w:t>
      </w:r>
      <w:r>
        <w:rPr>
          <w:b/>
        </w:rPr>
        <w:t>...</w:t>
      </w:r>
      <w:r>
        <w:rPr/>
        <w:t xml:space="preserve">, prin punerea soluţiei la dispoziţie prin mijlocirea grefei instanţei.  </w:t>
      </w:r>
    </w:p>
    <w:p>
      <w:pPr>
        <w:pStyle w:val="Normal"/>
        <w:jc w:val="both"/>
        <w:rPr/>
      </w:pPr>
      <w:r>
        <w:rPr/>
      </w:r>
    </w:p>
    <w:tbl>
      <w:tblPr>
        <w:tblW w:w="9286" w:type="dxa"/>
        <w:jc w:val="left"/>
        <w:tblInd w:w="-108" w:type="dxa"/>
        <w:tblLayout w:type="fixed"/>
        <w:tblCellMar>
          <w:top w:w="0" w:type="dxa"/>
          <w:left w:w="108" w:type="dxa"/>
          <w:bottom w:w="0" w:type="dxa"/>
          <w:right w:w="108" w:type="dxa"/>
        </w:tblCellMar>
      </w:tblPr>
      <w:tblGrid>
        <w:gridCol w:w="4643"/>
        <w:gridCol w:w="4643"/>
      </w:tblGrid>
      <w:tr>
        <w:trPr/>
        <w:tc>
          <w:tcPr>
            <w:tcW w:w="4643" w:type="dxa"/>
            <w:tcBorders/>
          </w:tcPr>
          <w:p>
            <w:pPr>
              <w:pStyle w:val="Normal"/>
              <w:jc w:val="center"/>
              <w:rPr>
                <w:b/>
              </w:rPr>
            </w:pPr>
            <w:r>
              <w:rPr>
                <w:b/>
              </w:rPr>
              <w:t>Președinte,</w:t>
            </w:r>
          </w:p>
          <w:p>
            <w:pPr>
              <w:pStyle w:val="Normal"/>
              <w:jc w:val="center"/>
              <w:rPr>
                <w:b/>
              </w:rPr>
            </w:pPr>
            <w:r>
              <w:rPr>
                <w:b/>
              </w:rPr>
              <w:t>Judecător de drepturi și libertăți,</w:t>
            </w:r>
          </w:p>
          <w:p>
            <w:pPr>
              <w:pStyle w:val="Normal"/>
              <w:jc w:val="center"/>
              <w:rPr>
                <w:b/>
              </w:rPr>
            </w:pPr>
            <w:r>
              <w:rPr>
                <w:b/>
              </w:rPr>
              <w:t>A0013</w:t>
            </w:r>
          </w:p>
          <w:p>
            <w:pPr>
              <w:pStyle w:val="Normal"/>
              <w:jc w:val="center"/>
              <w:rPr>
                <w:b/>
              </w:rPr>
            </w:pPr>
            <w:r>
              <w:rPr>
                <w:b/>
              </w:rPr>
            </w:r>
          </w:p>
          <w:p>
            <w:pPr>
              <w:pStyle w:val="Normal"/>
              <w:rPr>
                <w:b/>
              </w:rPr>
            </w:pPr>
            <w:r>
              <w:rPr>
                <w:b/>
              </w:rPr>
            </w:r>
          </w:p>
          <w:p>
            <w:pPr>
              <w:pStyle w:val="Normal"/>
              <w:rPr>
                <w:b/>
              </w:rPr>
            </w:pPr>
            <w:r>
              <w:rPr>
                <w:b/>
              </w:rPr>
            </w:r>
          </w:p>
          <w:p>
            <w:pPr>
              <w:pStyle w:val="Normal"/>
              <w:rPr>
                <w:b/>
              </w:rPr>
            </w:pPr>
            <w:r>
              <w:rPr>
                <w:b/>
              </w:rPr>
            </w:r>
          </w:p>
        </w:tc>
        <w:tc>
          <w:tcPr>
            <w:tcW w:w="4643" w:type="dxa"/>
            <w:tcBorders/>
          </w:tcPr>
          <w:p>
            <w:pPr>
              <w:pStyle w:val="Normal"/>
              <w:rPr>
                <w:b/>
              </w:rPr>
            </w:pPr>
            <w:r>
              <w:rPr>
                <w:b/>
              </w:rPr>
            </w:r>
          </w:p>
          <w:p>
            <w:pPr>
              <w:pStyle w:val="Normal"/>
              <w:jc w:val="center"/>
              <w:rPr>
                <w:b/>
              </w:rPr>
            </w:pPr>
            <w:r>
              <w:rPr>
                <w:b/>
              </w:rPr>
              <w:t>Grefier,</w:t>
            </w:r>
          </w:p>
          <w:p>
            <w:pPr>
              <w:pStyle w:val="Normal"/>
              <w:jc w:val="center"/>
              <w:rPr>
                <w:b/>
              </w:rPr>
            </w:pPr>
            <w:r>
              <w:rPr>
                <w:b/>
              </w:rPr>
              <w:t>...</w:t>
            </w:r>
          </w:p>
          <w:p>
            <w:pPr>
              <w:pStyle w:val="Normal"/>
              <w:jc w:val="center"/>
              <w:rPr/>
            </w:pPr>
            <w:r>
              <w:rPr/>
            </w:r>
          </w:p>
          <w:p>
            <w:pPr>
              <w:pStyle w:val="Normal"/>
              <w:rPr>
                <w:b/>
              </w:rPr>
            </w:pPr>
            <w:r>
              <w:rPr>
                <w:b/>
              </w:rPr>
            </w:r>
          </w:p>
        </w:tc>
      </w:tr>
    </w:tbl>
    <w:p>
      <w:pPr>
        <w:pStyle w:val="Normal"/>
        <w:tabs>
          <w:tab w:val="clear" w:pos="720"/>
          <w:tab w:val="left" w:leader="none" w:pos="2091"/>
        </w:tabs>
        <w:jc w:val="both"/>
        <w:rPr>
          <w:sz w:val="16"/>
        </w:rPr>
      </w:pPr>
      <w:r>
        <w:rPr>
          <w:sz w:val="16"/>
        </w:rPr>
        <w:t>Red. / Tehnored. A0013</w:t>
      </w:r>
    </w:p>
    <w:p>
      <w:pPr>
        <w:pStyle w:val="Normal"/>
        <w:tabs>
          <w:tab w:val="clear" w:pos="720"/>
          <w:tab w:val="left" w:leader="none" w:pos="2091"/>
        </w:tabs>
        <w:jc w:val="both"/>
        <w:rPr>
          <w:sz w:val="16"/>
        </w:rPr>
      </w:pPr>
      <w:r>
        <w:rPr>
          <w:sz w:val="16"/>
        </w:rPr>
        <w:t>2ex. / ...</w:t>
      </w:r>
    </w:p>
    <w:p>
      <w:pPr>
        <w:pStyle w:val="Normal"/>
        <w:rPr>
          <w:b/>
        </w:rPr>
      </w:pPr>
      <w:r>
        <w:rPr>
          <w:b/>
        </w:rPr>
      </w:r>
    </w:p>
    <w:p>
      <w:pPr>
        <w:pStyle w:val="Normal"/>
        <w:rPr/>
      </w:pPr>
      <w:r>
        <w:rPr/>
      </w:r>
    </w:p>
    <w:sectPr>
      <w:footerReference w:type="default" r:id="rId2"/>
      <w:type w:val="nextPage"/>
      <w:pgSz w:w="11906" w:h="16838"/>
      <w:pgMar w:top="851" w:right="851" w:bottom="851" w:left="1985" w:header="0" w:footer="720"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Garamond">
    <w:charset w:val="00"/>
    <w:family w:val="roman"/>
    <w:pitch w:val="variable"/>
  </w:font>
  <w:font w:name="Liberation Sans">
    <w:altName w:val="Arial"/>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fldChar w:fldCharType="begin"/>
    </w:r>
    <w:r>
      <w:rPr/>
      <w:instrText xml:space="preserve"> PAGE </w:instrText>
    </w:r>
    <w:r>
      <w:rPr/>
      <w:fldChar w:fldCharType="separate"/>
    </w:r>
    <w:r>
      <w:rPr/>
      <w:t>8</w:t>
    </w:r>
    <w:r>
      <w:rPr/>
      <w:fldChar w:fldCharType="end"/>
    </w:r>
  </w:p>
  <w:p>
    <w:pPr>
      <w:pStyle w:val="Footer"/>
      <w:rPr/>
    </w:pPr>
    <w:r>
      <w:rPr/>
    </w:r>
  </w:p>
</w:ftr>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2"/>
        <w:lang w:val="ro-RO" w:eastAsia="ro-RO" w:bidi="ar-SA"/>
      </w:rPr>
    </w:rPrDefault>
    <w:pPrDefault>
      <w:pPr>
        <w:suppressAutoHyphens w:val="true"/>
      </w:pPr>
    </w:pPrDefault>
  </w:docDefaults>
  <w:style w:type="paragraph" w:styleId="Normal">
    <w:name w:val="Normal"/>
    <w:qFormat/>
    <w:pPr>
      <w:widowControl/>
      <w:kinsoku w:val="true"/>
      <w:overflowPunct w:val="true"/>
      <w:autoSpaceDE w:val="true"/>
      <w:bidi w:val="0"/>
      <w:spacing w:before="0" w:after="0"/>
      <w:jc w:val="left"/>
    </w:pPr>
    <w:rPr>
      <w:rFonts w:ascii="Times New Roman" w:hAnsi="Times New Roman" w:eastAsia="Times New Roman" w:cs="Times New Roman"/>
      <w:color w:val="auto"/>
      <w:kern w:val="0"/>
      <w:sz w:val="24"/>
      <w:szCs w:val="20"/>
      <w:lang w:val="ro-RO" w:eastAsia="ro-RO" w:bidi="ar-SA"/>
    </w:rPr>
  </w:style>
  <w:style w:type="paragraph" w:styleId="Heading1">
    <w:name w:val="Heading 1"/>
    <w:basedOn w:val="Normal"/>
    <w:next w:val="Normal"/>
    <w:qFormat/>
    <w:pPr>
      <w:keepNext w:val="true"/>
      <w:numPr>
        <w:ilvl w:val="0"/>
        <w:numId w:val="0"/>
      </w:numPr>
      <w:jc w:val="center"/>
      <w:outlineLvl w:val="0"/>
    </w:pPr>
    <w:rPr>
      <w:b/>
      <w:sz w:val="28"/>
      <w:lang w:val="en-US"/>
    </w:rPr>
  </w:style>
  <w:style w:type="paragraph" w:styleId="Heading2">
    <w:name w:val="Heading 2"/>
    <w:basedOn w:val="Normal"/>
    <w:next w:val="Normal"/>
    <w:qFormat/>
    <w:pPr>
      <w:keepNext w:val="true"/>
      <w:numPr>
        <w:ilvl w:val="0"/>
        <w:numId w:val="0"/>
      </w:numPr>
      <w:jc w:val="center"/>
      <w:outlineLvl w:val="1"/>
    </w:pPr>
    <w:rPr>
      <w:rFonts w:ascii="Garamond" w:hAnsi="Garamond"/>
      <w:b/>
    </w:rPr>
  </w:style>
  <w:style w:type="paragraph" w:styleId="Heading3">
    <w:name w:val="Heading 3"/>
    <w:basedOn w:val="Normal"/>
    <w:next w:val="Normal"/>
    <w:qFormat/>
    <w:pPr>
      <w:keepNext w:val="true"/>
      <w:numPr>
        <w:ilvl w:val="0"/>
        <w:numId w:val="0"/>
      </w:numPr>
      <w:jc w:val="center"/>
      <w:outlineLvl w:val="2"/>
    </w:pPr>
    <w:rPr>
      <w:rFonts w:ascii="Garamond" w:hAnsi="Garamond"/>
      <w:sz w:val="36"/>
    </w:rPr>
  </w:style>
  <w:style w:type="character" w:styleId="DefaultParagraphFont">
    <w:name w:val="Default Paragraph Font"/>
    <w:qFormat/>
    <w:rPr/>
  </w:style>
  <w:style w:type="character" w:styleId="LineNumber">
    <w:name w:val="Line Number"/>
    <w:basedOn w:val="DefaultParagraphFont"/>
    <w:rPr/>
  </w:style>
  <w:style w:type="character" w:styleId="Hyperlink">
    <w:name w:val="Hyperlink"/>
    <w:rPr>
      <w:color w:val="0000FF"/>
      <w:u w:val="single"/>
    </w:rPr>
  </w:style>
  <w:style w:type="character" w:styleId="AntetCaracter">
    <w:name w:val="Antet Caracter"/>
    <w:link w:val="Header"/>
    <w:qFormat/>
    <w:rPr/>
  </w:style>
  <w:style w:type="character" w:styleId="SubsolCaracter">
    <w:name w:val="Subsol Caracter"/>
    <w:link w:val="Footer"/>
    <w:qFormat/>
    <w:rPr/>
  </w:style>
  <w:style w:type="paragraph" w:styleId="Heading">
    <w:name w:val="Heading"/>
    <w:basedOn w:val="Normal"/>
    <w:next w:val="BodyText"/>
    <w:qFormat/>
    <w:pPr>
      <w:keepNext w:val="true"/>
      <w:spacing w:before="240" w:after="120"/>
    </w:pPr>
    <w:rPr>
      <w:rFonts w:ascii="Liberation Sans" w:hAnsi="Liberation Sans" w:eastAsia="DejaVu Sans" w:cs="Free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HeaderandFooter">
    <w:name w:val="Header and Footer"/>
    <w:basedOn w:val="Normal"/>
    <w:qFormat/>
    <w:pPr/>
    <w:rPr/>
  </w:style>
  <w:style w:type="paragraph" w:styleId="Header">
    <w:name w:val="Header"/>
    <w:basedOn w:val="Normal"/>
    <w:link w:val="AntetCaracter"/>
    <w:pPr>
      <w:tabs>
        <w:tab w:val="clear" w:pos="720"/>
        <w:tab w:val="center" w:pos="4536" w:leader="none"/>
        <w:tab w:val="right" w:pos="9072" w:leader="none"/>
      </w:tabs>
    </w:pPr>
    <w:rPr/>
  </w:style>
  <w:style w:type="paragraph" w:styleId="Footer">
    <w:name w:val="Footer"/>
    <w:basedOn w:val="Normal"/>
    <w:link w:val="SubsolCaracter"/>
    <w:pPr>
      <w:tabs>
        <w:tab w:val="clear" w:pos="720"/>
        <w:tab w:val="center" w:pos="4536" w:leader="none"/>
        <w:tab w:val="right" w:pos="9072" w:leader="none"/>
      </w:tabs>
    </w:pPr>
    <w:rPr/>
  </w:style>
  <w:style w:type="paragraph" w:styleId="TableContents">
    <w:name w:val="Table Contents"/>
    <w:basedOn w:val="Normal"/>
    <w:qFormat/>
    <w:pPr>
      <w:widowControl w:val="false"/>
      <w:suppressLineNumbers/>
    </w:pPr>
    <w:rPr/>
  </w:style>
  <w:style w:type="numbering" w:styleId="NoList">
    <w:name w:val="No 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50</ap:TotalTime>
  <ap:Application>LibreOffice/24.2.7.2$Linux_X86_64 LibreOffice_project/420$Build-2</ap:Application>
  <ap:AppVersion>15.0000</ap:AppVersion>
  <ap:Pages>6</ap:Pages>
  <ap:Words>4598</ap:Words>
  <ap:Characters>26473</ap:Characters>
  <ap:CharactersWithSpaces>31035</ap:CharactersWithSpaces>
  <ap:Paragraphs>99</ap:Paragraphs>
</ap:Properties>
</file>

<file path=docProps/core.xml><?xml version="1.0" encoding="utf-8"?>
<coreProperties xmlns:dc="http://purl.org/dc/elements/1.1/" xmlns:dcterms="http://purl.org/dc/terms/" xmlns:xsi="http://www.w3.org/2001/XMLSchema-instance" xmlns="http://schemas.openxmlformats.org/package/2006/metadata/core-properties">
  <dc:creator/>
  <dc:description/>
  <dc:language/>
  <lastModifiedBy/>
  <lastPrinted>2024-04-26T09:27:00.0000000Z</lastPrinted>
  <revision/>
  <dc:subject/>
  <dc:title/>
  <keywords/>
  <category/>
  <contentStatus/>
  <dc:identifier/>
  <version/>
</coreProperties>
</file>