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E44A6" w14:paraId="2CBD428B" w14:textId="77777777">
      <w:r>
        <w:t>Cod ECLI    ECLI:RO:</w:t>
      </w:r>
      <w:r w:rsidR="00517BD2">
        <w:t>.............</w:t>
      </w:r>
    </w:p>
    <w:p w:rsidR="00AE44A6" w14:paraId="73AE97B3" w14:textId="77777777">
      <w:r>
        <w:t xml:space="preserve">Dosar nr. </w:t>
      </w:r>
      <w:r w:rsidR="00517BD2">
        <w:t>22</w:t>
      </w:r>
    </w:p>
    <w:p w:rsidR="00AE44A6" w14:paraId="0BFE99A1" w14:textId="77777777">
      <w:pPr>
        <w:jc w:val="center"/>
      </w:pPr>
      <w:r>
        <w:t>R O M Â N I A</w:t>
      </w:r>
    </w:p>
    <w:p w:rsidR="00AE44A6" w14:paraId="415862AC" w14:textId="77777777">
      <w:pPr>
        <w:jc w:val="center"/>
      </w:pPr>
      <w:r>
        <w:t xml:space="preserve">CURTEA DE APEL </w:t>
      </w:r>
      <w:r w:rsidR="00517BD2">
        <w:t xml:space="preserve">............ </w:t>
      </w:r>
    </w:p>
    <w:p w:rsidR="00AE44A6" w14:paraId="76CE2843" w14:textId="77777777">
      <w:pPr>
        <w:jc w:val="center"/>
      </w:pPr>
      <w:r>
        <w:t xml:space="preserve">Secţia </w:t>
      </w:r>
      <w:r w:rsidR="00517BD2">
        <w:t xml:space="preserve">............ </w:t>
      </w:r>
    </w:p>
    <w:p w:rsidR="00AE44A6" w14:paraId="5DEB92FD" w14:textId="77777777"/>
    <w:p w:rsidRPr="00226A50" w:rsidR="00AE44A6" w14:paraId="3172EF78" w14:textId="77777777">
      <w:pPr>
        <w:jc w:val="center"/>
        <w:rPr>
          <w:rStyle w:val="Fontdeparagrafimplicit"/>
          <w:b/>
          <w:lang w:val="pt-PT"/>
        </w:rPr>
      </w:pPr>
      <w:r w:rsidRPr="00226A50">
        <w:rPr>
          <w:rStyle w:val="Fontdeparagrafimplicit"/>
          <w:b/>
          <w:lang w:val="pt-PT"/>
        </w:rPr>
        <w:t xml:space="preserve">DECIZIA CIVILĂ Nr. </w:t>
      </w:r>
      <w:r w:rsidRPr="00226A50" w:rsidR="00517BD2">
        <w:rPr>
          <w:rStyle w:val="Fontdeparagrafimplicit"/>
          <w:b/>
          <w:lang w:val="pt-PT"/>
        </w:rPr>
        <w:t>22</w:t>
      </w:r>
    </w:p>
    <w:p w:rsidR="00AE44A6" w14:paraId="2159963A" w14:textId="77777777">
      <w:pPr>
        <w:jc w:val="center"/>
      </w:pPr>
      <w:r>
        <w:t xml:space="preserve">Şedinţa publică din data de </w:t>
      </w:r>
      <w:r w:rsidR="00517BD2">
        <w:t xml:space="preserve">................. </w:t>
      </w:r>
    </w:p>
    <w:p w:rsidR="00AE44A6" w14:paraId="04E4FB6D" w14:textId="77777777">
      <w:pPr>
        <w:jc w:val="center"/>
      </w:pPr>
      <w:r>
        <w:t>Instanţa constituită din:</w:t>
      </w:r>
    </w:p>
    <w:p w:rsidR="00AE44A6" w14:paraId="5F8E3B98" w14:textId="77777777">
      <w:pPr>
        <w:jc w:val="center"/>
      </w:pPr>
      <w:r>
        <w:t xml:space="preserve">PREŞEDINTE: </w:t>
      </w:r>
      <w:r w:rsidR="00517BD2">
        <w:t>A0019</w:t>
      </w:r>
    </w:p>
    <w:p w:rsidR="00AE44A6" w14:paraId="6E911C7E" w14:textId="77777777">
      <w:pPr>
        <w:jc w:val="center"/>
      </w:pPr>
      <w:r>
        <w:t xml:space="preserve">JUDECĂTOR: </w:t>
      </w:r>
      <w:r w:rsidR="00517BD2">
        <w:t>...............</w:t>
      </w:r>
    </w:p>
    <w:p w:rsidR="00AE44A6" w14:paraId="4FFF0BA7" w14:textId="77777777">
      <w:pPr>
        <w:jc w:val="center"/>
      </w:pPr>
      <w:r>
        <w:t xml:space="preserve">GREFIER: </w:t>
      </w:r>
      <w:r w:rsidR="00517BD2">
        <w:t>...............</w:t>
      </w:r>
    </w:p>
    <w:p w:rsidR="00AE44A6" w14:paraId="066EE581" w14:textId="77777777">
      <w:pPr>
        <w:ind w:firstLine="720"/>
        <w:jc w:val="center"/>
      </w:pPr>
    </w:p>
    <w:p w:rsidR="00AE44A6" w14:paraId="6767458D" w14:textId="77777777">
      <w:pPr>
        <w:ind w:firstLine="708"/>
        <w:jc w:val="both"/>
      </w:pPr>
      <w:r>
        <w:t xml:space="preserve">S-au luat în examinare, în vederea pronunţării, apelul declarat de reclamantul </w:t>
      </w:r>
      <w:r w:rsidR="00517BD2">
        <w:t xml:space="preserve">1 </w:t>
      </w:r>
      <w:r>
        <w:t xml:space="preserve">împotriva sentinţei civile nr. </w:t>
      </w:r>
      <w:r w:rsidR="00517BD2">
        <w:t xml:space="preserve">.......... </w:t>
      </w:r>
      <w:r>
        <w:t xml:space="preserve">din </w:t>
      </w:r>
      <w:r w:rsidR="00517BD2">
        <w:t xml:space="preserve">............... </w:t>
      </w:r>
      <w:r>
        <w:t xml:space="preserve">pronunţată de Tribunalul </w:t>
      </w:r>
      <w:r w:rsidR="00517BD2">
        <w:t xml:space="preserve">............... </w:t>
      </w:r>
      <w:r>
        <w:t xml:space="preserve">în dosarul nr. </w:t>
      </w:r>
      <w:r w:rsidR="00517BD2">
        <w:t>22</w:t>
      </w:r>
      <w:r>
        <w:t xml:space="preserve"> privind şi pe intimaţii pârâţi MINISTERUL AFACERILOR INTERNE şi CASA DE PENSII SECTORIALĂ A MINISTERULUI ADMINISTRAŢIEI ŞI INTERNELOR, având ca obiect asigurări sociale.</w:t>
      </w:r>
    </w:p>
    <w:p w:rsidR="00AE44A6" w14:paraId="7FE41B32" w14:textId="77777777">
      <w:pPr>
        <w:ind w:firstLine="708"/>
        <w:jc w:val="both"/>
      </w:pPr>
      <w:r>
        <w:t xml:space="preserve">Dezbaterea cauzei s-a consemnat în încheierea şedinţei publice din data de </w:t>
      </w:r>
      <w:r w:rsidR="00517BD2">
        <w:t xml:space="preserve">............... </w:t>
      </w:r>
      <w:r>
        <w:t xml:space="preserve">, când s-a amânat pronunţarea pentru data de </w:t>
      </w:r>
      <w:r w:rsidR="00517BD2">
        <w:t xml:space="preserve">............... </w:t>
      </w:r>
      <w:r>
        <w:t xml:space="preserve">, iar apoi pentru data de </w:t>
      </w:r>
      <w:r w:rsidR="00517BD2">
        <w:t xml:space="preserve">............... </w:t>
      </w:r>
      <w:r>
        <w:t>, încheieri care fac parte integrantă din prezenta decizie.</w:t>
      </w:r>
    </w:p>
    <w:p w:rsidR="00AE44A6" w14:paraId="6CF4395C" w14:textId="77777777">
      <w:pPr>
        <w:jc w:val="center"/>
      </w:pPr>
    </w:p>
    <w:p w:rsidR="00AE44A6" w14:paraId="70496359" w14:textId="77777777">
      <w:pPr>
        <w:jc w:val="center"/>
      </w:pPr>
      <w:r>
        <w:t>C U R T E A</w:t>
      </w:r>
    </w:p>
    <w:p w:rsidR="00AE44A6" w14:paraId="4A7540F2" w14:textId="77777777">
      <w:pPr>
        <w:jc w:val="center"/>
      </w:pPr>
    </w:p>
    <w:p w:rsidR="00AE44A6" w14:paraId="0F49683F" w14:textId="77777777">
      <w:pPr>
        <w:ind w:firstLine="708"/>
        <w:jc w:val="both"/>
      </w:pPr>
      <w:r w:rsidRPr="00226A50">
        <w:rPr>
          <w:rStyle w:val="Fontdeparagrafimplicit"/>
          <w:i/>
          <w:lang w:val="ro-RO"/>
        </w:rPr>
        <w:t xml:space="preserve">Prin sentinţa civilă nr. </w:t>
      </w:r>
      <w:r w:rsidRPr="00226A50" w:rsidR="00517BD2">
        <w:rPr>
          <w:rStyle w:val="Fontdeparagrafimplicit"/>
          <w:i/>
          <w:lang w:val="ro-RO"/>
        </w:rPr>
        <w:t xml:space="preserve">.......... </w:t>
      </w:r>
      <w:r w:rsidRPr="00226A50">
        <w:rPr>
          <w:rStyle w:val="Fontdeparagrafimplicit"/>
          <w:i/>
          <w:lang w:val="ro-RO"/>
        </w:rPr>
        <w:t xml:space="preserve">din </w:t>
      </w:r>
      <w:r w:rsidRPr="00226A50" w:rsidR="00517BD2">
        <w:rPr>
          <w:rStyle w:val="Fontdeparagrafimplicit"/>
          <w:i/>
          <w:lang w:val="ro-RO"/>
        </w:rPr>
        <w:t xml:space="preserve">............... </w:t>
      </w:r>
      <w:r w:rsidRPr="00226A50">
        <w:rPr>
          <w:rStyle w:val="Fontdeparagrafimplicit"/>
          <w:i/>
          <w:lang w:val="ro-RO"/>
        </w:rPr>
        <w:t xml:space="preserve">pronunţată de Tribunalul </w:t>
      </w:r>
      <w:r w:rsidRPr="00226A50" w:rsidR="00517BD2">
        <w:rPr>
          <w:rStyle w:val="Fontdeparagrafimplicit"/>
          <w:i/>
          <w:lang w:val="ro-RO"/>
        </w:rPr>
        <w:t xml:space="preserve">............... </w:t>
      </w:r>
      <w:r w:rsidRPr="00226A50">
        <w:rPr>
          <w:rStyle w:val="Fontdeparagrafimplicit"/>
          <w:i/>
          <w:lang w:val="ro-RO"/>
        </w:rPr>
        <w:t xml:space="preserve">în dosarul nr. </w:t>
      </w:r>
      <w:r w:rsidRPr="00226A50" w:rsidR="00517BD2">
        <w:rPr>
          <w:rStyle w:val="Fontdeparagrafimplicit"/>
          <w:i/>
          <w:lang w:val="ro-RO"/>
        </w:rPr>
        <w:t>22</w:t>
      </w:r>
      <w:r>
        <w:t xml:space="preserve"> s-a admis excepţia lipsei calităţii procesuale pasive invocată de pârâtul Ministerul Afacerilor Interne în reprezentarea Statului Român, şi în consecinţă, s-a respins acţiunea formulată de reclamantul </w:t>
      </w:r>
      <w:r w:rsidR="00517BD2">
        <w:t xml:space="preserve">1 </w:t>
      </w:r>
      <w:r>
        <w:t>împotriva pârâtului Statul Român prin Ministerul Afacerilor Interne, ca fiind introdusă împotriva unei persoane fără calitate procesuală pasivă.</w:t>
      </w:r>
    </w:p>
    <w:p w:rsidR="00AE44A6" w14:paraId="0E30F4AF" w14:textId="77777777">
      <w:pPr>
        <w:ind w:firstLine="708"/>
        <w:jc w:val="both"/>
      </w:pPr>
      <w:r>
        <w:t>Pentru a hotărî astfel, prima instanţă a reţinut că cu privire la excepţia lipsei calităţii procesuale pasive invocată de pârâtul Statul Român prin Ministerul Afacerilor Interne, că este întemeiată pentru următoarele considerente:</w:t>
      </w:r>
    </w:p>
    <w:p w:rsidR="00AE44A6" w14:paraId="07278F1B" w14:textId="77777777">
      <w:pPr>
        <w:ind w:firstLine="708"/>
        <w:jc w:val="both"/>
      </w:pPr>
      <w:r>
        <w:t xml:space="preserve">Prin cererea formulată reclamantul a solicitat a se constata că între prevederile legale naţionale cuprinse în Cap. IV al Legii nr. 329/2009, ce au constituit temeiul legal al suspendării pensiei sale de către conducerea Casei Sectoriale de Pensii a M.A.I. şi normele dreptului comunitar european pe care le-a invocat ca temei legal al acţiunii introductive există neconcordanţe vădite, situaţie ce impunea aplicarea prioritară a reglementărilor comunitare europene, conform dispoziţiilor imperative ale art. 20 alin. 2 din Constituţia României. </w:t>
      </w:r>
    </w:p>
    <w:p w:rsidR="00AE44A6" w14:paraId="13A9B4C3" w14:textId="69FA802C">
      <w:pPr>
        <w:ind w:firstLine="708"/>
        <w:jc w:val="both"/>
      </w:pPr>
      <w:r>
        <w:t>Neprocedând astfel şi aplicând prevederile legale naţionale raportat la situaţia reclamantului de pensionar cumulard, pârâtul a săvârşit un abuz de drept, care i-a produs un prejudiciu material, motiv pentru care reclamantul a solicitat şi obligarea pârâtului la plata retroactivă a pensiei sale pentru perioada 1.01.2010-31.08.2012, perioadă în care dreptul său la pensie a fost suprimat/suspendat pe nedrept.</w:t>
      </w:r>
    </w:p>
    <w:p w:rsidR="00AE44A6" w14:paraId="708847EC" w14:textId="77777777">
      <w:pPr>
        <w:ind w:firstLine="708"/>
        <w:jc w:val="both"/>
      </w:pPr>
      <w:r>
        <w:t>În soluţionarea acestei cereri, trebuia stabilit dacă Statului Român, prin Ministerul Afacerilor Interne, i se poate recunoaşte calitatea procesuală pasivă, respectiv dacă între reclamant (ce a invocat încălcarea obligaţiilor pozitive ale Statului, sub aspectul protecţiei drepturilor fundamentale garantate prin Convenţia Europeană pentru Apărarea drepturilor Omului şi a Libertăţilor Fundamentale şi a aplicării prioritare a normelor comunitare) şi pârâtul chemat în judecată există sau nu un raport juridic din care să rezulte obligaţia de despăgubire pretinsă, în afara cadrului legal existent.</w:t>
      </w:r>
    </w:p>
    <w:p w:rsidR="00AE44A6" w14:paraId="373C1395" w14:textId="77777777">
      <w:pPr>
        <w:ind w:firstLine="708"/>
        <w:jc w:val="both"/>
      </w:pPr>
      <w:r>
        <w:t xml:space="preserve">Or, aşa cum a arătat şi reclamantul, suspendarea pensiei care constituie, în opinia acestuia, un abuz de drept în condiţiile aplicării unor reglementări interne neconcordante prevederilor Tratatului Uniunii Europene, normelor europene în materie şi jurisprudenţei consacrate în domeniu </w:t>
      </w:r>
      <w:r>
        <w:t xml:space="preserve">a C.E.D.O. şi C.J.C.E. invocate de reclamant, a fost emisă de Casa Sectorială de Pensii a Ministerul Administraţiei şi Internelor prin decizia nr. </w:t>
      </w:r>
      <w:r w:rsidR="00517BD2">
        <w:t>2</w:t>
      </w:r>
      <w:r>
        <w:t xml:space="preserve">/29.12.2009. </w:t>
      </w:r>
    </w:p>
    <w:p w:rsidR="00AE44A6" w14:paraId="16C815DF" w14:textId="77777777">
      <w:pPr>
        <w:ind w:firstLine="708"/>
        <w:jc w:val="both"/>
      </w:pPr>
      <w:r>
        <w:t>Conform art. 1 din H.G. nr. 233/2011 privind activitatea, organizarea şi funcţionarea a caselor de pensii sectoriale, casele de pensii sectoriale sunt structuri de specialitate cu personalitate juridică înfiinţate prin lege în subordinea Ministerului Apărării Naţionale, Ministerului Administraţiei şi Internelor, precum şi a Serviciului Român de Informaţii şi administrează, împreună cu Casa Naţională de Pensii Publice, sistemul public de pensii din România pentru persoanele prevăzute la art. 6 alin. (1) pct. I lit. c) şi pct. V din Legea nr. 263/2010 privind sistemul unitar de pensii publice, cu modificările şi completările ulterioare.</w:t>
      </w:r>
    </w:p>
    <w:p w:rsidR="00AE44A6" w14:paraId="14FBBE37" w14:textId="77777777">
      <w:pPr>
        <w:ind w:firstLine="708"/>
        <w:jc w:val="both"/>
      </w:pPr>
      <w:r>
        <w:t xml:space="preserve">Pretinzând că dispoziţiile Capitolului IV al Legii nr. 329/2009 sunt incompatibile cu reglementările normative din Directiva 2000/78/CE şi cu celelalte norme europene invocate ca temei de drept al cererii sale, reclamantul nu a chemat în judecată Casa de Pensii Sectorială a Ministerul Afacerilor Interne, care i-a aplicat în mod concret legislaţia naţională, ci Statul Român prin Ministerul Afacerilor Interne care nu are calitate procesuală pasivă, nefiind organul emitent al deciziei de suspendare a pensiei şi, ca urmare, nici autorul abuzului de drept reclamat. </w:t>
      </w:r>
    </w:p>
    <w:p w:rsidR="00AE44A6" w14:paraId="18BD1249" w14:textId="77777777">
      <w:pPr>
        <w:ind w:firstLine="708"/>
        <w:jc w:val="both"/>
      </w:pPr>
      <w:r w:rsidRPr="00226A50">
        <w:rPr>
          <w:rStyle w:val="Fontdeparagrafimplicit"/>
          <w:i/>
          <w:lang w:val="ro-RO"/>
        </w:rPr>
        <w:t xml:space="preserve">Împotriva acestei hotărâri a declarat apel reclamantul </w:t>
      </w:r>
      <w:r w:rsidRPr="00226A50" w:rsidR="00517BD2">
        <w:rPr>
          <w:rStyle w:val="Fontdeparagrafimplicit"/>
          <w:i/>
          <w:lang w:val="ro-RO"/>
        </w:rPr>
        <w:t xml:space="preserve">1 </w:t>
      </w:r>
      <w:r>
        <w:t>solicitând să se  constatate că în mod greşit prima instanţă a soluţionat procesul fără a intra în judecata fondului, admiterea apelului, anularea sentinţei atacate şi evocând fondul admiterea acţiunii, aşa cum a fost formulată.</w:t>
      </w:r>
    </w:p>
    <w:p w:rsidR="00AE44A6" w14:paraId="287326E1" w14:textId="77777777">
      <w:pPr>
        <w:ind w:firstLine="708"/>
        <w:jc w:val="both"/>
      </w:pPr>
      <w:r>
        <w:t xml:space="preserve">În motivarea apelului, apelantul a arătat că instanţa de fond s-a pronunţat în mod eronat asupra unei pretinse excepţii vizând lipsa calităţii procesuale pasive a Ministerului Afacerilor Interne, cu toate că acest minister nu are calitatea de pârât în speţă, ci numai de reprezentant al pârâtului - Statul Român; </w:t>
      </w:r>
    </w:p>
    <w:p w:rsidR="00AE44A6" w14:paraId="64A74D98" w14:textId="77777777">
      <w:pPr>
        <w:ind w:firstLine="708"/>
        <w:jc w:val="both"/>
      </w:pPr>
      <w:r>
        <w:t>- A analizat strict unilateral numai susţinerile reprezentantului pârâtului din întâmpinarea formulată, neluând în considerare actele şi lucrările depuse de el la dosarul cauzei.</w:t>
      </w:r>
    </w:p>
    <w:p w:rsidR="00AE44A6" w14:paraId="0158A17B" w14:textId="77777777">
      <w:pPr>
        <w:ind w:firstLine="708"/>
        <w:jc w:val="both"/>
      </w:pPr>
      <w:r>
        <w:t>- A acceptat în mod inexplicabil percepţia eronată asupra obiectului cauzei din partea reprezentantului pârâtului, deşi aceasta transpare indubitabil la simpla lecturare a întâmpinării acestuia.</w:t>
      </w:r>
    </w:p>
    <w:p w:rsidR="00AE44A6" w14:paraId="40379651" w14:textId="77777777">
      <w:pPr>
        <w:ind w:firstLine="708"/>
        <w:jc w:val="both"/>
      </w:pPr>
      <w:r>
        <w:t>- A omis analizarea argumentaţiei de facto şi iure detaliată în răspunsul la întâmpinarea reprezentantului pârâtului, prin care au fost demontate toate susţinerile din conţinutul acesteia.</w:t>
      </w:r>
    </w:p>
    <w:p w:rsidR="00AE44A6" w14:paraId="2F8E88D4" w14:textId="77777777">
      <w:pPr>
        <w:ind w:firstLine="708"/>
        <w:jc w:val="both"/>
      </w:pPr>
      <w:r>
        <w:t>- A interpretat eronat reglementările normative invocate în răspunsul la întâmpinarea reprezentantului pârâtului şi completarea la acesta.</w:t>
      </w:r>
    </w:p>
    <w:p w:rsidR="00AE44A6" w14:paraId="0A24056F" w14:textId="77777777">
      <w:pPr>
        <w:ind w:firstLine="708"/>
        <w:jc w:val="both"/>
      </w:pPr>
      <w:r>
        <w:t>- A examinat pretinsa excepţie a lipsei calităţii procesuale pasive a reprezentantului pârâtului numai cu ocazia pronunţării soluţiei în cauză, fără ca apriori aceasta să fie dezbătută în vreuna din şedinţele de judecată de la termenele stabilite.</w:t>
      </w:r>
    </w:p>
    <w:p w:rsidR="00AE44A6" w14:paraId="22F133B1" w14:textId="77777777">
      <w:pPr>
        <w:ind w:firstLine="708"/>
        <w:jc w:val="both"/>
      </w:pPr>
      <w:r>
        <w:t>- A admis tacit lipsa reprezentantului pârâtului de la şedinţele de judecată derulate în cadrul procesului, fără ca acesta să depună vreun înscris prin care să solicite judecata în lipsă, iar în afara întâmpinării nu a depus în cauză nici o lucrare sau un act prin care să-şi precizeze poziţia sa procesuală, manifestând o totală lipsă de atitudine.</w:t>
      </w:r>
    </w:p>
    <w:p w:rsidR="00AE44A6" w14:paraId="1A58C1E7" w14:textId="77777777">
      <w:pPr>
        <w:ind w:firstLine="708"/>
        <w:jc w:val="both"/>
      </w:pPr>
      <w:r>
        <w:t>Corelativ motivelor expuse anterior, a arătat că argumentele instanţei de fond se bazează exclusiv pe percepţia eronată a obiectului cauzei de către reprezentantul pârâtului, demonstrată cu argumente irefutabile în răspunsul la întâmpinarea acestuia, omiţându-se argumentaţia factuală şi juridică prezentată la fundamentarea/susţinerea acţiunii introductive şi în celelalte acte şi lucrări depuse ulterior la dosarul cauzei.</w:t>
      </w:r>
    </w:p>
    <w:p w:rsidR="00AE44A6" w14:paraId="5A138206" w14:textId="77777777">
      <w:pPr>
        <w:ind w:firstLine="708"/>
        <w:jc w:val="both"/>
      </w:pPr>
      <w:r>
        <w:t>Considerentele expuse de instanţa de fond la admiterea pretinsei lipse a calităţii procesuale pasive a reprezentantului pârâtului, bazate pe constatările netemeinice menţionate mai sus, sunt greşite raportate la cazul în speţă-deoarece acesta are un alt obiect decât cel perceput de reprezentantul pârâtului.</w:t>
      </w:r>
    </w:p>
    <w:p w:rsidR="00AE44A6" w14:paraId="3970087B" w14:textId="77777777">
      <w:pPr>
        <w:ind w:firstLine="708"/>
        <w:jc w:val="both"/>
      </w:pPr>
      <w:r>
        <w:t>Calitatea de pârât în cauză are o semantică diametral opusă celei de reprezentant al acestuia şi necesită o strictă delimitare a lor în speţă, iar menţinerea confuziei asupra acestora în sentinţa atacată fiind regretabilă.</w:t>
      </w:r>
    </w:p>
    <w:p w:rsidR="00AE44A6" w14:paraId="1A022A88" w14:textId="77777777">
      <w:pPr>
        <w:ind w:firstLine="708"/>
        <w:jc w:val="both"/>
      </w:pPr>
      <w:r>
        <w:t xml:space="preserve">Întâmpinarea reprezentantului pârâtului contravine prevederilor imperative statuate în art. 205 alin. 2 lit. c-d din N.C.P.C., întrucât lipseşte răspunsul acestuia la pretenţiile şi motivele de fapt şi de drept ale cererii de chemare în judecată .precum şi dovezile cu care să se apere împotriva </w:t>
      </w:r>
      <w:r>
        <w:t>fiecărui capăt din cerere, iar temeiul legal invocat este inadecvat obiectului cauzei datorită percepţiei eronate a acestuia.</w:t>
      </w:r>
    </w:p>
    <w:p w:rsidR="00AE44A6" w14:paraId="602660B2" w14:textId="77777777">
      <w:pPr>
        <w:ind w:firstLine="708"/>
        <w:jc w:val="both"/>
      </w:pPr>
      <w:r>
        <w:t>Reprezentarea pârâtului în cauză prin Ministerul Afacerilor Interne (MAI) apreciază că este corectă şi legală, în condiţiile în care Casa de Pensii Sectorială care a dispus suspendarea pensiei este o structură tehnică de specialitate în subordinea acestui Minister - asigurată cu resurse financiare de către Direcţia Generală de profil a MAI, iar angajaţii săi sunt ofiţeri şi agenţi de poliţie cu grade profesionale ale reprezentantului pârâtului în cauză.</w:t>
      </w:r>
    </w:p>
    <w:p w:rsidR="00AE44A6" w14:paraId="3B587CD5" w14:textId="77777777">
      <w:pPr>
        <w:ind w:firstLine="708"/>
        <w:jc w:val="both"/>
      </w:pPr>
      <w:r>
        <w:t>În drept, a invocat prevederile art. 476 alin. 1 din NCPC şi art. 480 alin. 2 şi 3 din NCPC</w:t>
      </w:r>
    </w:p>
    <w:p w:rsidR="00AE44A6" w14:paraId="4CB9CDFF" w14:textId="77777777">
      <w:pPr>
        <w:ind w:firstLine="708"/>
        <w:jc w:val="both"/>
      </w:pPr>
      <w:r w:rsidRPr="00226A50">
        <w:rPr>
          <w:rStyle w:val="Fontdeparagrafimplicit"/>
          <w:i/>
          <w:lang w:val="pt-PT"/>
        </w:rPr>
        <w:t>Prin întâmpinarea înregistrată la data de 4 decembrie 2015</w:t>
      </w:r>
      <w:r w:rsidRPr="00226A50" w:rsidR="00517BD2">
        <w:rPr>
          <w:rStyle w:val="Fontdeparagrafimplicit"/>
          <w:i/>
          <w:lang w:val="pt-PT"/>
        </w:rPr>
        <w:t xml:space="preserve"> </w:t>
      </w:r>
      <w:r w:rsidRPr="00226A50">
        <w:rPr>
          <w:rStyle w:val="Fontdeparagrafimplicit"/>
          <w:i/>
          <w:lang w:val="pt-PT"/>
        </w:rPr>
        <w:t>pârâtul MINISTERUL AFACERILOR INTERNE</w:t>
      </w:r>
      <w:r>
        <w:t xml:space="preserve"> a solicitat menţinerea sentinţei atacate, ca fiind temeinică şi legală. (f.17-19)</w:t>
      </w:r>
    </w:p>
    <w:p w:rsidRPr="00226A50" w:rsidR="00AE44A6" w14:paraId="0F208894" w14:textId="77777777">
      <w:pPr>
        <w:ind w:firstLine="708"/>
        <w:jc w:val="both"/>
        <w:rPr>
          <w:rStyle w:val="Fontdeparagrafimplicit"/>
          <w:i/>
          <w:lang w:val="pt-PT"/>
        </w:rPr>
      </w:pPr>
      <w:r w:rsidRPr="00226A50">
        <w:rPr>
          <w:rStyle w:val="Fontdeparagrafimplicit"/>
          <w:i/>
          <w:lang w:val="pt-PT"/>
        </w:rPr>
        <w:t>Examinând sentinţa apelată prin prisma motivelor de apel invocate şi a apărărilor formulate, Curtea de Apel reţine următoarele:</w:t>
      </w:r>
    </w:p>
    <w:p w:rsidR="00AE44A6" w14:paraId="6E24608B" w14:textId="77777777">
      <w:pPr>
        <w:ind w:firstLine="708"/>
        <w:jc w:val="both"/>
      </w:pPr>
      <w:r>
        <w:t>Criticile formulate de reclamant prin memoriul de recurs se circumscriu aceleia potrivit căreia admiterea excepţiei lipsei calităţii procesuale pasive a pârâtului este rezultatul erorii în care s-a aflat instanţa de fond cu privire la obiectul acţiunii.</w:t>
      </w:r>
    </w:p>
    <w:p w:rsidR="00AE44A6" w14:paraId="049898FB" w14:textId="77777777">
      <w:pPr>
        <w:ind w:firstLine="708"/>
        <w:jc w:val="both"/>
      </w:pPr>
      <w:r>
        <w:t xml:space="preserve">Legat de acest aspect, reclamantul apelant a mai subliniat că pârâtul Ministerul Afacerilor Interne nu a fost chemat în judecată în nume propriu, ci în calitate de reprezentant al Statului Român. </w:t>
      </w:r>
    </w:p>
    <w:p w:rsidR="00AE44A6" w14:paraId="6D31789F" w14:textId="77777777">
      <w:pPr>
        <w:ind w:firstLine="708"/>
        <w:jc w:val="both"/>
      </w:pPr>
      <w:r>
        <w:t>Or, lecturând cererea de chemare în judecată formulată de reclamant, Curtea reţine că, chiar raportat la obiectul acţiunii astfel cum acesta transpare din criticile formulate în apel, se reţine ca fiind întemeiată admiterea excepţiei lipsei calităţii procesuale pasive a pârâtului intimat.</w:t>
      </w:r>
    </w:p>
    <w:p w:rsidR="00AE44A6" w14:paraId="1DED68BF" w14:textId="77777777">
      <w:pPr>
        <w:ind w:firstLine="708"/>
        <w:jc w:val="both"/>
      </w:pPr>
      <w:r>
        <w:t>Astfel, petitele acţiunii au fost formulate de reclamant astfel :</w:t>
      </w:r>
    </w:p>
    <w:p w:rsidR="00AE44A6" w14:paraId="37D819F7" w14:textId="77777777">
      <w:pPr>
        <w:ind w:firstLine="708"/>
        <w:jc w:val="both"/>
      </w:pPr>
      <w:r>
        <w:t>- să se constate</w:t>
      </w:r>
      <w:r w:rsidR="001A20DA">
        <w:t xml:space="preserve"> că între prevederile legale naţionale cuprinse în Cap. IV al Legii nr. 329/2009, ce au constituit temeiul legal al suspendării pensiei sale de către conducerea Casei Sectoriale de Pensii a M.A.I. şi normele dreptului european şi respectiv jurisprudenţa CEDO există neconcordanţe vădite, situaţie ce impunea aplicarea prioritară a reglementărilor comunitare europene, conform dispoziţiilor imperative ale art. 20 alin. 2 din Constituţia României. </w:t>
      </w:r>
    </w:p>
    <w:p w:rsidR="00AE44A6" w14:paraId="7868E381" w14:textId="77777777">
      <w:pPr>
        <w:ind w:firstLine="708"/>
        <w:jc w:val="both"/>
      </w:pPr>
      <w:r>
        <w:t>- obligarea pârâtului la plata retroactivă a pensiei sale pentru perioada 1.01.2010 -31.08.2012, perioadă în care dreptul său la pensie a fost suprimat/suspendat pe nedrept.</w:t>
      </w:r>
    </w:p>
    <w:p w:rsidR="00AE44A6" w14:paraId="6AECD6B4" w14:textId="77777777">
      <w:pPr>
        <w:ind w:firstLine="708"/>
        <w:jc w:val="both"/>
      </w:pPr>
      <w:r>
        <w:t>Ca atare, acţiunea reclamantului poate fi interpretată din perspective.</w:t>
      </w:r>
    </w:p>
    <w:p w:rsidR="00AE44A6" w14:paraId="1AF5A790" w14:textId="77777777">
      <w:pPr>
        <w:ind w:firstLine="708"/>
        <w:jc w:val="both"/>
      </w:pPr>
      <w:r>
        <w:t>Prima dintre ele, cea reţinută de instanţa de fond, este legată de obligarea pârâtului la plata pensiei, ca şi consecinţă a aplicării greşite a legii de către instituţia care avea obligaţia de a calcula şi plăti pensia, prin ignorarea principiului preemţiunii dreptului european şi a normelor privind drepturile omului faţă de dreptul intern.</w:t>
      </w:r>
    </w:p>
    <w:p w:rsidR="00AE44A6" w14:paraId="5D29EFA4" w14:textId="77777777">
      <w:pPr>
        <w:ind w:firstLine="708"/>
        <w:jc w:val="both"/>
      </w:pPr>
      <w:r>
        <w:t xml:space="preserve">În această situaţie, Curtea reţine că în mod corect instanţa de fond a reţinut că această aplicare abuzivă a legii s-a tradus prin emiterea deciziei nr. </w:t>
      </w:r>
      <w:r w:rsidR="00517BD2">
        <w:t>2</w:t>
      </w:r>
      <w:r>
        <w:t xml:space="preserve">/29.12.2009 de Casa Sectorială de Pensii a Ministerul Administraţiei şi Internelor. </w:t>
      </w:r>
    </w:p>
    <w:p w:rsidR="00AE44A6" w14:paraId="2CDB467D" w14:textId="77777777">
      <w:pPr>
        <w:ind w:firstLine="708"/>
        <w:jc w:val="both"/>
      </w:pPr>
      <w:r>
        <w:t xml:space="preserve">Conform art. 1 din H.G. nr. 233/2011 privind activitatea, organizarea şi funcţionarea a caselor de pensii sectoriale, </w:t>
      </w:r>
      <w:r w:rsidRPr="00226A50">
        <w:rPr>
          <w:rStyle w:val="Fontdeparagrafimplicit"/>
          <w:i/>
          <w:lang w:val="ro-RO"/>
        </w:rPr>
        <w:t>casele de pensii sectoriale sunt structuri de specialitate cu personalitate juridică</w:t>
      </w:r>
      <w:r>
        <w:t xml:space="preserve"> înfiinţate prin lege în subordinea Ministerului Apărării Naţionale, Ministerului Administraţiei şi Internelor, precum şi a Serviciului Român de Informaţii şi administrează, împreună cu Casa Naţională de Pensii Publice, sistemul public de pensii din România pentru persoanele prevăzute la art. 6 alin. (1) pct. I lit. c) şi pct. V din Legea nr. 263/2010 privind sistemul unitar de pensii publice, cu modificările şi completările ulterioare.</w:t>
      </w:r>
    </w:p>
    <w:p w:rsidR="00AE44A6" w14:paraId="732BF011" w14:textId="77777777">
      <w:pPr>
        <w:ind w:firstLine="708"/>
        <w:jc w:val="both"/>
      </w:pPr>
      <w:r>
        <w:t>Or, atâta vreme cât casele de pensii au personalitate juridică proprii, acestea au calitate procesuală proprie, ce nu poate fi suplinită de instituţiile în subordinea cărora funcţionează.</w:t>
      </w:r>
    </w:p>
    <w:p w:rsidR="00AE44A6" w14:paraId="77A5A107" w14:textId="77777777">
      <w:pPr>
        <w:ind w:firstLine="708"/>
        <w:jc w:val="both"/>
      </w:pPr>
      <w:r>
        <w:t>Această interpretare a obiectului şi cauzei judecăţii a fost contestată de apelant prin apelul formulat, susţinându-se că instanţa de fond a calificat greşit acţiunea, fără însă a se puncta exact în cuprinsul apelului care ar fi aceasta.</w:t>
      </w:r>
    </w:p>
    <w:p w:rsidR="00AE44A6" w14:paraId="281F7644" w14:textId="77777777">
      <w:pPr>
        <w:ind w:firstLine="708"/>
        <w:jc w:val="both"/>
      </w:pPr>
      <w:r>
        <w:t xml:space="preserve">Ca atare, pornind de la susţinerea apelantului că Ministerul Afacerilor Interne nu a fost chemat în judecată în nume propriu, ci în calitate de reprezentant al Statului Român, curtea reţine că reclamantul a iniţiat o acţiune în despăgubiri, tinzând la repararea unui prejudiciu cauzat prin </w:t>
      </w:r>
      <w:r>
        <w:t>încălcarea normelor comunitare de către Statul Român, care ar avea astfel calitate procesuală pasivă în cauză.</w:t>
      </w:r>
    </w:p>
    <w:p w:rsidR="00AE44A6" w14:paraId="5A08D7C2" w14:textId="77777777">
      <w:pPr>
        <w:ind w:firstLine="708"/>
        <w:jc w:val="both"/>
      </w:pPr>
      <w:r>
        <w:t>Curtea notează însă că nici în această situaţie calitatea procesuală pasivă nu aparţine Ministerului Afacerilor Interne, cum în mod eronat susţine apelantul.</w:t>
      </w:r>
    </w:p>
    <w:p w:rsidRPr="00226A50" w:rsidR="00AE44A6" w14:paraId="204A0B24" w14:textId="77777777">
      <w:pPr>
        <w:ind w:firstLine="708"/>
        <w:jc w:val="both"/>
        <w:rPr>
          <w:rStyle w:val="Accentuat"/>
          <w:i w:val="0"/>
          <w:color w:val="222222"/>
          <w:lang w:val="ro-RO"/>
        </w:rPr>
      </w:pPr>
      <w:r>
        <w:t>Curtea notează că, p</w:t>
      </w:r>
      <w:r w:rsidRPr="00226A50">
        <w:rPr>
          <w:rStyle w:val="Accentuat"/>
          <w:i w:val="0"/>
          <w:color w:val="222222"/>
          <w:lang w:val="ro-RO"/>
        </w:rPr>
        <w:t>otrivit unei jurisprudenţe constante a CJUE, principiul răspunderii statului pentru prejudiciile cauzate particularilor prin încălcări ale dreptului Uniunii care îi sunt imputabile este inerent sistemului tratatelor pe care aceasta din urmă se întemeiază</w:t>
      </w:r>
      <w:r w:rsidRPr="00226A50">
        <w:rPr>
          <w:rStyle w:val="Fontdeparagrafimplicit"/>
          <w:i/>
          <w:lang w:val="ro-RO"/>
        </w:rPr>
        <w:t xml:space="preserve">. </w:t>
      </w:r>
      <w:r w:rsidRPr="00226A50">
        <w:rPr>
          <w:rStyle w:val="Accentuat"/>
          <w:i w:val="0"/>
          <w:color w:val="222222"/>
          <w:lang w:val="ro-RO"/>
        </w:rPr>
        <w:t>Din jurisprudenţă menţionată rezultă că această obligaţie este valabilă pentru orice caz de încălcare a dreptului Uniunii de către un stat membru, indiferent care este autoritatea publică autoare a acestei încălcări şi indiferent de autoritatea căreia îi revine în principiu, potrivit dreptului statului membru în cauză, sarcina reparării acestui prejudiciu.</w:t>
      </w:r>
    </w:p>
    <w:p w:rsidRPr="00226A50" w:rsidR="00AE44A6" w14:paraId="539A1980" w14:textId="77777777">
      <w:pPr>
        <w:ind w:firstLine="708"/>
        <w:jc w:val="both"/>
        <w:rPr>
          <w:rStyle w:val="Accentuat"/>
          <w:i w:val="0"/>
          <w:color w:val="222222"/>
          <w:lang w:val="pt-PT"/>
        </w:rPr>
      </w:pPr>
      <w:r w:rsidRPr="00226A50">
        <w:rPr>
          <w:rStyle w:val="Accentuat"/>
          <w:i w:val="0"/>
          <w:color w:val="222222"/>
          <w:lang w:val="pt-PT"/>
        </w:rPr>
        <w:t>De asemenea, din jurisprudenţa Curţii se reţine că, în conformitate cu principiul autonomiei procedurale, normele de procedură naţionale sunt cele care vor fi, în principiu, aplicabile, sub singura condiţie a asigurării efectivităţii acestora.</w:t>
      </w:r>
    </w:p>
    <w:p w:rsidRPr="00226A50" w:rsidR="00AE44A6" w14:paraId="59D130E5" w14:textId="77777777">
      <w:pPr>
        <w:ind w:firstLine="708"/>
        <w:jc w:val="both"/>
        <w:rPr>
          <w:rStyle w:val="Accentuat"/>
          <w:i w:val="0"/>
          <w:color w:val="222222"/>
          <w:u w:val="single"/>
          <w:lang w:val="pt-PT"/>
        </w:rPr>
      </w:pPr>
      <w:r w:rsidRPr="00226A50">
        <w:rPr>
          <w:rStyle w:val="Accentuat"/>
          <w:i w:val="0"/>
          <w:color w:val="222222"/>
          <w:lang w:val="pt-PT"/>
        </w:rPr>
        <w:t xml:space="preserve">Astfel, atunci când Curtea a consacrat principiul răspunderii statului pentru încălcarea dreptului Uniunii, a indicat, de asemenea, că acţiunile pentru valorificarea acestui principiu trebuiau să poată fi introduse în faţa instanţelor naţionale, instanţe de drept comun ale Uniunii, şi că </w:t>
      </w:r>
      <w:r w:rsidRPr="00226A50">
        <w:rPr>
          <w:rStyle w:val="Accentuat"/>
          <w:i w:val="0"/>
          <w:color w:val="222222"/>
          <w:u w:val="single"/>
          <w:lang w:val="pt-PT"/>
        </w:rPr>
        <w:t>este de competenţa ordinilor juridice naţionale să determine jurisdicţiile competente, precum şi condiţiile de formă şi de fond ale unor asemenea acţiuni.</w:t>
      </w:r>
    </w:p>
    <w:p w:rsidRPr="00226A50" w:rsidR="00AE44A6" w14:paraId="494DA286" w14:textId="77777777">
      <w:pPr>
        <w:ind w:firstLine="708"/>
        <w:jc w:val="both"/>
        <w:rPr>
          <w:rStyle w:val="Accentuat"/>
          <w:color w:val="222222"/>
          <w:lang w:val="pt-PT"/>
        </w:rPr>
      </w:pPr>
      <w:r w:rsidRPr="00226A50">
        <w:rPr>
          <w:rStyle w:val="Accentuat"/>
          <w:i w:val="0"/>
          <w:color w:val="222222"/>
          <w:lang w:val="pt-PT"/>
        </w:rPr>
        <w:t xml:space="preserve">Or, în dreptul intern răspunderea statului este prevăzută de prevederile art. 223-224 Noul Cod civil. </w:t>
      </w:r>
    </w:p>
    <w:p w:rsidRPr="00226A50" w:rsidR="00AE44A6" w14:paraId="4260C6A5" w14:textId="77777777">
      <w:pPr>
        <w:ind w:firstLine="708"/>
        <w:jc w:val="both"/>
        <w:rPr>
          <w:rStyle w:val="Accentuat"/>
          <w:i w:val="0"/>
          <w:color w:val="222222"/>
          <w:lang w:val="pt-PT"/>
        </w:rPr>
      </w:pPr>
      <w:r w:rsidRPr="00226A50">
        <w:rPr>
          <w:rStyle w:val="Accentuat"/>
          <w:i w:val="0"/>
          <w:color w:val="222222"/>
          <w:lang w:val="pt-PT"/>
        </w:rPr>
        <w:t xml:space="preserve">Potrivit art. 223 alin.1 Cod civil, în raporturile civile în care se prezintă nemijlocit, în nume propriu, ca titular de drepturi şi obligaţii, </w:t>
      </w:r>
      <w:r w:rsidRPr="00226A50">
        <w:rPr>
          <w:rStyle w:val="Accentuat"/>
          <w:i w:val="0"/>
          <w:color w:val="222222"/>
          <w:u w:val="single"/>
          <w:lang w:val="pt-PT"/>
        </w:rPr>
        <w:t>statul participă prin Ministerul Finanţelor Publice</w:t>
      </w:r>
      <w:r w:rsidRPr="00226A50">
        <w:rPr>
          <w:rStyle w:val="Accentuat"/>
          <w:i w:val="0"/>
          <w:color w:val="222222"/>
          <w:lang w:val="pt-PT"/>
        </w:rPr>
        <w:t>, afară de cazul în care legea stabileşte un alt organ în acest sens.</w:t>
      </w:r>
    </w:p>
    <w:p w:rsidRPr="00226A50" w:rsidR="00AE44A6" w14:paraId="15B18B39" w14:textId="77777777">
      <w:pPr>
        <w:ind w:firstLine="708"/>
        <w:jc w:val="both"/>
        <w:rPr>
          <w:rStyle w:val="Accentuat"/>
          <w:i w:val="0"/>
          <w:color w:val="222222"/>
          <w:lang w:val="pt-PT"/>
        </w:rPr>
      </w:pPr>
      <w:r w:rsidRPr="00226A50">
        <w:rPr>
          <w:rStyle w:val="Accentuat"/>
          <w:i w:val="0"/>
          <w:color w:val="222222"/>
          <w:lang w:val="pt-PT"/>
        </w:rPr>
        <w:t>De asemenea, art. 224 consacră principiul subsidiarităţii răspunderii statului, prevăzând că, dacă prin lege nu se dispune altfel, statul nu răspunde decât în mod subsidiar pentru obligaţiile organelor, autorităţilor şi instituţiilor publice care sunt persoane juridice.</w:t>
      </w:r>
    </w:p>
    <w:p w:rsidRPr="00226A50" w:rsidR="00AE44A6" w14:paraId="5736D708" w14:textId="77777777">
      <w:pPr>
        <w:ind w:firstLine="708"/>
        <w:jc w:val="both"/>
        <w:rPr>
          <w:rStyle w:val="Accentuat"/>
          <w:i w:val="0"/>
          <w:color w:val="222222"/>
          <w:lang w:val="pt-PT"/>
        </w:rPr>
      </w:pPr>
      <w:r w:rsidRPr="00226A50">
        <w:rPr>
          <w:rStyle w:val="Accentuat"/>
          <w:i w:val="0"/>
          <w:color w:val="222222"/>
          <w:lang w:val="pt-PT"/>
        </w:rPr>
        <w:t>Se reţine aşadar că, indiferent dacă reclamantul invocă o răspundere a organelor statului cu atribuţii în emiterea şi suspendarea dreptului său la pensie –  adică Casa  Sectorială de Pensii - sau o răspundere directă a Statului, care nu şi-a îndeplinit obligaţia de armonizare a dreptului intern cu dreptul european, calitatea procesuală pasivă nu aparţine pârâtului chemat în judecată, ci , după caz, fie casei Sectoriale de Pensii, fie Statului Român, însă prin Ministerul Finanţelor şi nicidecum prin Ministerul Afacerilor Interne, acesta din urma neavând calitate procesuală în litigiu.</w:t>
      </w:r>
    </w:p>
    <w:p w:rsidRPr="00226A50" w:rsidR="00AE44A6" w14:paraId="6DE43920" w14:textId="77777777">
      <w:pPr>
        <w:ind w:firstLine="708"/>
        <w:jc w:val="both"/>
        <w:rPr>
          <w:rStyle w:val="Accentuat"/>
          <w:i w:val="0"/>
          <w:color w:val="222222"/>
          <w:lang w:val="pt-PT"/>
        </w:rPr>
      </w:pPr>
      <w:r w:rsidRPr="00226A50">
        <w:rPr>
          <w:rStyle w:val="Accentuat"/>
          <w:i w:val="0"/>
          <w:color w:val="222222"/>
          <w:lang w:val="pt-PT"/>
        </w:rPr>
        <w:t xml:space="preserve">În consecinţă, faţă de ansamblul considerentelor expuse mai sus, reţinând că in mod corect instanţa de fond a constat lipsa calităţii procesuale pasive a pârâtului Ministerul Afacerilor Interne, în temeiul art. 480 Cod civil, va respinge </w:t>
      </w:r>
      <w:r>
        <w:t>ca nefondat apelul declarat de reclamant.</w:t>
      </w:r>
    </w:p>
    <w:p w:rsidRPr="00226A50" w:rsidR="00AE44A6" w14:paraId="67707E0E" w14:textId="77777777">
      <w:pPr>
        <w:ind w:firstLine="708"/>
        <w:jc w:val="both"/>
        <w:rPr>
          <w:rStyle w:val="Accentuat"/>
          <w:color w:val="222222"/>
          <w:lang w:val="pt-PT"/>
        </w:rPr>
      </w:pPr>
    </w:p>
    <w:p w:rsidR="00AE44A6" w14:paraId="61A0BB9F" w14:textId="77777777">
      <w:pPr>
        <w:ind w:firstLine="851"/>
        <w:jc w:val="center"/>
      </w:pPr>
      <w:r>
        <w:t>PENTRU ACESTE MOTIVE</w:t>
      </w:r>
    </w:p>
    <w:p w:rsidR="00AE44A6" w14:paraId="6E4AA91C" w14:textId="77777777">
      <w:pPr>
        <w:ind w:firstLine="851"/>
        <w:jc w:val="center"/>
      </w:pPr>
      <w:r>
        <w:t>ÎN NUMELE LEGII</w:t>
      </w:r>
    </w:p>
    <w:p w:rsidR="00AE44A6" w14:paraId="41469C05" w14:textId="77777777">
      <w:pPr>
        <w:ind w:firstLine="851"/>
        <w:jc w:val="center"/>
      </w:pPr>
      <w:r>
        <w:t>D E C I D E:</w:t>
      </w:r>
    </w:p>
    <w:p w:rsidR="00AE44A6" w14:paraId="4CDC479A" w14:textId="77777777">
      <w:pPr>
        <w:ind w:firstLine="851"/>
        <w:jc w:val="center"/>
      </w:pPr>
    </w:p>
    <w:p w:rsidR="00AE44A6" w14:paraId="39B3CC57" w14:textId="1E97DE36">
      <w:pPr>
        <w:ind w:firstLine="708"/>
        <w:jc w:val="both"/>
      </w:pPr>
      <w:r>
        <w:t xml:space="preserve">Respinge ca nefondat apelul declarat de reclamantul </w:t>
      </w:r>
      <w:r w:rsidR="00517BD2">
        <w:t xml:space="preserve">1 </w:t>
      </w:r>
      <w:r>
        <w:t xml:space="preserve">domiciliat în </w:t>
      </w:r>
      <w:r w:rsidR="00517BD2">
        <w:t>.......</w:t>
      </w:r>
      <w:r>
        <w:t xml:space="preserve">, str. </w:t>
      </w:r>
      <w:r w:rsidR="00517BD2">
        <w:t>.........</w:t>
      </w:r>
      <w:r>
        <w:t>, nr.</w:t>
      </w:r>
      <w:r w:rsidR="00517BD2">
        <w:t>.........</w:t>
      </w:r>
      <w:r>
        <w:t xml:space="preserve"> judeţul </w:t>
      </w:r>
      <w:r w:rsidR="00517BD2">
        <w:t>........</w:t>
      </w:r>
      <w:r>
        <w:t xml:space="preserve">, împotriva sentinţei civile nr. </w:t>
      </w:r>
      <w:r w:rsidR="00517BD2">
        <w:t xml:space="preserve">.......... </w:t>
      </w:r>
      <w:r>
        <w:t xml:space="preserve">din </w:t>
      </w:r>
      <w:r w:rsidR="00517BD2">
        <w:t>.............</w:t>
      </w:r>
      <w:r>
        <w:t xml:space="preserve"> a Tribunalului </w:t>
      </w:r>
      <w:r w:rsidR="00226A50">
        <w:t xml:space="preserve">............ </w:t>
      </w:r>
      <w:r>
        <w:t xml:space="preserve">, pronunţată în dosar nr. </w:t>
      </w:r>
      <w:r w:rsidR="00517BD2">
        <w:t>22</w:t>
      </w:r>
      <w:r>
        <w:t>, pe care o menţine.</w:t>
      </w:r>
    </w:p>
    <w:p w:rsidR="00AE44A6" w14:paraId="41B306F0" w14:textId="77777777">
      <w:pPr>
        <w:ind w:firstLine="708"/>
        <w:jc w:val="both"/>
      </w:pPr>
      <w:r>
        <w:t>Decizia este definitivă şi executorie.</w:t>
      </w:r>
    </w:p>
    <w:p w:rsidR="00AE44A6" w14:paraId="0C1DFD28" w14:textId="77777777">
      <w:pPr>
        <w:ind w:firstLine="708"/>
        <w:jc w:val="both"/>
      </w:pPr>
      <w:r>
        <w:t xml:space="preserve">Dată şi pronunţată în şedinţa publică din </w:t>
      </w:r>
      <w:r w:rsidR="00517BD2">
        <w:t xml:space="preserve">................. </w:t>
      </w:r>
      <w:r>
        <w:t>.</w:t>
      </w:r>
    </w:p>
    <w:p w:rsidR="00AE44A6" w14:paraId="7585A472" w14:textId="77777777">
      <w:pPr>
        <w:jc w:val="both"/>
      </w:pPr>
    </w:p>
    <w:p w:rsidRPr="00226A50" w:rsidR="00AE44A6" w14:paraId="23029D1B" w14:textId="77777777">
      <w:pPr>
        <w:rPr>
          <w:rStyle w:val="Fontdeparagrafimplicit"/>
          <w:b/>
          <w:lang w:val="ro-RO"/>
        </w:rPr>
      </w:pPr>
      <w:r w:rsidRPr="00226A50">
        <w:rPr>
          <w:rStyle w:val="Fontdeparagrafimplicit"/>
          <w:b/>
          <w:lang w:val="ro-RO"/>
        </w:rPr>
        <w:t xml:space="preserve">             PREŞEDINTE                                   JUDECĂTOR                                   GREFIER</w:t>
      </w:r>
    </w:p>
    <w:p w:rsidRPr="00226A50" w:rsidR="00AE44A6" w:rsidP="00517BD2" w14:paraId="3651D9AB" w14:textId="77777777">
      <w:pPr>
        <w:ind w:left="720"/>
        <w:rPr>
          <w:rStyle w:val="Fontdeparagrafimplicit"/>
          <w:b/>
          <w:lang w:val="ro-RO"/>
        </w:rPr>
      </w:pPr>
      <w:r w:rsidRPr="00226A50">
        <w:rPr>
          <w:rStyle w:val="Fontdeparagrafimplicit"/>
          <w:b/>
          <w:lang w:val="ro-RO"/>
        </w:rPr>
        <w:t xml:space="preserve">          A0019</w:t>
      </w:r>
      <w:r w:rsidRPr="00226A50" w:rsidR="001A20DA">
        <w:rPr>
          <w:rStyle w:val="Fontdeparagrafimplicit"/>
          <w:b/>
          <w:lang w:val="ro-RO"/>
        </w:rPr>
        <w:t xml:space="preserve">               </w:t>
      </w:r>
      <w:r w:rsidRPr="00226A50">
        <w:rPr>
          <w:rStyle w:val="Fontdeparagrafimplicit"/>
          <w:b/>
          <w:lang w:val="ro-RO"/>
        </w:rPr>
        <w:t xml:space="preserve">                        </w:t>
      </w:r>
      <w:r w:rsidRPr="00226A50" w:rsidR="001A20DA">
        <w:rPr>
          <w:rStyle w:val="Fontdeparagrafimplicit"/>
          <w:b/>
          <w:lang w:val="ro-RO"/>
        </w:rPr>
        <w:t xml:space="preserve"> </w:t>
      </w:r>
      <w:r w:rsidRPr="00226A50">
        <w:rPr>
          <w:rStyle w:val="Fontdeparagrafimplicit"/>
          <w:b/>
          <w:lang w:val="ro-RO"/>
        </w:rPr>
        <w:t>...............</w:t>
      </w:r>
      <w:r w:rsidRPr="00226A50" w:rsidR="001A20DA">
        <w:rPr>
          <w:rStyle w:val="Fontdeparagrafimplicit"/>
          <w:b/>
          <w:lang w:val="ro-RO"/>
        </w:rPr>
        <w:t xml:space="preserve">                       </w:t>
      </w:r>
      <w:r w:rsidRPr="00226A50">
        <w:rPr>
          <w:rStyle w:val="Fontdeparagrafimplicit"/>
          <w:b/>
          <w:lang w:val="ro-RO"/>
        </w:rPr>
        <w:t xml:space="preserve">                      </w:t>
      </w:r>
      <w:r w:rsidRPr="00226A50" w:rsidR="001A20DA">
        <w:rPr>
          <w:rStyle w:val="Fontdeparagrafimplicit"/>
          <w:b/>
          <w:lang w:val="ro-RO"/>
        </w:rPr>
        <w:t xml:space="preserve"> </w:t>
      </w:r>
      <w:r w:rsidRPr="00226A50">
        <w:rPr>
          <w:rStyle w:val="Fontdeparagrafimplicit"/>
          <w:b/>
          <w:lang w:val="ro-RO"/>
        </w:rPr>
        <w:t>...............</w:t>
      </w:r>
    </w:p>
    <w:p w:rsidRPr="00226A50" w:rsidR="00AE44A6" w14:paraId="7D184C2F" w14:textId="77777777">
      <w:pPr>
        <w:rPr>
          <w:rStyle w:val="Fontdeparagrafimplicit"/>
          <w:b/>
          <w:lang w:val="ro-RO"/>
        </w:rPr>
      </w:pPr>
    </w:p>
    <w:p w:rsidRPr="00226A50" w:rsidR="00AE44A6" w14:paraId="282FA9D3" w14:textId="77777777">
      <w:pPr>
        <w:rPr>
          <w:rStyle w:val="Fontdeparagrafimplicit"/>
          <w:b/>
          <w:lang w:val="ro-RO"/>
        </w:rPr>
      </w:pPr>
    </w:p>
    <w:p w:rsidRPr="00226A50" w:rsidR="00AE44A6" w14:paraId="4792DC24" w14:textId="77777777">
      <w:pPr>
        <w:jc w:val="both"/>
        <w:rPr>
          <w:rStyle w:val="Fontdeparagrafimplicit"/>
          <w:lang w:val="ro-RO"/>
        </w:rPr>
      </w:pPr>
    </w:p>
    <w:p w:rsidRPr="00226A50" w:rsidR="00AE44A6" w14:paraId="68143EC5" w14:textId="77777777">
      <w:pPr>
        <w:jc w:val="both"/>
        <w:rPr>
          <w:rStyle w:val="Fontdeparagrafimplicit"/>
          <w:sz w:val="16"/>
          <w:lang w:val="ro-RO"/>
        </w:rPr>
      </w:pPr>
      <w:r w:rsidRPr="00226A50">
        <w:rPr>
          <w:rStyle w:val="Fontdeparagrafimplicit"/>
          <w:sz w:val="16"/>
          <w:lang w:val="ro-RO"/>
        </w:rPr>
        <w:t>Red.</w:t>
      </w:r>
      <w:r w:rsidRPr="00226A50" w:rsidR="00517BD2">
        <w:rPr>
          <w:rStyle w:val="Fontdeparagrafimplicit"/>
          <w:sz w:val="16"/>
          <w:lang w:val="ro-RO"/>
        </w:rPr>
        <w:t>A0019</w:t>
      </w:r>
      <w:r w:rsidRPr="00226A50">
        <w:rPr>
          <w:rStyle w:val="Fontdeparagrafimplicit"/>
          <w:sz w:val="16"/>
          <w:lang w:val="ro-RO"/>
        </w:rPr>
        <w:t>./dact.</w:t>
      </w:r>
      <w:r w:rsidRPr="00226A50" w:rsidR="00517BD2">
        <w:rPr>
          <w:rStyle w:val="Fontdeparagrafimplicit"/>
          <w:sz w:val="16"/>
          <w:lang w:val="ro-RO"/>
        </w:rPr>
        <w:t>......</w:t>
      </w:r>
    </w:p>
    <w:p w:rsidR="00AE44A6" w14:paraId="6BB908C5" w14:textId="77777777">
      <w:pPr>
        <w:jc w:val="both"/>
        <w:rPr>
          <w:rStyle w:val="Fontdeparagrafimplicit"/>
          <w:sz w:val="16"/>
        </w:rPr>
      </w:pPr>
      <w:r>
        <w:rPr>
          <w:rStyle w:val="Fontdeparagrafimplicit"/>
          <w:sz w:val="16"/>
        </w:rPr>
        <w:t>5 ex./</w:t>
      </w:r>
      <w:r w:rsidR="00517BD2">
        <w:rPr>
          <w:rStyle w:val="Fontdeparagrafimplicit"/>
          <w:sz w:val="16"/>
        </w:rPr>
        <w:t>..........</w:t>
      </w:r>
    </w:p>
    <w:p w:rsidR="00AE44A6" w14:paraId="34925B6A" w14:textId="77777777">
      <w:pPr>
        <w:jc w:val="both"/>
        <w:rPr>
          <w:rStyle w:val="Fontdeparagrafimplicit"/>
          <w:sz w:val="16"/>
        </w:rPr>
      </w:pPr>
      <w:r>
        <w:rPr>
          <w:rStyle w:val="Fontdeparagrafimplicit"/>
          <w:sz w:val="16"/>
        </w:rPr>
        <w:t>Jud.fond:</w:t>
      </w:r>
      <w:r w:rsidR="00517BD2">
        <w:rPr>
          <w:rStyle w:val="Fontdeparagrafimplicit"/>
          <w:sz w:val="16"/>
        </w:rPr>
        <w:t>.................</w:t>
      </w: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E44A6" w14:paraId="3FA6B408" w14:textId="77777777">
    <w:pPr>
      <w:pStyle w:val="Subsol"/>
      <w:framePr w:wrap="around" w:hAnchor="margin" w:vAnchor="text" w:xAlign="right"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E44A6" w14:paraId="79556162" w14:textId="77777777">
    <w:pPr>
      <w:pStyle w:val="Subsol"/>
      <w:ind w:right="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E44A6" w14:paraId="39454A54" w14:textId="77777777">
    <w:pPr>
      <w:pStyle w:val="Subsol"/>
      <w:framePr w:wrap="around" w:hAnchor="margin" w:vAnchor="text" w:xAlign="right" w:y="1"/>
      <w:rPr>
        <w:rStyle w:val="Numrdepagin"/>
      </w:rPr>
    </w:pPr>
    <w:r>
      <w:fldChar w:fldCharType="begin"/>
    </w:r>
    <w:r>
      <w:rPr>
        <w:rStyle w:val="Numrdepagin"/>
      </w:rPr>
      <w:instrText xml:space="preserve">PAGE  </w:instrText>
    </w:r>
    <w:r>
      <w:rPr>
        <w:rStyle w:val="Numrdepagin"/>
      </w:rPr>
      <w:fldChar w:fldCharType="separate"/>
    </w:r>
    <w:r>
      <w:rPr>
        <w:rStyle w:val="Numrdepagin"/>
        <w:noProof/>
      </w:rPr>
      <w:t>4</w:t>
    </w:r>
    <w:r>
      <w:rPr>
        <w:rStyle w:val="Numrdepagin"/>
      </w:rPr>
      <w:fldChar w:fldCharType="end"/>
    </w:r>
  </w:p>
  <w:p w:rsidR="00AE44A6" w14:paraId="32414DA3" w14:textId="77777777">
    <w:pPr>
      <w:pStyle w:val="Subsol"/>
      <w:ind w:right="360"/>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4A6"/>
    <w:rsid w:val="001A20DA"/>
    <w:rsid w:val="002147AE"/>
    <w:rsid w:val="00226A50"/>
    <w:rsid w:val="00250B34"/>
    <w:rsid w:val="002C42EA"/>
    <w:rsid w:val="00517BD2"/>
    <w:rsid w:val="00617AC0"/>
    <w:rsid w:val="00763538"/>
    <w:rsid w:val="00AE44A6"/>
    <w:rsid w:val="00B446BC"/>
  </w:rsids>
  <w:docVars>
    <w:docVar w:name="url" w:val="http://bd-cjca:80/ecris_cdms/document_upload.aspx?id_document=3300000000792738&amp;id_departament=3&amp;id_sesiune=783653&amp;id_user=157&amp;id_institutie=33&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4F1627BE"/>
  <w15:docId w15:val="{881DDAF5-4C28-44F4-B189-753306704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aracterCaracterCaracterCaracterCaracterCaracter">
    <w:name w:val="Caracter Caracter Caracter Caracter Caracter Caracter"/>
    <w:basedOn w:val="Normal"/>
    <w:link w:val="Fontdeparagrafimplicit"/>
    <w:rPr>
      <w:lang w:val="pl-PL"/>
    </w:r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 Caracter Caracter Caracter Caracter"/>
    <w:link w:val="CaracterCaracterCaracterCaracterCaracterCaracter"/>
    <w:rPr>
      <w:lang w:val="pl-PL"/>
    </w:rPr>
  </w:style>
  <w:style w:type="character" w:customStyle="1" w:styleId="Numrdepagin">
    <w:name w:val="Număr de pagină"/>
    <w:basedOn w:val="Fontdeparagrafimplicit"/>
    <w:rPr>
      <w:lang w:val="pl-PL"/>
    </w:rPr>
  </w:style>
  <w:style w:type="character" w:customStyle="1" w:styleId="Accentuat">
    <w:name w:val="Accentuat"/>
    <w:basedOn w:val="Fontdeparagrafimplicit"/>
    <w:rPr>
      <w:i/>
      <w:lang w:val="pl-PL"/>
    </w:rPr>
  </w:style>
  <w:style w:type="character" w:customStyle="1" w:styleId="apple-converted-space">
    <w:name w:val="apple-converted-space"/>
    <w:basedOn w:val="Fontdeparagrafimplicit"/>
    <w:rPr>
      <w:lang w:val="pl-PL"/>
    </w:rPr>
  </w:style>
  <w:style w:type="character" w:customStyle="1" w:styleId="Robust">
    <w:name w:val="Robust"/>
    <w:basedOn w:val="Fontdeparagrafimplicit"/>
    <w:rPr>
      <w:b/>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23</ap:TotalTime>
  <ap:Pages>4</ap:Pages>
  <ap:Words>2425</ap:Words>
  <ap:Characters>13829</ap:Characters>
  <ap:Application>Microsoft Office Word</ap:Application>
  <ap:DocSecurity>0</ap:DocSecurity>
  <ap:Lines>115</ap:Lines>
  <ap:Paragraphs>32</ap:Paragraphs>
  <ap:ScaleCrop>false</ap:ScaleCrop>
  <ap:CharactersWithSpaces>16222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