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D41C6" w14:paraId="6D42AEB2" w14:textId="30E67CAD">
      <w:pPr>
        <w:rPr>
          <w:rStyle w:val="Fontdeparagrafimplicit"/>
          <w:b/>
        </w:rPr>
      </w:pPr>
      <w:r>
        <w:rPr>
          <w:rStyle w:val="Fontdeparagrafimplicit"/>
          <w:b/>
        </w:rPr>
        <w:t>Dosar nr. 1</w:t>
      </w:r>
      <w:r w:rsidR="0075678C">
        <w:rPr>
          <w:rStyle w:val="Fontdeparagrafimplicit"/>
          <w:b/>
        </w:rPr>
        <w:t xml:space="preserve"> </w:t>
      </w:r>
    </w:p>
    <w:p w:rsidR="00AD41C6" w14:paraId="3234C8CB" w14:textId="293AAB0D">
      <w:r>
        <w:tab/>
        <w:t xml:space="preserve">      </w:t>
      </w:r>
    </w:p>
    <w:p w:rsidR="00AD41C6" w14:paraId="2E07DD67" w14:textId="77777777"/>
    <w:p w:rsidR="00AD41C6" w14:paraId="7EC58118" w14:textId="77777777"/>
    <w:p w:rsidR="00AD41C6" w14:paraId="79F67D43" w14:textId="77777777">
      <w:pPr>
        <w:spacing w:line="276" w:lineRule="auto"/>
        <w:jc w:val="center"/>
      </w:pPr>
      <w:r>
        <w:t>ROMÂNIA</w:t>
      </w:r>
    </w:p>
    <w:p w:rsidR="00AD41C6" w14:paraId="003063D0" w14:textId="5AD88DD4">
      <w:pPr>
        <w:spacing w:line="276" w:lineRule="auto"/>
        <w:jc w:val="center"/>
      </w:pPr>
      <w:r>
        <w:t xml:space="preserve">CURTEA DE APEL                – SECŢIA  </w:t>
      </w:r>
    </w:p>
    <w:p w:rsidR="00AD41C6" w14:paraId="5B71C866" w14:textId="32F06F6A">
      <w:pPr>
        <w:spacing w:line="276" w:lineRule="auto"/>
        <w:jc w:val="center"/>
        <w:rPr>
          <w:rStyle w:val="Fontdeparagrafimplicit"/>
          <w:b/>
        </w:rPr>
      </w:pPr>
      <w:r>
        <w:rPr>
          <w:rStyle w:val="Fontdeparagrafimplicit"/>
          <w:b/>
        </w:rPr>
        <w:t>ÎNCHEIERE 9</w:t>
      </w:r>
    </w:p>
    <w:p w:rsidR="00AD41C6" w14:paraId="3721E6D8" w14:textId="04C25286">
      <w:pPr>
        <w:spacing w:line="276" w:lineRule="auto"/>
        <w:jc w:val="center"/>
      </w:pPr>
      <w:r>
        <w:t xml:space="preserve">Şedinţa publică din data de  </w:t>
      </w:r>
    </w:p>
    <w:p w:rsidR="00AD41C6" w14:paraId="2AA1C303" w14:textId="77777777">
      <w:pPr>
        <w:spacing w:line="276" w:lineRule="auto"/>
        <w:jc w:val="center"/>
      </w:pPr>
      <w:r>
        <w:t>Curtea constituită din:</w:t>
      </w:r>
    </w:p>
    <w:p w:rsidR="00AD41C6" w14:paraId="1AC31C10" w14:textId="0CBFBB4D">
      <w:pPr>
        <w:jc w:val="center"/>
        <w:rPr>
          <w:rStyle w:val="Fontdeparagrafimplicit"/>
          <w:b/>
        </w:rPr>
      </w:pPr>
      <w:r>
        <w:rPr>
          <w:rStyle w:val="Fontdeparagrafimplicit"/>
          <w:b/>
        </w:rPr>
        <w:t>Preşedinte: A0002</w:t>
      </w:r>
    </w:p>
    <w:p w:rsidR="00AD41C6" w14:paraId="4A1860B6" w14:textId="226A743E">
      <w:pPr>
        <w:jc w:val="center"/>
        <w:rPr>
          <w:rStyle w:val="Fontdeparagrafimplicit"/>
        </w:rPr>
      </w:pPr>
      <w:r>
        <w:rPr>
          <w:rStyle w:val="Fontdeparagrafimplicit"/>
          <w:b/>
        </w:rPr>
        <w:t xml:space="preserve">Judecător:   </w:t>
      </w:r>
    </w:p>
    <w:p w:rsidR="00AD41C6" w14:paraId="24430A39" w14:textId="61195319">
      <w:pPr>
        <w:jc w:val="center"/>
        <w:rPr>
          <w:rStyle w:val="Fontdeparagrafimplicit"/>
          <w:b/>
        </w:rPr>
      </w:pPr>
      <w:r>
        <w:rPr>
          <w:rStyle w:val="Fontdeparagrafimplicit"/>
          <w:b/>
        </w:rPr>
        <w:t xml:space="preserve">Grefier:  </w:t>
      </w:r>
    </w:p>
    <w:p w:rsidR="00AD41C6" w14:paraId="3AEBF9F5" w14:textId="77777777">
      <w:pPr>
        <w:ind w:firstLine="708"/>
        <w:jc w:val="both"/>
        <w:rPr>
          <w:rStyle w:val="Fontdeparagrafimplicit"/>
        </w:rPr>
      </w:pPr>
    </w:p>
    <w:p w:rsidR="00AD41C6" w14:paraId="09E11043" w14:textId="77777777">
      <w:pPr>
        <w:jc w:val="center"/>
      </w:pPr>
      <w:r>
        <w:t xml:space="preserve"> </w:t>
      </w:r>
    </w:p>
    <w:p w:rsidR="00AD41C6" w14:paraId="1A398F2B" w14:textId="46436C20">
      <w:pPr>
        <w:ind w:firstLine="708"/>
        <w:jc w:val="both"/>
      </w:pPr>
      <w:r>
        <w:t xml:space="preserve">Ministerul Public – Parchetul de pe lângă Înalta Curte de Casaţie şi Justiţie – Direcţia de Investigare a Infracţiunilor de Criminalitate Organizată şi Terorism este reprezentat de procuror  . </w:t>
      </w:r>
    </w:p>
    <w:p w:rsidR="00AD41C6" w14:paraId="2D361A45" w14:textId="7093476D">
      <w:pPr>
        <w:ind w:firstLine="708"/>
        <w:jc w:val="both"/>
      </w:pPr>
      <w:r>
        <w:t xml:space="preserve">Pe rol se află soluţionarea </w:t>
      </w:r>
      <w:r>
        <w:rPr>
          <w:rStyle w:val="Fontdeparagrafimplicit"/>
          <w:b/>
          <w:u w:val="single"/>
        </w:rPr>
        <w:t>apelurilor</w:t>
      </w:r>
      <w:r>
        <w:rPr>
          <w:rStyle w:val="Fontdeparagrafimplicit"/>
          <w:b/>
        </w:rPr>
        <w:t xml:space="preserve"> </w:t>
      </w:r>
      <w:r>
        <w:t xml:space="preserve">declarate de </w:t>
      </w:r>
      <w:r>
        <w:rPr>
          <w:rStyle w:val="Fontdeparagrafimplicit"/>
          <w:b/>
        </w:rPr>
        <w:t xml:space="preserve">Parchetul de pe lângă Înalta Curte de Casaţie şi Justiţie – Direcţia de Investigare a Infracţiunilor de Criminalitate Organizată şi Terorism, </w:t>
      </w:r>
      <w:r>
        <w:t xml:space="preserve">precum şi de </w:t>
      </w:r>
      <w:r>
        <w:rPr>
          <w:rStyle w:val="Fontdeparagrafimplicit"/>
          <w:b/>
        </w:rPr>
        <w:t xml:space="preserve">inculpaţii 2  şi 3 , </w:t>
      </w:r>
      <w:r>
        <w:t>împotriva sentinţei penale nr.4/2018  pronunţate de Tribunalul                – Secţia   în dosarul nr.1/2017 .</w:t>
      </w:r>
    </w:p>
    <w:p w:rsidR="00AD41C6" w14:paraId="0F9AA502" w14:textId="77F70A56">
      <w:pPr>
        <w:ind w:firstLine="708"/>
        <w:jc w:val="both"/>
      </w:pPr>
      <w:r>
        <w:t xml:space="preserve">La apelul nominal făcut în şedinţa publică, au răspuns </w:t>
      </w:r>
      <w:r>
        <w:rPr>
          <w:rStyle w:val="Fontdeparagrafimplicit"/>
          <w:b/>
        </w:rPr>
        <w:t xml:space="preserve">apelanţii-inculpaţi 2 </w:t>
      </w:r>
      <w:r>
        <w:t xml:space="preserve"> personal, asistat juridic de avocat   în substituirea apărătorului oficiu, avocat   cu delegaţie pentru asistenţă judiciară obligatorie nr.   , emisă de Baroul                depusă la dosar fila nr. 135,</w:t>
      </w:r>
      <w:r>
        <w:rPr>
          <w:rStyle w:val="Fontdeparagrafimplicit"/>
          <w:i/>
        </w:rPr>
        <w:t xml:space="preserve"> </w:t>
      </w:r>
      <w:r>
        <w:rPr>
          <w:rStyle w:val="Fontdeparagrafimplicit"/>
          <w:b/>
        </w:rPr>
        <w:t xml:space="preserve">3 </w:t>
      </w:r>
      <w:r>
        <w:t xml:space="preserve"> personal, aflat sub imperiul măsurii preventive a controlului judiciar şi asistat juridic de apărător ales, avocat  , cu împuternicire avocaţială nr.  ataşată la fila nr.56 din dosar (vol.1) şi </w:t>
      </w:r>
      <w:r>
        <w:rPr>
          <w:rStyle w:val="Fontdeparagrafimplicit"/>
          <w:b/>
        </w:rPr>
        <w:t xml:space="preserve">intimatul-inculpat 5 </w:t>
      </w:r>
      <w:r>
        <w:t xml:space="preserve"> personal şi asistat juridic de apărător ales, avocat  , cu împuternicire avocaţială nr.  ataşată la fila nr.260 din dosar(vol.3).</w:t>
      </w:r>
    </w:p>
    <w:p w:rsidR="00AD41C6" w14:paraId="3AB8EC55" w14:textId="77777777">
      <w:pPr>
        <w:ind w:firstLine="708"/>
        <w:jc w:val="both"/>
        <w:rPr>
          <w:rStyle w:val="Fontdeparagrafimplicit"/>
          <w:i/>
        </w:rPr>
      </w:pPr>
      <w:r>
        <w:t>Procedura de citare este legal îndeplinită.</w:t>
      </w:r>
    </w:p>
    <w:p w:rsidR="00AD41C6" w14:paraId="634F51F8" w14:textId="77777777">
      <w:pPr>
        <w:ind w:firstLine="708"/>
        <w:jc w:val="both"/>
      </w:pPr>
      <w:r>
        <w:t>S-a făcut referatul cauzei de către grefierul de şedinţă, care învederează că:</w:t>
      </w:r>
    </w:p>
    <w:p w:rsidR="00AD41C6" w14:paraId="75086FCE" w14:textId="77777777">
      <w:pPr>
        <w:ind w:firstLine="708"/>
        <w:jc w:val="both"/>
      </w:pPr>
      <w:r>
        <w:t>- DIICOT a restituit CD-urile cu menţiunile solicitate, precum şi un set de înscrisuri;</w:t>
      </w:r>
    </w:p>
    <w:p w:rsidR="00AD41C6" w14:paraId="5FB6346F" w14:textId="77777777">
      <w:pPr>
        <w:ind w:firstLine="708"/>
        <w:jc w:val="both"/>
      </w:pPr>
      <w:r>
        <w:t>- SRI a răspuns la adresa instanţei;</w:t>
      </w:r>
    </w:p>
    <w:p w:rsidR="00AD41C6" w14:paraId="6C06773D" w14:textId="77777777">
      <w:pPr>
        <w:ind w:firstLine="708"/>
        <w:jc w:val="both"/>
      </w:pPr>
      <w:r>
        <w:t>- DIPI nu a răspuns la adresa instanţei.</w:t>
      </w:r>
    </w:p>
    <w:p w:rsidR="00AD41C6" w14:paraId="4F195519" w14:textId="77777777">
      <w:pPr>
        <w:ind w:firstLine="708"/>
        <w:jc w:val="both"/>
      </w:pPr>
      <w:r>
        <w:t xml:space="preserve">Curtea, cu titlu prealabil, având în vedere necesitatea principiului continuităţii completului de judecată, învederează că în prezenta compunere va dispune doar acele măsuri care nu presupun aprecieri şi discuţii. </w:t>
      </w:r>
    </w:p>
    <w:p w:rsidR="00AD41C6" w14:paraId="19E27654" w14:textId="71B32157">
      <w:pPr>
        <w:ind w:firstLine="708"/>
        <w:jc w:val="both"/>
      </w:pPr>
      <w:r>
        <w:t xml:space="preserve">Faţă de răspunsurile de la dosar, apărătorul ales al apelantului-inculpat 3  solicită amendarea SRI şi DIPI. </w:t>
      </w:r>
    </w:p>
    <w:p w:rsidR="00AD41C6" w14:paraId="1FE22A9E" w14:textId="77777777">
      <w:pPr>
        <w:ind w:firstLine="708"/>
        <w:jc w:val="both"/>
      </w:pPr>
      <w:r>
        <w:t>Curtea, va proroga această discuţie pentru asigurarea continuităţii completului de judecată, reţinând că în cauză, SRI nu a dat curs solicitărilor anterioare ale instanţei privind identificarea persoanelor semnatare ale adreselor.</w:t>
      </w:r>
    </w:p>
    <w:p w:rsidR="00AD41C6" w14:paraId="4289A86B" w14:textId="77777777">
      <w:pPr>
        <w:ind w:firstLine="708"/>
        <w:jc w:val="both"/>
      </w:pPr>
      <w:r>
        <w:t xml:space="preserve">Având în vedere că măsurile au fost deja dispuse, pune în discuţie revenirea cu adresă către DIPI. </w:t>
      </w:r>
    </w:p>
    <w:p w:rsidR="00AD41C6" w14:paraId="360EF37A" w14:textId="77777777">
      <w:pPr>
        <w:ind w:firstLine="708"/>
        <w:jc w:val="both"/>
      </w:pPr>
      <w:r>
        <w:t xml:space="preserve">Reprezentantul Ministerului Public şi apărătorii, având pe rând cuvântul, arată că sunt de acord cu revenirea cu adresă către DIPI în vederea depunerii la dosar a informaţiilor solicitate de  către instanţă. </w:t>
      </w:r>
    </w:p>
    <w:p w:rsidR="00AD41C6" w14:paraId="769F6AA8" w14:textId="77777777">
      <w:pPr>
        <w:ind w:firstLine="708"/>
        <w:jc w:val="both"/>
      </w:pPr>
      <w:r>
        <w:t xml:space="preserve">Totodată, având în vedere dispoziţiile anterioare ale instanţei de judecată cu privire la identificarea şefului instituţiei SRI, dispune revenirea cu adresă, cu aceeaşi precizare, în considerarea uzanţelor unei bune colaborări între instituţii şi pentru a putea stabili cu certitudine cui îi aparţine responsabilitatea comunicării acestor informaţii, cu menţiunea de a avea în vedere şi posibilitatea sancţionării cu amendă potrivit dispozițiilor Codului de procedură penală, având în vedere solicitările succesive adresate de către instanţă şi lipsa unui răspuns în sensul celor solicitate. </w:t>
      </w:r>
    </w:p>
    <w:p w:rsidR="00AD41C6" w14:paraId="5CCB98FA" w14:textId="2A7997A2">
      <w:pPr>
        <w:ind w:firstLine="708"/>
        <w:jc w:val="both"/>
      </w:pPr>
      <w:r>
        <w:t>Apărătorul din oficiu al inculpatului 2  depune la dosar o copie de pe actul de identitate al acestuia, având în vedere că şi-a schimbat domiciliul.</w:t>
      </w:r>
    </w:p>
    <w:p w:rsidR="00AD41C6" w14:paraId="09B8A908" w14:textId="73105AEE">
      <w:pPr>
        <w:ind w:firstLine="708"/>
        <w:jc w:val="both"/>
      </w:pPr>
      <w:r>
        <w:t>De asemenea, din oficiu, Curtea pune în discuţie legalitatea şi temeinicia măsurii controlului judiciar dispusă în cauză faţă de inculpatul 3 .</w:t>
      </w:r>
    </w:p>
    <w:p w:rsidR="00AD41C6" w14:paraId="0C395533" w14:textId="77777777">
      <w:pPr>
        <w:ind w:firstLine="708"/>
        <w:jc w:val="both"/>
      </w:pPr>
      <w:r>
        <w:rPr>
          <w:rStyle w:val="Fontdeparagrafimplicit"/>
          <w:b/>
        </w:rPr>
        <w:t>Reprezentantul Ministerului Public</w:t>
      </w:r>
      <w:r>
        <w:t xml:space="preserve"> pune concluzii de menţinere a măsurii controlului judiciar în raport de faptul că în urma probatoriului administrat subzistă temeiurile care au stat la baza luării măsurii preventive. Precizează că se impune menținerea măsurii controlului judiciar şi în raport de cantitatea de droguri, de natura drogului, cocaină, dar şi în raport de poziţia procesuală a inculpatului. </w:t>
      </w:r>
    </w:p>
    <w:p w:rsidR="00AD41C6" w14:paraId="0E864F56" w14:textId="42144ADA">
      <w:pPr>
        <w:ind w:firstLine="708"/>
        <w:jc w:val="both"/>
      </w:pPr>
      <w:r>
        <w:t xml:space="preserve"> </w:t>
      </w:r>
      <w:r>
        <w:rPr>
          <w:rStyle w:val="Fontdeparagrafimplicit"/>
          <w:b/>
        </w:rPr>
        <w:t xml:space="preserve">Apărătorul ales al inculpatului 3 </w:t>
      </w:r>
      <w:r>
        <w:t xml:space="preserve">, având cuvântul, în principal solicită revocarea măsurii controlului judiciar, iar în subsidiar, solicită extinderea limitelor teritoriale pentru întreg teritoriul Uniunii Europene. </w:t>
      </w:r>
    </w:p>
    <w:p w:rsidR="00AD41C6" w14:paraId="519E467F" w14:textId="77777777">
      <w:pPr>
        <w:ind w:firstLine="708"/>
        <w:jc w:val="both"/>
      </w:pPr>
      <w:r>
        <w:t xml:space="preserve">Apreciază că măsura nu mai este necesară şi nu există nici un argument care să justifice necesitatea menţinerii acesteia, fapt pentru care se impune revocarea. </w:t>
      </w:r>
    </w:p>
    <w:p w:rsidR="00AD41C6" w14:paraId="40034F14" w14:textId="77777777">
      <w:pPr>
        <w:ind w:firstLine="708"/>
        <w:jc w:val="both"/>
      </w:pPr>
      <w:r>
        <w:t>În subsidiar, face referire la boala de care suferă inculpatul şi care nu poate fi tratată în România sau care ar putea fi tratată în condiţii mult mai bune pe teritoriul altor state care au sisteme medicale mult mai avansate.</w:t>
      </w:r>
    </w:p>
    <w:p w:rsidR="00AD41C6" w14:paraId="59FD7D0B" w14:textId="4CFFCBCC">
      <w:pPr>
        <w:ind w:firstLine="708"/>
        <w:jc w:val="both"/>
      </w:pPr>
      <w:r>
        <w:rPr>
          <w:rStyle w:val="Fontdeparagrafimplicit"/>
          <w:b/>
        </w:rPr>
        <w:t>Inculpatul 3 , personal</w:t>
      </w:r>
      <w:r>
        <w:t>, arată că lasă la aprecierea instanţei soluţionarea cauzei cu privire la măsura preventivă.</w:t>
      </w:r>
    </w:p>
    <w:p w:rsidR="00AD41C6" w14:paraId="6CB2F379" w14:textId="77777777">
      <w:pPr>
        <w:jc w:val="center"/>
      </w:pPr>
    </w:p>
    <w:p w:rsidR="00AD41C6" w14:paraId="2833590D" w14:textId="77777777">
      <w:pPr>
        <w:jc w:val="center"/>
        <w:rPr>
          <w:rStyle w:val="Fontdeparagrafimplicit"/>
          <w:b/>
          <w:color w:val="000000"/>
        </w:rPr>
      </w:pPr>
      <w:r>
        <w:rPr>
          <w:rStyle w:val="Fontdeparagrafimplicit"/>
          <w:b/>
          <w:color w:val="000000"/>
        </w:rPr>
        <w:t>CURTEA,</w:t>
      </w:r>
    </w:p>
    <w:p w:rsidR="00AD41C6" w14:paraId="54EC175F" w14:textId="77777777">
      <w:pPr>
        <w:tabs>
          <w:tab w:val="left" w:pos="709"/>
          <w:tab w:val="left" w:pos="1002"/>
        </w:tabs>
        <w:ind w:firstLine="709"/>
        <w:jc w:val="both"/>
        <w:rPr>
          <w:rStyle w:val="Fontdeparagrafimplicit"/>
          <w:i/>
        </w:rPr>
      </w:pPr>
    </w:p>
    <w:p w:rsidR="00AD41C6" w14:paraId="00497494" w14:textId="2F605482">
      <w:pPr>
        <w:tabs>
          <w:tab w:val="left" w:pos="709"/>
          <w:tab w:val="left" w:pos="1002"/>
        </w:tabs>
        <w:ind w:firstLine="709"/>
        <w:jc w:val="both"/>
        <w:rPr>
          <w:rStyle w:val="Fontdeparagrafimplicit"/>
          <w:i/>
        </w:rPr>
      </w:pPr>
      <w:r>
        <w:rPr>
          <w:rStyle w:val="Fontdeparagrafimplicit"/>
          <w:i/>
        </w:rPr>
        <w:t>Deliberând asupra legalităţii şi temeiniciei măsurii preventive a controlului judiciar sub imperiul căreia se află inculpatul 3 , constată următoarele:</w:t>
      </w:r>
    </w:p>
    <w:p w:rsidR="00AD41C6" w14:paraId="1D09F5CF" w14:textId="1943EC4B">
      <w:pPr>
        <w:ind w:firstLine="708"/>
        <w:jc w:val="both"/>
      </w:pPr>
      <w:r>
        <w:t>Prin sentinţa penală nr. 4/2018 de Tribunalul               , inculpatul 3  a  fost condamnat pentru mai multe infracţiuni, după cum urmează</w:t>
      </w:r>
      <w:r>
        <w:rPr>
          <w:rStyle w:val="Fontdeparagrafimplicit"/>
          <w:lang w:val="en-US"/>
        </w:rPr>
        <w:t xml:space="preserve">: </w:t>
      </w:r>
      <w:r>
        <w:t>la pedeapsa de 7 ani închisoare pentru infracţiunea de finanţare a traficului de droguri de mare risc, prevăzută de art. 9 rap. la art. 2 alin. 1 şi 2 din Legea 143/2000, fiindu-i aplicate şi pedepsele  complementare şi accesorii privind interzicerea  drepturilor prevăzute de art. 66 alin. 1 literele a şi b Cod penal</w:t>
      </w:r>
      <w:r>
        <w:rPr>
          <w:rStyle w:val="Fontdeparagrafimplicit"/>
          <w:lang w:val="en-US"/>
        </w:rPr>
        <w:t xml:space="preserve">; la </w:t>
      </w:r>
      <w:r>
        <w:rPr>
          <w:rStyle w:val="Fontdeparagrafimplicit"/>
          <w:lang w:val="en-US"/>
        </w:rPr>
        <w:t>pedeapsa</w:t>
      </w:r>
      <w:r>
        <w:rPr>
          <w:rStyle w:val="Fontdeparagrafimplicit"/>
          <w:lang w:val="en-US"/>
        </w:rPr>
        <w:t xml:space="preserve"> de 7 ani </w:t>
      </w:r>
      <w:r>
        <w:t>închisoare pentru instigare la infracţiunea de trafic internaţional de droguri, prevăzută de art. 47 rap. la art. 3 alin. 1 şi 2 din Legea 143/2000, fiindu-i aplicate şi pedepsele complementare şi accesorii privind interzicerea drepturilor prevăzute de art. 66 literele a şi b Cod penal</w:t>
      </w:r>
      <w:r>
        <w:rPr>
          <w:rStyle w:val="Fontdeparagrafimplicit"/>
          <w:lang w:val="en-US"/>
        </w:rPr>
        <w:t xml:space="preserve">; la </w:t>
      </w:r>
      <w:r>
        <w:rPr>
          <w:rStyle w:val="Fontdeparagrafimplicit"/>
          <w:lang w:val="en-US"/>
        </w:rPr>
        <w:t>pedeapsa</w:t>
      </w:r>
      <w:r>
        <w:rPr>
          <w:rStyle w:val="Fontdeparagrafimplicit"/>
          <w:lang w:val="en-US"/>
        </w:rPr>
        <w:t xml:space="preserve"> de 5 ani </w:t>
      </w:r>
      <w:r>
        <w:t>închisoare pentru instigare la infracţiunea de trafic de droguri de mare risc, prevăzută de art.</w:t>
      </w:r>
      <w:r>
        <w:rPr>
          <w:rStyle w:val="Fontdeparagrafimplicit"/>
          <w:lang w:val="en-US"/>
        </w:rPr>
        <w:t xml:space="preserve"> </w:t>
      </w:r>
      <w:r>
        <w:t xml:space="preserve">47 rap. la art. 2 alin. 1 şi 2 din Legea 143/2000, fiindu-i aplicate pedepse complementare şi accesorii constând în interzicerea drepturilor prevăzute de art. 66 literele a şi b Cod penal. </w:t>
      </w:r>
    </w:p>
    <w:p w:rsidR="00AD41C6" w14:paraId="2227C7D7" w14:textId="77777777">
      <w:pPr>
        <w:ind w:firstLine="709"/>
        <w:jc w:val="both"/>
      </w:pPr>
      <w:r>
        <w:t>În baza art. 39 alin. 1 litera b Cod penal rap. la art. 38 alin. 1 Cod penal, au fost contopite pedepsele aplicate, dispunându-se ca inculpatul să execute pedeapsa cea mai grea, aceea de 7 ani închisoare, sporită cu 4 ani închisoare, inculpatul urmând să execute pedeapsa rezultantă de 11 ani închisoare.</w:t>
      </w:r>
    </w:p>
    <w:p w:rsidR="00AD41C6" w14:paraId="6B2A4976" w14:textId="77777777">
      <w:pPr>
        <w:ind w:firstLine="709"/>
        <w:jc w:val="both"/>
      </w:pPr>
      <w:r>
        <w:t>În baza art. 45 alin. 3 litera a Cod penal a fost aplicată inculpatului, pe lângă pedeapsa principală a închisorii, pedeapsa complementară constând în interzicerea exercitării drepturilor prevăzute de art. 66 alin. 1 literele a şi b Cod penal pe o durată de 2 ani, pedeapsă executabilă în condiţiile art. 68 alin. 1 litera c Cod penal. În baza art. 45 alin. 5 Cod penal rap. la art. 45 alin. 3 litera c Cod penal a fost aplicată inculpatului şi pedeapsa accesorie constând în interzicerea drepturilor prevăzute de art. 66 alin. 1 literele a şi b Cod penal, pe durata executării pedepsei principale.</w:t>
      </w:r>
    </w:p>
    <w:p w:rsidR="00AD41C6" w14:paraId="50512336" w14:textId="2C4BB41F">
      <w:pPr>
        <w:jc w:val="both"/>
      </w:pPr>
      <w:r>
        <w:tab/>
        <w:t>În baza art. 72 alin. 1 Cod penal a fost dedusă din pedeapsa aplicată durata reţinerii, arestului la domiciliu şi arestului preventiv, începând cu data de  .05.2016 la zi- .03.2018.</w:t>
      </w:r>
    </w:p>
    <w:p w:rsidR="00AD41C6" w14:paraId="53C0A575" w14:textId="53F21F33">
      <w:pPr>
        <w:jc w:val="both"/>
      </w:pPr>
      <w:r>
        <w:tab/>
        <w:t>În ceea ce îl priveşte pe inculpatul  3 , pentru a pronunţa această sentinţă, prima instanţă a reţinut în esenţă, că, inculpatul, în luna   2016 a finanţat cumpărarea cantităţii de 429,98 grame cocaină, înmânându-i inculpatului     suma de 10.000 euro şi cu aceeaşi ocazie i-a determinat pe   şi   să se deplaseze în O  în vederea cumpărării cantităţii de 429,98 grame cocaină, să o introduce în România, să o transporte în               ,   urmând să o comercializeze.</w:t>
      </w:r>
    </w:p>
    <w:p w:rsidR="00AD41C6" w14:paraId="2098675A" w14:textId="01356723">
      <w:pPr>
        <w:jc w:val="both"/>
      </w:pPr>
      <w:r>
        <w:tab/>
        <w:t xml:space="preserve">Împotriva acestei sentinţe au declarat apel Parchetul de pe lângă Înalta Curte de Casaţie şi Justiţie-DIICOT, inculpaţii 2  şi 3 , fiind înregistrate la data de  .04.2018 pe rolul Curţii de Apel                Secţia  . </w:t>
      </w:r>
    </w:p>
    <w:p w:rsidR="00AD41C6" w14:paraId="11C1A61D" w14:textId="7C33A663">
      <w:pPr>
        <w:jc w:val="both"/>
      </w:pPr>
      <w:r>
        <w:tab/>
        <w:t xml:space="preserve">În cursul procedurii derulate în apel, </w:t>
      </w:r>
      <w:r>
        <w:rPr>
          <w:rStyle w:val="Fontdeparagrafimplicit"/>
          <w:i/>
        </w:rPr>
        <w:t xml:space="preserve">prin încheierea din data de   .10.2018, </w:t>
      </w:r>
      <w:r>
        <w:t>Curtea a dispus,</w:t>
      </w:r>
      <w:r>
        <w:rPr>
          <w:rStyle w:val="Fontdeparagrafimplicit"/>
          <w:i/>
        </w:rPr>
        <w:t xml:space="preserve"> </w:t>
      </w:r>
      <w:r>
        <w:t xml:space="preserve"> în baza art. 242 alin. 2 C.p.p. rap. la art. 202 alin. 4 litera b C.p.p. şi art. 215 C.p.p. înlocuirea măsurii preventive a  arestului la domiciliu dispusă faţă de inculpatul 3  cu măsura preventivă a controlului judiciar, prevăzută de art. 215 şi următoarele C.p.p., pentru o perioadă de 60 de zile, începând cu data de 11 octombrie 2018.</w:t>
      </w:r>
    </w:p>
    <w:p w:rsidR="00AD41C6" w14:paraId="4D0E65C6" w14:textId="11635EC9">
      <w:pPr>
        <w:jc w:val="both"/>
        <w:rPr>
          <w:rStyle w:val="Fontdeparagrafimplicit"/>
          <w:lang w:val="en-US"/>
        </w:rPr>
      </w:pPr>
      <w:r>
        <w:tab/>
        <w:t>În baza art. 215 alin. 2 C.p.p., pe timpul cât se va afla sub control  judiciar, inculpatului i-au fost impuse următoarele obligaţii</w:t>
      </w:r>
      <w:r>
        <w:rPr>
          <w:rStyle w:val="Fontdeparagrafimplicit"/>
          <w:lang w:val="en-US"/>
        </w:rPr>
        <w:t xml:space="preserve">: </w:t>
      </w:r>
      <w:r>
        <w:rPr>
          <w:rStyle w:val="Fontdeparagrafimplicit"/>
          <w:lang w:val="en-US"/>
        </w:rPr>
        <w:t>să</w:t>
      </w:r>
      <w:r>
        <w:rPr>
          <w:rStyle w:val="Fontdeparagrafimplicit"/>
          <w:lang w:val="en-US"/>
        </w:rPr>
        <w:t xml:space="preserve"> se </w:t>
      </w:r>
      <w:r>
        <w:rPr>
          <w:rStyle w:val="Fontdeparagrafimplicit"/>
          <w:lang w:val="en-US"/>
        </w:rPr>
        <w:t>prezinte</w:t>
      </w:r>
      <w:r>
        <w:t xml:space="preserve"> la instanţa de judecată ori de câte ori este chemat</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informeze</w:t>
      </w:r>
      <w:r>
        <w:rPr>
          <w:rStyle w:val="Fontdeparagrafimplicit"/>
          <w:lang w:val="en-US"/>
        </w:rPr>
        <w:t xml:space="preserve"> de </w:t>
      </w:r>
      <w:r>
        <w:t>îndată organul judiciar care a dispus măsura sau în faţa căruia se află cauza cu privire la schimbarea locuinţei;</w:t>
      </w:r>
      <w:r>
        <w:rPr>
          <w:rStyle w:val="Fontdeparagrafimplicit"/>
          <w:lang w:val="en-US"/>
        </w:rPr>
        <w:t xml:space="preserve"> </w:t>
      </w:r>
      <w:r>
        <w:rPr>
          <w:rStyle w:val="Fontdeparagrafimplicit"/>
          <w:lang w:val="en-US"/>
        </w:rPr>
        <w:t>să</w:t>
      </w:r>
      <w:r>
        <w:rPr>
          <w:rStyle w:val="Fontdeparagrafimplicit"/>
          <w:lang w:val="en-US"/>
        </w:rPr>
        <w:t xml:space="preserve"> se </w:t>
      </w:r>
      <w:r>
        <w:rPr>
          <w:rStyle w:val="Fontdeparagrafimplicit"/>
          <w:lang w:val="en-US"/>
        </w:rPr>
        <w:t>prezinte</w:t>
      </w:r>
      <w:r>
        <w:rPr>
          <w:rStyle w:val="Fontdeparagrafimplicit"/>
          <w:lang w:val="en-US"/>
        </w:rPr>
        <w:t xml:space="preserve"> </w:t>
      </w:r>
      <w:r>
        <w:t>la organul de poliţie desemnat cu supravegherea sa, Secţia   de poliţie               , conform programului de supraveghere întocmit sau ori de câte ori este chemat.</w:t>
      </w:r>
    </w:p>
    <w:p w:rsidR="00AD41C6" w14:paraId="3C634275" w14:textId="0C9437DA">
      <w:pPr>
        <w:jc w:val="both"/>
        <w:rPr>
          <w:rStyle w:val="Fontdeparagrafimplicit"/>
          <w:lang w:val="en-US"/>
        </w:rPr>
      </w:pPr>
      <w:r>
        <w:tab/>
        <w:t>De asemenea, în baza art. 215 alin. 2 C.p.p., instanţa a impus inculpatului respectarea şi a următoarelor obligaţii</w:t>
      </w:r>
      <w:r>
        <w:rPr>
          <w:rStyle w:val="Fontdeparagrafimplicit"/>
          <w:lang w:val="en-US"/>
        </w:rPr>
        <w:t>: s</w:t>
      </w:r>
      <w:r>
        <w:t>ă nu părăsească ţara fără încuviinţarea instanţei de judecată</w:t>
      </w:r>
      <w:r>
        <w:rPr>
          <w:rStyle w:val="Fontdeparagrafimplicit"/>
          <w:lang w:val="en-US"/>
        </w:rPr>
        <w:t>;</w:t>
      </w:r>
      <w:r>
        <w:t>să nu depăşească limita teritorială a municipiului                şi a judeţului               ; să comunice periodic informaţii relevante despre mijloacele sale de existenţă;</w:t>
      </w:r>
      <w:r>
        <w:rPr>
          <w:rStyle w:val="Fontdeparagrafimplicit"/>
          <w:lang w:val="en-US"/>
        </w:rPr>
        <w:t xml:space="preserve"> </w:t>
      </w:r>
      <w:r>
        <w:t>să  nu ia legătura direct sau indirect cu inculpaţii 2 , 5  sau cu membrii familiilor acestora, cu martorii  ,  ,  ,  ,    şi   sau cu membrii familiilor acestora.</w:t>
      </w:r>
    </w:p>
    <w:p w:rsidR="00AD41C6" w14:paraId="46F96110" w14:textId="77777777">
      <w:pPr>
        <w:jc w:val="both"/>
      </w:pPr>
      <w:r>
        <w:tab/>
        <w:t>În baza art. 215 alin. 3 C.p.p. s-a atras atenţia inculpatului că în cazul în care va încălca măsurile şi obligaţiile impuse, cu rea-credinţă, măsura controlului judiciar se va înlocui cu măsura arestului la domiciliu sau a arestării preventive.</w:t>
      </w:r>
    </w:p>
    <w:p w:rsidR="00AD41C6" w14:paraId="680D857E" w14:textId="77777777">
      <w:pPr>
        <w:ind w:firstLine="708"/>
        <w:jc w:val="both"/>
      </w:pPr>
      <w:r>
        <w:rPr>
          <w:rStyle w:val="Fontdeparagrafimplicit"/>
          <w:lang w:val="en-US"/>
        </w:rPr>
        <w:t>Curtea</w:t>
      </w:r>
      <w:r>
        <w:rPr>
          <w:rStyle w:val="Fontdeparagrafimplicit"/>
          <w:lang w:val="en-US"/>
        </w:rPr>
        <w:t xml:space="preserve"> </w:t>
      </w:r>
      <w:r>
        <w:rPr>
          <w:rStyle w:val="Fontdeparagrafimplicit"/>
          <w:lang w:val="en-US"/>
        </w:rPr>
        <w:t>reţine</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potrivit</w:t>
      </w:r>
      <w:r>
        <w:t xml:space="preserve"> dispoziţiilor art. 208 alin. (5) în tot cursul judecăţii, instanţa verifică, prin încheiere, din oficiu, periodic, dar nu mai târziu de 60 de zile, dacă subzistă temeiurile care au determinat luarea măsurii controlului judiciar sau dacă au apărut temeiuri noi, care să justifice menţinerea măsurii. Când temeiurile care au determinat luarea măsurii se menţin, sau există temeiuri noi care să justifice o măsură preventivă, dispune menţinerea măsurii preventive faţă de inculpat.</w:t>
      </w:r>
    </w:p>
    <w:p w:rsidR="00AD41C6" w14:paraId="69C71514" w14:textId="77777777">
      <w:pPr>
        <w:jc w:val="both"/>
      </w:pPr>
      <w:r>
        <w:tab/>
        <w:t>Din examinarea dispoziţiilor legale mai sus menţionate, rezultă că pentru luarea şi respectiv, prelungirea măsurii controlului judiciar, este necesar să fie îndeplinite mai multe condiţii, în mod cumulativ.</w:t>
      </w:r>
    </w:p>
    <w:p w:rsidR="00AD41C6" w14:paraId="15808619" w14:textId="77777777">
      <w:pPr>
        <w:ind w:firstLine="720"/>
        <w:jc w:val="both"/>
      </w:pPr>
      <w:r>
        <w:t>Cu referire la aceste aspecte, existenţa indiciilor temeinice că inculpatul ar fi putut comite faptele de care este acuzat a fost constatată pe întreg parcursul procesului, cu ocazia luării şi ulterior a menţinerii măsurilor preventive şi este întărită la acest moment de existenţa unei condamnări pronunţate în primă instanţă.</w:t>
      </w:r>
    </w:p>
    <w:p w:rsidR="00AD41C6" w14:paraId="7EA51AC9" w14:textId="77777777">
      <w:pPr>
        <w:ind w:firstLine="720"/>
        <w:jc w:val="both"/>
      </w:pPr>
      <w:r>
        <w:t>Curtea arată că proporţionalitatea măsurii preventive este una mai mult decât evidentă, acuzaţiile aduse inculpatului fiind unele  grave,  atât prin natura infracţiunilor care i se impută, dar şi prin modalitatea în care se presupune că faptele ar fi fost comise. Curtea apreciază că proporţionalitatea măsurii este o condiţie îndeplinită mai presus de orice îndoială.</w:t>
      </w:r>
    </w:p>
    <w:p w:rsidR="00AD41C6" w14:paraId="1F018995" w14:textId="77777777">
      <w:pPr>
        <w:ind w:firstLine="720"/>
        <w:jc w:val="both"/>
      </w:pPr>
      <w:r>
        <w:t>De asemenea, Curtea constată astfel că temeiurile care au stat la baza luării măsurii controlului judiciar se menţin, în sensul că există indiciile implicării inculpatului în activitatea infracţională de care este acuzat, măsura este proporţională cu gravitatea acuzaţiilor aduse  şi este necesară pentru buna desfăşurare a procesului penal.</w:t>
      </w:r>
    </w:p>
    <w:p w:rsidR="00AD41C6" w14:paraId="1907D6A6" w14:textId="77777777">
      <w:pPr>
        <w:ind w:firstLine="708"/>
        <w:jc w:val="both"/>
      </w:pPr>
      <w:r>
        <w:t>În ceea ce privește argumentele prezentate de inculpat în susținerea cererii de extindere a limitelor teritoriale, Curtea nu contestă dreptul inculpatului de a fi supus unor tratamente medicale care să-i prezerve starea de sănătate, prin deplasare la unități medicale performante fie și în afara teritoriului țării, însă precaritatea stării de sănătate și necesitatea deplasărilor trebuie să fie dovedite, întrucât restricțiile cărora este supus în prezent inculpatul sunt consecința suspiciunii de săvârșirii a unor fapte penale.</w:t>
      </w:r>
    </w:p>
    <w:p w:rsidR="00AD41C6" w14:paraId="5CC256A6" w14:textId="77777777">
      <w:pPr>
        <w:ind w:firstLine="708"/>
        <w:jc w:val="both"/>
      </w:pPr>
      <w:r>
        <w:t xml:space="preserve">Având în vedere limitele devoluţiunii apelului în prezenta cauză, necesitatea readministrării unor probatorii importante, menţinerea supravegherii inculpatului, în toate componentele dispuse iniţial este justificată, iar ingerinţa privind libertatea de mişcare este </w:t>
      </w:r>
      <w:r>
        <w:t>una legitimă şi proporţională, cu atât mai mult cu cât schimbarea limitelor deplasării nu a fost justificată de o manieră rezonabilă  care să determine reconsiderarea acestora.</w:t>
      </w:r>
    </w:p>
    <w:p w:rsidR="00AD41C6" w14:paraId="26830EEC" w14:textId="77777777">
      <w:pPr>
        <w:tabs>
          <w:tab w:val="left" w:pos="1002"/>
        </w:tabs>
        <w:jc w:val="both"/>
        <w:rPr>
          <w:rStyle w:val="Fontdeparagrafimplicit"/>
          <w:b/>
        </w:rPr>
      </w:pPr>
      <w:r>
        <w:rPr>
          <w:rStyle w:val="Fontdeparagrafimplicit"/>
          <w:b/>
        </w:rPr>
        <w:tab/>
      </w:r>
    </w:p>
    <w:p w:rsidR="00AD41C6" w14:paraId="0CE04DCD" w14:textId="77777777">
      <w:pPr>
        <w:tabs>
          <w:tab w:val="left" w:pos="1002"/>
        </w:tabs>
        <w:jc w:val="both"/>
        <w:rPr>
          <w:rStyle w:val="Fontdeparagrafimplicit"/>
          <w:b/>
        </w:rPr>
      </w:pPr>
      <w:r>
        <w:rPr>
          <w:rStyle w:val="Fontdeparagrafimplicit"/>
          <w:b/>
        </w:rPr>
        <w:tab/>
        <w:t>Pe fond:</w:t>
      </w:r>
    </w:p>
    <w:p w:rsidR="00AD41C6" w14:paraId="141571B0" w14:textId="77777777">
      <w:pPr>
        <w:ind w:firstLine="708"/>
        <w:jc w:val="both"/>
      </w:pPr>
      <w:r>
        <w:t xml:space="preserve">Având în vedere că măsurile au fost deja dispuse, va dispune revenirea cu adresă către DIPI. </w:t>
      </w:r>
    </w:p>
    <w:p w:rsidR="00AD41C6" w14:paraId="15B739F7" w14:textId="77777777">
      <w:pPr>
        <w:ind w:firstLine="708"/>
        <w:jc w:val="both"/>
      </w:pPr>
      <w:r>
        <w:t xml:space="preserve">Totodată, având în vedere dispoziţiile anterioare ale instanţei de judecată cu privire la identificarea şefului instituţiei SRI, va dispune revenirea cu adresă, cu aceeaşi precizare, în considerarea uzanţelor unei bune colaborări între instituţii şi pentru a putea stabili cu certitudine cui îi aparţine responsabilitatea comunicării acestor informaţii, cu menţiunea de a avea în vedere şi posibilitatea sancţionării cu amendă potrivit dispozițiilor Codului de procedură penală, având în vedere solicitările succesive adresate de către instanţă şi lipsa unui răspuns în sensul celor solicitate. </w:t>
      </w:r>
    </w:p>
    <w:p w:rsidR="00AD41C6" w14:paraId="31378815" w14:textId="77777777">
      <w:pPr>
        <w:jc w:val="both"/>
        <w:rPr>
          <w:rStyle w:val="Fontdeparagrafimplicit"/>
          <w:color w:val="FF0000"/>
        </w:rPr>
      </w:pPr>
      <w:r>
        <w:rPr>
          <w:rStyle w:val="Fontdeparagrafimplicit"/>
          <w:color w:val="FF0000"/>
        </w:rPr>
        <w:tab/>
      </w:r>
      <w:r>
        <w:t>Pentru aceste motive,</w:t>
      </w:r>
    </w:p>
    <w:p w:rsidR="00AD41C6" w14:paraId="3A6C4ED1" w14:textId="77777777">
      <w:pPr>
        <w:tabs>
          <w:tab w:val="left" w:pos="4508"/>
        </w:tabs>
        <w:ind w:firstLine="1068"/>
        <w:jc w:val="center"/>
        <w:rPr>
          <w:rStyle w:val="Fontdeparagrafimplicit"/>
          <w:b/>
          <w:color w:val="FF0000"/>
        </w:rPr>
      </w:pPr>
    </w:p>
    <w:p w:rsidR="00AD41C6" w14:paraId="681882D0" w14:textId="77777777">
      <w:pPr>
        <w:tabs>
          <w:tab w:val="left" w:pos="4508"/>
        </w:tabs>
        <w:ind w:firstLine="1068"/>
        <w:jc w:val="center"/>
        <w:rPr>
          <w:rStyle w:val="Fontdeparagrafimplicit"/>
          <w:b/>
        </w:rPr>
      </w:pPr>
      <w:r>
        <w:rPr>
          <w:rStyle w:val="Fontdeparagrafimplicit"/>
          <w:b/>
        </w:rPr>
        <w:t>DISPUNE:</w:t>
      </w:r>
    </w:p>
    <w:p w:rsidR="00AD41C6" w14:paraId="0F5F4C11" w14:textId="77777777">
      <w:pPr>
        <w:tabs>
          <w:tab w:val="left" w:pos="4508"/>
        </w:tabs>
        <w:ind w:firstLine="1068"/>
        <w:jc w:val="center"/>
        <w:rPr>
          <w:rStyle w:val="Fontdeparagrafimplicit"/>
          <w:b/>
        </w:rPr>
      </w:pPr>
    </w:p>
    <w:p w:rsidR="00AD41C6" w14:paraId="55F5EE3C" w14:textId="77777777">
      <w:pPr>
        <w:ind w:firstLine="709"/>
        <w:jc w:val="both"/>
        <w:rPr>
          <w:rStyle w:val="Fontdeparagrafimplicit"/>
          <w:b/>
        </w:rPr>
      </w:pPr>
      <w:r>
        <w:rPr>
          <w:rStyle w:val="Fontdeparagrafimplicit"/>
          <w:b/>
        </w:rPr>
        <w:t>Pe măsura preventivă:</w:t>
      </w:r>
    </w:p>
    <w:p w:rsidR="00AD41C6" w14:paraId="56C14744" w14:textId="29CA0BE9">
      <w:pPr>
        <w:ind w:firstLine="709"/>
        <w:jc w:val="both"/>
        <w:rPr>
          <w:rStyle w:val="Fontdeparagrafimplicit"/>
          <w:color w:val="000000"/>
        </w:rPr>
      </w:pPr>
      <w:r>
        <w:rPr>
          <w:rStyle w:val="Fontdeparagrafimplicit"/>
          <w:color w:val="000000"/>
        </w:rPr>
        <w:t xml:space="preserve">În temeiul art. 362 alin. 1 şi 2 din Codul de procedură penală rap. la art. 208 alin. 5 cod de procedură penală menţine măsura preventivă a controlului judiciar dispusă faţă de inculpatul 3 . </w:t>
      </w:r>
    </w:p>
    <w:p w:rsidR="00AD41C6" w14:paraId="4FD7E2E1" w14:textId="77777777">
      <w:pPr>
        <w:ind w:firstLine="709"/>
        <w:jc w:val="both"/>
        <w:rPr>
          <w:rStyle w:val="Fontdeparagrafimplicit"/>
          <w:color w:val="000000"/>
        </w:rPr>
      </w:pPr>
      <w:r>
        <w:rPr>
          <w:rStyle w:val="Fontdeparagrafimplicit"/>
          <w:color w:val="000000"/>
        </w:rPr>
        <w:t xml:space="preserve">Respinge cererile privind revocarea şi modificarea măsurii preventive a controlului judiciar. </w:t>
      </w:r>
    </w:p>
    <w:p w:rsidR="00AD41C6" w14:paraId="2827B026" w14:textId="77777777">
      <w:pPr>
        <w:ind w:firstLine="709"/>
        <w:jc w:val="both"/>
        <w:rPr>
          <w:rStyle w:val="Fontdeparagrafimplicit"/>
          <w:color w:val="000000"/>
        </w:rPr>
      </w:pPr>
      <w:r>
        <w:rPr>
          <w:rStyle w:val="Fontdeparagrafimplicit"/>
          <w:color w:val="000000"/>
        </w:rPr>
        <w:t xml:space="preserve">Definitivă. </w:t>
      </w:r>
    </w:p>
    <w:p w:rsidR="00AD41C6" w14:paraId="159D768D" w14:textId="0B1A3DF9">
      <w:pPr>
        <w:ind w:firstLine="709"/>
        <w:jc w:val="both"/>
        <w:rPr>
          <w:rStyle w:val="Fontdeparagrafimplicit"/>
          <w:color w:val="000000"/>
        </w:rPr>
      </w:pPr>
      <w:r>
        <w:rPr>
          <w:rStyle w:val="Fontdeparagrafimplicit"/>
          <w:color w:val="000000"/>
        </w:rPr>
        <w:t>Pronunţată în şedinţă publică azi,  .</w:t>
      </w:r>
    </w:p>
    <w:p w:rsidR="00AD41C6" w14:paraId="54D9C368" w14:textId="77777777">
      <w:pPr>
        <w:ind w:firstLine="709"/>
        <w:jc w:val="both"/>
        <w:rPr>
          <w:rStyle w:val="Fontdeparagrafimplicit"/>
          <w:color w:val="000000"/>
        </w:rPr>
      </w:pPr>
    </w:p>
    <w:p w:rsidR="00AD41C6" w14:paraId="412A51DC" w14:textId="77777777">
      <w:pPr>
        <w:ind w:firstLine="709"/>
        <w:jc w:val="both"/>
        <w:rPr>
          <w:rStyle w:val="Fontdeparagrafimplicit"/>
          <w:b/>
        </w:rPr>
      </w:pPr>
      <w:r>
        <w:rPr>
          <w:rStyle w:val="Fontdeparagrafimplicit"/>
          <w:b/>
        </w:rPr>
        <w:t>Pe fond:</w:t>
      </w:r>
    </w:p>
    <w:p w:rsidR="00AD41C6" w14:paraId="0F93400A" w14:textId="6B5E0A74">
      <w:pPr>
        <w:ind w:firstLine="709"/>
        <w:jc w:val="both"/>
      </w:pPr>
      <w:r>
        <w:t xml:space="preserve">În vederea respectării principiului continuităţii completului de judecată, amână cauza şi acordă </w:t>
      </w:r>
      <w:r>
        <w:rPr>
          <w:rStyle w:val="Fontdeparagrafimplicit"/>
          <w:b/>
        </w:rPr>
        <w:t xml:space="preserve">termen de judecată la data de  , ora </w:t>
      </w:r>
      <w:r w:rsidR="0075678C">
        <w:rPr>
          <w:rStyle w:val="Fontdeparagrafimplicit"/>
          <w:b/>
        </w:rPr>
        <w:t xml:space="preserve">   </w:t>
      </w:r>
      <w:r>
        <w:rPr>
          <w:rStyle w:val="Fontdeparagrafimplicit"/>
          <w:b/>
        </w:rPr>
        <w:t xml:space="preserve">  </w:t>
      </w:r>
      <w:r>
        <w:t xml:space="preserve"> pentru când părţile au termen în cunoştinţă. </w:t>
      </w:r>
    </w:p>
    <w:p w:rsidR="00AD41C6" w14:paraId="1F0C6E51" w14:textId="77777777">
      <w:pPr>
        <w:ind w:firstLine="709"/>
        <w:jc w:val="both"/>
      </w:pPr>
      <w:r>
        <w:t xml:space="preserve">Dispune  revenirea cu adresă către DIPI. </w:t>
      </w:r>
    </w:p>
    <w:p w:rsidR="00AD41C6" w14:paraId="3AF0D31F" w14:textId="77777777">
      <w:pPr>
        <w:ind w:firstLine="708"/>
        <w:jc w:val="both"/>
      </w:pPr>
      <w:r>
        <w:t xml:space="preserve">Totodată, având în vedere dispoziţiile anterioare ale instanţei de judecată cu privire la identificarea şefului instituţiei SRI, dispune revenirea cu adresă, cu aceeaşi precizare, în considerarea uzanţelor unei bune colaborări între instituţii şi pentru a putea stabili cu certitudine cui îi aparţine responsabilitatea comunicării acestor informaţii, cu menţiunea de a avea în vedere şi posibilitatea sancţionării cu amendă potrivit dispozițiilor Codului de procedură penală, având în vedere solicitările succesive adresate de către instanţă şi lipsa unui răspuns în sensul celor solicitate. </w:t>
      </w:r>
    </w:p>
    <w:p w:rsidR="00AD41C6" w14:paraId="43E020DB" w14:textId="72FB44CE">
      <w:pPr>
        <w:ind w:firstLine="709"/>
        <w:jc w:val="both"/>
        <w:rPr>
          <w:rStyle w:val="Fontdeparagrafimplicit"/>
          <w:color w:val="000000"/>
        </w:rPr>
      </w:pPr>
      <w:r>
        <w:rPr>
          <w:rStyle w:val="Fontdeparagrafimplicit"/>
          <w:color w:val="000000"/>
        </w:rPr>
        <w:t>Pronunţată în şedinţă publică azi,  .</w:t>
      </w:r>
    </w:p>
    <w:p w:rsidR="00AD41C6" w14:paraId="08594E2C" w14:textId="77777777">
      <w:pPr>
        <w:tabs>
          <w:tab w:val="left" w:pos="3957"/>
        </w:tabs>
        <w:ind w:firstLine="708"/>
        <w:outlineLvl w:val="0"/>
        <w:rPr>
          <w:rStyle w:val="Fontdeparagrafimplicit"/>
          <w:b/>
        </w:rPr>
      </w:pPr>
      <w:r>
        <w:rPr>
          <w:rStyle w:val="Fontdeparagrafimplicit"/>
          <w:b/>
        </w:rPr>
        <w:tab/>
      </w:r>
      <w:r>
        <w:rPr>
          <w:rStyle w:val="Fontdeparagrafimplicit"/>
          <w:b/>
        </w:rPr>
        <w:tab/>
      </w:r>
    </w:p>
    <w:p w:rsidR="00AD41C6" w14:paraId="6518B4F1" w14:textId="77777777">
      <w:pPr>
        <w:jc w:val="both"/>
      </w:pPr>
      <w:r>
        <w:t xml:space="preserve">                  </w:t>
      </w:r>
    </w:p>
    <w:p w:rsidR="00AD41C6" w14:paraId="7FE25BE9" w14:textId="77777777">
      <w:pPr>
        <w:jc w:val="both"/>
        <w:rPr>
          <w:rStyle w:val="Fontdeparagrafimplicit"/>
          <w:b/>
        </w:rPr>
      </w:pPr>
      <w:r>
        <w:t xml:space="preserve">                      </w:t>
      </w:r>
      <w:r>
        <w:rPr>
          <w:rStyle w:val="Fontdeparagrafimplicit"/>
          <w:b/>
        </w:rPr>
        <w:t>Preşedinte,                                                                  Grefier,</w:t>
      </w:r>
    </w:p>
    <w:p w:rsidR="00AD41C6" w14:paraId="039007B4" w14:textId="6D5EC423">
      <w:pPr>
        <w:rPr>
          <w:rStyle w:val="Fontdeparagrafimplicit"/>
        </w:rPr>
      </w:pPr>
      <w:r>
        <w:rPr>
          <w:rStyle w:val="Fontdeparagrafimplicit"/>
          <w:b/>
        </w:rPr>
        <w:t>A0002</w:t>
      </w: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C6"/>
    <w:rsid w:val="00084406"/>
    <w:rsid w:val="00296213"/>
    <w:rsid w:val="0075678C"/>
    <w:rsid w:val="00AD41C6"/>
    <w:rsid w:val="00F558F4"/>
  </w:rsids>
  <w:docVars>
    <w:docVar w:name="url" w:val="http://10.1.48.53:80/ecris_cdms/document_upload.aspx?id_document=200000003440588&amp;id_departament=2&amp;id_sesiune=3068671&amp;id_user=110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2554D77"/>
  <w15:docId w15:val="{62FAE7CA-DDC2-442D-8C85-B0800BB6F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jc w:val="center"/>
      <w:outlineLvl w:val="1"/>
    </w:pPr>
    <w:rPr>
      <w:rFonts w:ascii="Garamond" w:hAnsi="Garamond"/>
      <w:b/>
    </w:rPr>
  </w:style>
  <w:style w:type="paragraph" w:customStyle="1" w:styleId="Titlu3">
    <w:name w:val="Titlu 3"/>
    <w:basedOn w:val="Normal"/>
    <w:next w:val="Normal"/>
    <w:qFormat/>
    <w:pPr>
      <w:keepNext/>
      <w:jc w:val="center"/>
      <w:outlineLvl w:val="2"/>
    </w:pPr>
    <w:rPr>
      <w:rFonts w:ascii="Garamond" w:hAnsi="Garamond"/>
      <w:sz w:val="36"/>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10</ap:TotalTime>
  <ap:Pages>4</ap:Pages>
  <ap:Words>2102</ap:Words>
  <ap:Characters>11987</ap:Characters>
  <ap:Application>Microsoft Office Word</ap:Application>
  <ap:DocSecurity>0</ap:DocSecurity>
  <ap:Lines>99</ap:Lines>
  <ap:Paragraphs>28</ap:Paragraphs>
  <ap:ScaleCrop>false</ap:ScaleCrop>
  <ap:CharactersWithSpaces>14061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