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493924" w:rsidP="00493924">
      <w:pPr>
        <w:rPr>
          <w:b/>
        </w:rPr>
      </w:pPr>
      <w:r>
        <w:rPr>
          <w:b/>
        </w:rPr>
        <w:t>HOTĂRÂREA NR. 9</w:t>
      </w:r>
      <w:r>
        <w:rPr>
          <w:b/>
        </w:rPr>
        <w:t xml:space="preserve">                                                        CANDIDAT  A0009</w:t>
      </w:r>
    </w:p>
    <w:p w:rsidR="003A6823">
      <w:pPr>
        <w:rPr>
          <w:rStyle w:val="Fontdeparagrafimplicit"/>
          <w:rFonts w:ascii="Garamond" w:hAnsi="Garamond"/>
        </w:rPr>
      </w:pPr>
      <w:r>
        <w:rPr>
          <w:rStyle w:val="Fontdeparagrafimplicit"/>
          <w:rFonts w:ascii="Garamond" w:hAnsi="Garamond"/>
        </w:rPr>
        <w:t>Cod ECLI    ECLI:RO:</w:t>
      </w:r>
      <w:r w:rsidR="00DE183F">
        <w:rPr>
          <w:rStyle w:val="Fontdeparagrafimplicit"/>
          <w:rFonts w:ascii="Garamond" w:hAnsi="Garamond"/>
        </w:rPr>
        <w:t>...............</w:t>
      </w:r>
    </w:p>
    <w:p w:rsidR="003A6823">
      <w:pPr>
        <w:rPr>
          <w:rStyle w:val="Fontdeparagrafimplicit"/>
          <w:rFonts w:ascii="Garamond" w:hAnsi="Garamond"/>
        </w:rPr>
      </w:pPr>
      <w:r>
        <w:rPr>
          <w:rStyle w:val="Fontdeparagrafimplicit"/>
          <w:rFonts w:ascii="Garamond" w:hAnsi="Garamond"/>
        </w:rPr>
        <w:t xml:space="preserve">Dosar nr. </w:t>
      </w:r>
      <w:r w:rsidR="00DE183F">
        <w:rPr>
          <w:rStyle w:val="Fontdeparagrafimplicit"/>
          <w:rFonts w:ascii="Garamond" w:hAnsi="Garamond"/>
        </w:rPr>
        <w:t>.............</w:t>
      </w:r>
    </w:p>
    <w:p w:rsidR="003A6823">
      <w:pPr>
        <w:jc w:val="center"/>
      </w:pPr>
      <w:r>
        <w:t>R O M Â N I A</w:t>
      </w:r>
    </w:p>
    <w:p w:rsidR="003A6823">
      <w:pPr>
        <w:jc w:val="center"/>
      </w:pPr>
      <w:r>
        <w:t xml:space="preserve">CURTEA DE APEL </w:t>
      </w:r>
      <w:r w:rsidR="00DE183F">
        <w:t>.............</w:t>
      </w:r>
    </w:p>
    <w:p w:rsidR="003A6823">
      <w:pPr>
        <w:jc w:val="center"/>
        <w:rPr>
          <w:rStyle w:val="Fontdeparagrafimplicit"/>
          <w:b/>
        </w:rPr>
      </w:pPr>
      <w:r>
        <w:t xml:space="preserve">SECŢIA </w:t>
      </w:r>
      <w:r w:rsidR="00DE183F">
        <w:t xml:space="preserve">............ </w:t>
      </w:r>
      <w:r>
        <w:t>CONTENCIOS ADMINISTRATIV ŞI</w:t>
      </w:r>
      <w:r>
        <w:rPr>
          <w:rStyle w:val="Fontdeparagrafimplicit"/>
          <w:b/>
        </w:rPr>
        <w:t xml:space="preserve"> FISCAL</w:t>
      </w:r>
    </w:p>
    <w:p w:rsidR="003A6823">
      <w:pPr>
        <w:jc w:val="center"/>
        <w:rPr>
          <w:rStyle w:val="Fontdeparagrafimplicit"/>
          <w:b/>
        </w:rPr>
      </w:pPr>
      <w:r>
        <w:rPr>
          <w:rStyle w:val="Fontdeparagrafimplicit"/>
          <w:b/>
        </w:rPr>
        <w:t xml:space="preserve">SENTINŢA </w:t>
      </w:r>
      <w:r w:rsidR="00DE183F">
        <w:rPr>
          <w:rStyle w:val="Fontdeparagrafimplicit"/>
          <w:b/>
        </w:rPr>
        <w:t>CIVILĂ NR...........</w:t>
      </w:r>
    </w:p>
    <w:p w:rsidR="003A6823">
      <w:pPr>
        <w:jc w:val="center"/>
        <w:rPr>
          <w:rStyle w:val="Fontdeparagrafimplicit"/>
          <w:b/>
        </w:rPr>
      </w:pPr>
      <w:r>
        <w:rPr>
          <w:rStyle w:val="Fontdeparagrafimplicit"/>
          <w:b/>
        </w:rPr>
        <w:t xml:space="preserve">Şedinţa din camera de consiliu din data de </w:t>
      </w:r>
      <w:r w:rsidR="00DE183F">
        <w:rPr>
          <w:rStyle w:val="Fontdeparagrafimplicit"/>
          <w:b/>
        </w:rPr>
        <w:t>................</w:t>
      </w:r>
    </w:p>
    <w:p w:rsidR="003A6823">
      <w:pPr>
        <w:jc w:val="center"/>
      </w:pPr>
      <w:r>
        <w:t>Curtea constituită din:</w:t>
      </w:r>
    </w:p>
    <w:p w:rsidR="003A6823">
      <w:pPr>
        <w:jc w:val="center"/>
      </w:pPr>
      <w:r>
        <w:t xml:space="preserve">PREŞEDINTE: </w:t>
      </w:r>
      <w:r w:rsidR="00DE183F">
        <w:t>CANDIDAT A0009</w:t>
      </w:r>
    </w:p>
    <w:p w:rsidR="003A6823">
      <w:pPr>
        <w:jc w:val="center"/>
      </w:pPr>
      <w:r>
        <w:t xml:space="preserve">GREFIER: </w:t>
      </w:r>
      <w:r w:rsidR="00DE183F">
        <w:t>..................</w:t>
      </w:r>
    </w:p>
    <w:p w:rsidR="003A6823">
      <w:pPr>
        <w:jc w:val="center"/>
      </w:pPr>
    </w:p>
    <w:p w:rsidR="003A6823">
      <w:pPr>
        <w:ind w:firstLine="720"/>
        <w:jc w:val="both"/>
      </w:pPr>
      <w:r>
        <w:t xml:space="preserve">Pe rol se află cererea în contencios administrativ şi fiscal formulată de reclamantul </w:t>
      </w:r>
      <w:r w:rsidR="00DE183F">
        <w:rPr>
          <w:rStyle w:val="Fontdeparagrafimplicit"/>
          <w:b/>
        </w:rPr>
        <w:t xml:space="preserve">AB </w:t>
      </w:r>
      <w:r>
        <w:t xml:space="preserve">în contradictoriu cu pârâţii </w:t>
      </w:r>
      <w:r>
        <w:rPr>
          <w:rStyle w:val="Fontdeparagrafimplicit"/>
          <w:b/>
        </w:rPr>
        <w:t xml:space="preserve">Guvernul României </w:t>
      </w:r>
      <w:r>
        <w:t xml:space="preserve">şi </w:t>
      </w:r>
      <w:r>
        <w:rPr>
          <w:rStyle w:val="Fontdeparagrafimplicit"/>
          <w:b/>
        </w:rPr>
        <w:t>Primul Ministru al României</w:t>
      </w:r>
      <w:r>
        <w:t xml:space="preserve"> - </w:t>
      </w:r>
      <w:r w:rsidR="00DE183F">
        <w:rPr>
          <w:rStyle w:val="Fontdeparagrafimplicit"/>
          <w:b/>
        </w:rPr>
        <w:t>BC</w:t>
      </w:r>
      <w:r>
        <w:rPr>
          <w:rStyle w:val="Fontdeparagrafimplicit"/>
          <w:b/>
        </w:rPr>
        <w:t>,</w:t>
      </w:r>
      <w:r>
        <w:t xml:space="preserve"> având ca obiect amendă pentru neexecutarea hotărârii judecătoreşti.</w:t>
      </w:r>
    </w:p>
    <w:p w:rsidR="003A6823">
      <w:pPr>
        <w:ind w:right="23" w:firstLine="709"/>
        <w:jc w:val="both"/>
      </w:pPr>
      <w:r>
        <w:t>Cauza a rămas în pronunţare în şedinţa publică de la</w:t>
      </w:r>
      <w:r w:rsidR="00DE183F">
        <w:t xml:space="preserve"> ............</w:t>
      </w:r>
      <w:r>
        <w:t xml:space="preserve">, desfăşurarea şedinţei fiind consemnată în încheierea de şedinţă de la acea dată, care face parte integrantă din prezenta hotărâre, dată la care Curtea, din lipsă de timp pentru a delibera, a amânat pronunţarea la data de  </w:t>
      </w:r>
      <w:r w:rsidR="00DE183F">
        <w:t xml:space="preserve">..........., ............ </w:t>
      </w:r>
      <w:r>
        <w:t xml:space="preserve">şi </w:t>
      </w:r>
      <w:r w:rsidR="00DE183F">
        <w:t>.............</w:t>
      </w:r>
      <w:r>
        <w:t xml:space="preserve">, când a pronunţat următoarea hotărâre: </w:t>
      </w:r>
    </w:p>
    <w:p w:rsidR="003A6823">
      <w:pPr>
        <w:ind w:firstLine="708"/>
        <w:jc w:val="center"/>
        <w:rPr>
          <w:rStyle w:val="Fontdeparagrafimplicit"/>
          <w:b/>
        </w:rPr>
      </w:pPr>
    </w:p>
    <w:p w:rsidR="003A6823">
      <w:pPr>
        <w:ind w:firstLine="708"/>
        <w:jc w:val="center"/>
        <w:rPr>
          <w:rStyle w:val="Fontdeparagrafimplicit"/>
          <w:b/>
        </w:rPr>
      </w:pPr>
      <w:r>
        <w:rPr>
          <w:rStyle w:val="Fontdeparagrafimplicit"/>
          <w:b/>
        </w:rPr>
        <w:t>CURTEA,</w:t>
      </w:r>
    </w:p>
    <w:p w:rsidR="003A6823">
      <w:pPr>
        <w:ind w:firstLine="708"/>
        <w:jc w:val="both"/>
        <w:rPr>
          <w:rStyle w:val="Fontdeparagrafimplicit"/>
          <w:b/>
        </w:rPr>
      </w:pPr>
    </w:p>
    <w:p w:rsidR="003A6823">
      <w:pPr>
        <w:pStyle w:val="Listparagraf"/>
        <w:numPr>
          <w:ilvl w:val="0"/>
          <w:numId w:val="1"/>
        </w:numPr>
        <w:spacing w:after="0" w:line="240" w:lineRule="auto"/>
        <w:ind w:left="0" w:firstLine="567"/>
        <w:rPr>
          <w:rStyle w:val="Fontdeparagrafimplicit"/>
          <w:rFonts w:ascii="Times New Roman" w:hAnsi="Times New Roman"/>
          <w:b/>
          <w:sz w:val="24"/>
        </w:rPr>
      </w:pPr>
      <w:r>
        <w:rPr>
          <w:rStyle w:val="Fontdeparagrafimplicit"/>
          <w:rFonts w:ascii="Times New Roman" w:hAnsi="Times New Roman"/>
          <w:b/>
          <w:sz w:val="24"/>
        </w:rPr>
        <w:t>Cererea de chemare în  judecată.</w:t>
      </w:r>
    </w:p>
    <w:p w:rsidR="003A6823">
      <w:pPr>
        <w:ind w:firstLine="567"/>
        <w:rPr>
          <w:rStyle w:val="Fontdeparagrafimplicit"/>
        </w:rPr>
      </w:pPr>
    </w:p>
    <w:p w:rsidR="003A6823">
      <w:pPr>
        <w:ind w:firstLine="567"/>
        <w:jc w:val="both"/>
      </w:pPr>
      <w:r>
        <w:t xml:space="preserve">Prin cererea înregistrată pe rolul Curţii de Apel </w:t>
      </w:r>
      <w:r w:rsidR="00DE183F">
        <w:t>..........</w:t>
      </w:r>
      <w:r>
        <w:t xml:space="preserve">– Secţia </w:t>
      </w:r>
      <w:r w:rsidR="00DE183F">
        <w:t xml:space="preserve">......... </w:t>
      </w:r>
      <w:r>
        <w:t xml:space="preserve">Contencios administrativ şi fiscal, la data de 09.08.2022 sub dosar nr. </w:t>
      </w:r>
      <w:r w:rsidR="00DE183F">
        <w:t>.............</w:t>
      </w:r>
      <w:r>
        <w:t xml:space="preserve">, reclamantul </w:t>
      </w:r>
      <w:r w:rsidR="00DE183F">
        <w:t xml:space="preserve">AB </w:t>
      </w:r>
      <w:r>
        <w:t xml:space="preserve">i-a chemat în judecată pe pârâţii Guvernul României şi Prim-Ministrul României, solicitând executarea silită a deciziei nr. </w:t>
      </w:r>
      <w:r w:rsidR="00DE183F">
        <w:t>.............</w:t>
      </w:r>
      <w:r>
        <w:t>pronunţată de Înalta Curte de Casaţie şi Justiţie în dosarul nr.</w:t>
      </w:r>
      <w:r w:rsidR="00DE183F">
        <w:t>.............</w:t>
      </w:r>
      <w:r>
        <w:t>, definitivă de la pronunţare.</w:t>
      </w:r>
    </w:p>
    <w:p w:rsidR="003A6823">
      <w:pPr>
        <w:ind w:firstLine="567"/>
        <w:jc w:val="both"/>
      </w:pPr>
      <w:r>
        <w:t xml:space="preserve">Astfel, prin decizia ÎCCJ nr. </w:t>
      </w:r>
      <w:r w:rsidR="00DE183F">
        <w:t>.............</w:t>
      </w:r>
      <w:r>
        <w:t xml:space="preserve">debitorul a fost obligat să adopte o hotărâre de guvern pentru punerea în aplicare a disp. art. 9 din anexa la OUG nr.49/1997, astfel cum a fost modificat prin O.G nr. 55/2003, în vederea vânzării de acţiuni ale </w:t>
      </w:r>
      <w:r w:rsidR="00DE183F">
        <w:t xml:space="preserve">CD </w:t>
      </w:r>
      <w:r>
        <w:t>S.A., până la limita de 8% din capitalul social, la acelaşi preţ la care au fost vândute acţiunile în cadrul procesului de privatizare, sub sancţiunea unor penalităţi de 1.000 lei pe fiecare zi de întârziere de la data pronunţării deciziei menţionate şi până la executarea obligaţiei.</w:t>
      </w:r>
    </w:p>
    <w:p w:rsidR="003A6823">
      <w:pPr>
        <w:ind w:firstLine="567"/>
        <w:jc w:val="both"/>
      </w:pPr>
      <w:r>
        <w:t>Debitorul nu a executat până la formularea prezentei cereri de executare silită obligaţia stabilită în sarcina sa prin hotărârea judecătorească.</w:t>
      </w:r>
    </w:p>
    <w:p w:rsidR="003A6823">
      <w:pPr>
        <w:ind w:firstLine="567"/>
        <w:jc w:val="both"/>
      </w:pPr>
      <w:r>
        <w:t xml:space="preserve">Debitorul instituţie publică - Guvernul României - nu a îndeplinit obligaţia stabilită în sarcina sa prin decizia ÎCCJ nr. </w:t>
      </w:r>
      <w:r w:rsidR="00DE183F">
        <w:t>............</w:t>
      </w:r>
      <w:r>
        <w:t>, astfel că se impune a se stabili în sarcina acestuia (de fapt, să reconfirme) o penalitate de 1000 lei pe zi de întârziere până la îndeplinirea obligaţiei.</w:t>
      </w:r>
    </w:p>
    <w:p w:rsidR="003A6823">
      <w:pPr>
        <w:ind w:firstLine="567"/>
        <w:jc w:val="both"/>
      </w:pPr>
      <w:r>
        <w:t>Totodată, se solicită instanţei să aplice Primului Ministru, in calitate de conducător al instituţiei publice debitoare, o amenda în cuantum de 20% din salariul minim brut pe economie pe zi de întârziere, până la îndeplinirea obligaţiei, amendă care se face venit la bugetul de stat.</w:t>
      </w:r>
    </w:p>
    <w:p w:rsidR="003A6823">
      <w:pPr>
        <w:ind w:firstLine="567"/>
        <w:jc w:val="both"/>
      </w:pPr>
      <w:r>
        <w:t>Reclamantul a solicitat cheltuieli de judecată, reprezentând onorariu de avocat.</w:t>
      </w:r>
    </w:p>
    <w:p w:rsidR="003A6823">
      <w:pPr>
        <w:ind w:firstLine="567"/>
        <w:jc w:val="both"/>
      </w:pPr>
      <w:r>
        <w:t>În drept, s-a invocat art. 24 alin. 3 al Legii nr. 554/2004; a fost solicitată judecata în lipsă.</w:t>
      </w:r>
    </w:p>
    <w:p w:rsidR="003A6823">
      <w:pPr>
        <w:ind w:firstLine="567"/>
        <w:jc w:val="both"/>
      </w:pPr>
      <w:r>
        <w:t xml:space="preserve">În dovedire, s-a solicitat încuviinţarea administrării probei  cu înscrisuri. </w:t>
      </w:r>
    </w:p>
    <w:p w:rsidR="003A6823">
      <w:pPr>
        <w:ind w:firstLine="567"/>
        <w:jc w:val="both"/>
      </w:pPr>
      <w:r>
        <w:t xml:space="preserve">La data de 04.11.2022 ( filele 56 şi următoarele), reclamantul a invocat excepţia de neconstituţionalitate a art. 9 ultima teză din anexa 1 a O.U.G. nr. 49/1997 privind înfiinţarea societăţii </w:t>
      </w:r>
      <w:r w:rsidR="00DE183F">
        <w:t xml:space="preserve">CD </w:t>
      </w:r>
      <w:r>
        <w:t xml:space="preserve">S.A., prin raportare la prevederile art. 1 alin. 3-5 şi art. 16 alin. 2 din Constituţie, precum şi excepţia de nelegalitate a H.G. nr. 746/2002.  </w:t>
      </w:r>
    </w:p>
    <w:p w:rsidR="003A6823">
      <w:pPr>
        <w:ind w:firstLine="567"/>
        <w:jc w:val="both"/>
      </w:pPr>
    </w:p>
    <w:p w:rsidR="003A6823">
      <w:pPr>
        <w:pStyle w:val="Listparagraf"/>
        <w:numPr>
          <w:ilvl w:val="0"/>
          <w:numId w:val="1"/>
        </w:numPr>
        <w:spacing w:after="0" w:line="240" w:lineRule="auto"/>
        <w:ind w:left="0" w:firstLine="567"/>
        <w:jc w:val="both"/>
        <w:rPr>
          <w:rStyle w:val="Fontdeparagrafimplicit"/>
          <w:rFonts w:ascii="Times New Roman" w:hAnsi="Times New Roman"/>
          <w:b/>
          <w:sz w:val="24"/>
        </w:rPr>
      </w:pPr>
      <w:r>
        <w:rPr>
          <w:rStyle w:val="Fontdeparagrafimplicit"/>
          <w:rFonts w:ascii="Times New Roman" w:hAnsi="Times New Roman"/>
          <w:b/>
          <w:sz w:val="24"/>
        </w:rPr>
        <w:t xml:space="preserve"> Poziţia procesuală a părţii adverse. </w:t>
      </w:r>
    </w:p>
    <w:p w:rsidR="003A6823">
      <w:pPr>
        <w:ind w:firstLine="567"/>
        <w:jc w:val="both"/>
        <w:rPr>
          <w:rStyle w:val="Fontdeparagrafimplicit"/>
        </w:rPr>
      </w:pPr>
    </w:p>
    <w:p w:rsidR="003A6823">
      <w:pPr>
        <w:ind w:firstLine="567"/>
        <w:jc w:val="both"/>
      </w:pPr>
      <w:r>
        <w:t xml:space="preserve">La data de 02.09.2022, </w:t>
      </w:r>
      <w:r>
        <w:rPr>
          <w:rStyle w:val="Fontdeparagrafimplicit"/>
          <w:b/>
        </w:rPr>
        <w:t xml:space="preserve">pârâţii Prim-ministrul şi Guvernul României, </w:t>
      </w:r>
      <w:r>
        <w:t>prin Secretariatul General al Guvernului, au formulat întâmpinare (filele 16 şi următoarele),  prin care au invocat excepţia necompetenţei mate</w:t>
      </w:r>
      <w:r w:rsidR="00DE183F">
        <w:t>riale a Curţii de Apel ...........</w:t>
      </w:r>
      <w:r>
        <w:t xml:space="preserve">, motivată din perspectiva împrejurării că, prin admiterea recursului, Înalta Curte de Casaţie şi Justiţie este instanţa care a soluţionat fondul litigiului, deci instanţa de executare în sensul art. 25 alin. 1 din Legea nr. 554/2004, excepţia prescripţiei dreptului de a obţine executarea silită, motivată din perspectiva prevederilor art. 706 C.pr.civ. şi ale art. 2512 C.civ., excepţia lipsei de obiect şi, implicit, a interesului, în susţinerea cărora s-a făcut referire la adoptarea H.G. nr. 746/2022, prin care s-a executat obligaţia din titlul executoriu, excepţia inadmisibilităţii în argumentarea căreia s-a arătat că procedura la care a recurs partea reclamantă nu respectă dispoziţiile legale, întrucât a învestit instanţa cu a doua etapă a executării silite, ceea ce nu respectă noma juridică incidentă şi excepţia lipsei calităţii procesuale active, privită din perspectiva, pe de – o parte, a  existenţei unei coparticipări procesuale obligatorii, în sensul necesităţii păstrării cadrului procesual existent în titlul executoriu, iar, pe de altă parte, a prevederilor art. 9 in Anexa 1 la O.U.G. nr. 49/1997, care impun condiţia existenţei calităţii de angajat </w:t>
      </w:r>
      <w:r w:rsidR="00DE183F">
        <w:t>al CD</w:t>
      </w:r>
      <w:r>
        <w:t xml:space="preserve"> S.A.</w:t>
      </w:r>
    </w:p>
    <w:p w:rsidR="003A6823">
      <w:pPr>
        <w:ind w:firstLine="567"/>
        <w:jc w:val="both"/>
      </w:pPr>
      <w:r>
        <w:t>Relativ la  fondul cererii, s-a solicitat respingerea acţiunii, în raport de Hotărârea Guvernului nr. 746/2022, actul administrativ fiind adoptat pentru punerea în executare a obligaţiei stabilite prin dispozitivul deciziei ÎCCJ – SCAF nr.</w:t>
      </w:r>
      <w:r w:rsidR="00DE183F">
        <w:t>............</w:t>
      </w:r>
      <w:r>
        <w:t>.</w:t>
      </w:r>
    </w:p>
    <w:p w:rsidR="003A6823">
      <w:pPr>
        <w:ind w:firstLine="567"/>
        <w:jc w:val="both"/>
      </w:pPr>
      <w:r>
        <w:t>În drept, s-a făcut referire la dispoziţiile indicate în conţinutul întâmpinării; a fost solicitată judecata în lipsă.</w:t>
      </w:r>
    </w:p>
    <w:p w:rsidR="003A6823">
      <w:pPr>
        <w:ind w:firstLine="567"/>
        <w:jc w:val="both"/>
      </w:pPr>
      <w:r>
        <w:t xml:space="preserve">În dovedire, s-a solicitat încuviinţarea administrării probei  cu înscrisuri. </w:t>
      </w:r>
    </w:p>
    <w:p w:rsidR="003A6823">
      <w:pPr>
        <w:ind w:firstLine="567"/>
        <w:jc w:val="both"/>
        <w:rPr>
          <w:rStyle w:val="Fontdeparagrafimplicit"/>
          <w:b/>
        </w:rPr>
      </w:pPr>
    </w:p>
    <w:p w:rsidR="003A6823">
      <w:pPr>
        <w:pStyle w:val="Listparagraf"/>
        <w:numPr>
          <w:ilvl w:val="0"/>
          <w:numId w:val="1"/>
        </w:numPr>
        <w:spacing w:after="0" w:line="240" w:lineRule="auto"/>
        <w:ind w:left="0" w:firstLine="567"/>
        <w:jc w:val="both"/>
        <w:rPr>
          <w:rStyle w:val="Fontdeparagrafimplicit"/>
          <w:rFonts w:ascii="Times New Roman" w:hAnsi="Times New Roman"/>
          <w:b/>
          <w:sz w:val="24"/>
        </w:rPr>
      </w:pPr>
      <w:r>
        <w:rPr>
          <w:rStyle w:val="Fontdeparagrafimplicit"/>
          <w:rFonts w:ascii="Times New Roman" w:hAnsi="Times New Roman"/>
          <w:b/>
          <w:sz w:val="24"/>
        </w:rPr>
        <w:t>Aspecte procesuale relevante.</w:t>
      </w:r>
    </w:p>
    <w:p w:rsidR="003A6823">
      <w:pPr>
        <w:ind w:firstLine="567"/>
        <w:jc w:val="both"/>
        <w:rPr>
          <w:rStyle w:val="Fontdeparagrafimplicit"/>
          <w:b/>
        </w:rPr>
      </w:pPr>
    </w:p>
    <w:p w:rsidR="003A6823">
      <w:pPr>
        <w:ind w:firstLine="567"/>
        <w:jc w:val="both"/>
      </w:pPr>
      <w:r>
        <w:rPr>
          <w:rStyle w:val="Fontdeparagrafimplicit"/>
          <w:b/>
        </w:rPr>
        <w:t>Curtea</w:t>
      </w:r>
      <w:r>
        <w:t xml:space="preserve"> a încuviințat administrarea probei cu înscrisurile depuse la dosar, în cond. art.255 și art.258 CPC, fiind admisibilă și de natură a duce la soluționarea cauzei. </w:t>
      </w:r>
    </w:p>
    <w:p w:rsidR="003A6823">
      <w:pPr>
        <w:ind w:firstLine="567"/>
        <w:jc w:val="both"/>
      </w:pPr>
    </w:p>
    <w:p w:rsidR="003A6823">
      <w:pPr>
        <w:pStyle w:val="Listparagraf"/>
        <w:numPr>
          <w:ilvl w:val="0"/>
          <w:numId w:val="1"/>
        </w:numPr>
        <w:spacing w:after="0" w:line="240" w:lineRule="auto"/>
        <w:ind w:left="0" w:firstLine="567"/>
        <w:jc w:val="both"/>
        <w:rPr>
          <w:rStyle w:val="Fontdeparagrafimplicit"/>
          <w:rFonts w:ascii="Times New Roman" w:hAnsi="Times New Roman"/>
          <w:b/>
          <w:sz w:val="24"/>
        </w:rPr>
      </w:pPr>
      <w:r>
        <w:rPr>
          <w:rStyle w:val="Fontdeparagrafimplicit"/>
          <w:rFonts w:ascii="Times New Roman" w:hAnsi="Times New Roman"/>
          <w:b/>
          <w:sz w:val="24"/>
        </w:rPr>
        <w:t>Soluţia instanţei.</w:t>
      </w:r>
    </w:p>
    <w:p w:rsidR="003A6823">
      <w:pPr>
        <w:ind w:firstLine="567"/>
        <w:jc w:val="both"/>
        <w:rPr>
          <w:rStyle w:val="Fontdeparagrafimplicit"/>
        </w:rPr>
      </w:pPr>
    </w:p>
    <w:p w:rsidR="003A6823">
      <w:pPr>
        <w:pStyle w:val="Listparagraf"/>
        <w:numPr>
          <w:ilvl w:val="1"/>
          <w:numId w:val="1"/>
        </w:numPr>
        <w:spacing w:after="0" w:line="240" w:lineRule="auto"/>
        <w:ind w:left="0" w:firstLine="567"/>
        <w:jc w:val="both"/>
        <w:rPr>
          <w:rStyle w:val="Fontdeparagrafimplicit"/>
          <w:rFonts w:ascii="Times New Roman" w:hAnsi="Times New Roman"/>
          <w:b/>
          <w:sz w:val="24"/>
        </w:rPr>
      </w:pPr>
      <w:r>
        <w:rPr>
          <w:rStyle w:val="Fontdeparagrafimplicit"/>
          <w:rFonts w:ascii="Times New Roman" w:hAnsi="Times New Roman"/>
          <w:b/>
          <w:sz w:val="24"/>
        </w:rPr>
        <w:t>Situaţia de fapt relevantă.</w:t>
      </w:r>
    </w:p>
    <w:p w:rsidR="003A6823">
      <w:pPr>
        <w:ind w:firstLine="567"/>
        <w:jc w:val="both"/>
        <w:rPr>
          <w:rStyle w:val="Fontdeparagrafimplicit"/>
          <w:b/>
          <w:i/>
          <w:u w:val="single"/>
        </w:rPr>
      </w:pPr>
    </w:p>
    <w:p w:rsidR="003A6823">
      <w:pPr>
        <w:ind w:firstLine="567"/>
        <w:jc w:val="both"/>
      </w:pPr>
      <w:r>
        <w:t xml:space="preserve">Prin decizia civilă nr. </w:t>
      </w:r>
      <w:r w:rsidR="00DE183F">
        <w:t>............</w:t>
      </w:r>
      <w:r>
        <w:t>, pronunţată de Înalta Curte de Casaţie şi Justiţie – Secţia Contencios administrativ şi fiscal în dosarul nr.</w:t>
      </w:r>
      <w:r w:rsidR="00DE183F">
        <w:t>.............</w:t>
      </w:r>
      <w:r>
        <w:t>, definitivă, s-au admis recursurile formulate de mai mulţi recurenţi, printre care şi reclamantul din prezenta cauză, împotriva sentinţei civile nr.</w:t>
      </w:r>
      <w:r w:rsidR="00DE183F">
        <w:t>............</w:t>
      </w:r>
      <w:r>
        <w:t xml:space="preserve">a Curţii de Apel </w:t>
      </w:r>
      <w:r w:rsidR="00DE183F">
        <w:t>.........</w:t>
      </w:r>
      <w:r>
        <w:t xml:space="preserve">– Secţia </w:t>
      </w:r>
      <w:r w:rsidR="00DE183F">
        <w:t>........</w:t>
      </w:r>
      <w:r>
        <w:t xml:space="preserve">Contencios administrativ şi fiscal, fiind admise cererea de chemare în judecată şi cererile de intervenţie principale formulate, pârâtul Guvernul României fiind obligat «să adopte o hotărâre de guvern pentru punerea în aplicare a dispoziţiilor art.9 din anexa la O.U.G. nr. 49/1997, astfel cum a fost modificat prin O.G. nr. 55/2003, în vederea vânzării de acţiuni ale </w:t>
      </w:r>
      <w:r w:rsidR="00DE183F">
        <w:t xml:space="preserve">CD </w:t>
      </w:r>
      <w:r>
        <w:t>S.A., până la limita de 8% din capitalul social, la acelaşi preţ la care au fost vândute acţiunile în cadrul procesului de privatizare, sub sancţiunea unor penalităţi de 1.000 lei pe fiecare zi de întârziere de la data pronunţării prezentei decizii şi până la executarea obligaţiei.».</w:t>
      </w:r>
    </w:p>
    <w:p w:rsidR="003A6823">
      <w:pPr>
        <w:ind w:firstLine="567"/>
        <w:jc w:val="both"/>
      </w:pPr>
      <w:r>
        <w:t xml:space="preserve">La data de 08.08.2022 a fost transmisă prin poştă cererea de chemare în judecată (fila 9 verso), înregistrată pe rolul Curţii de Apel </w:t>
      </w:r>
      <w:r w:rsidR="00DE183F">
        <w:t>............</w:t>
      </w:r>
      <w:r>
        <w:t xml:space="preserve"> – Secţia </w:t>
      </w:r>
      <w:r w:rsidR="00DE183F">
        <w:t>............</w:t>
      </w:r>
      <w:r>
        <w:t xml:space="preserve">Contencios administrativ şi fiscal la data de 09.08.2022 (fila 2). </w:t>
      </w:r>
    </w:p>
    <w:p w:rsidR="003A6823">
      <w:pPr>
        <w:ind w:firstLine="567"/>
        <w:jc w:val="both"/>
      </w:pPr>
      <w:r>
        <w:t>În Monitorul Oficial al României Partea I nr. 560/08.06.2022 a fost publicată H.G. nr.746/08.06.2022, prin care s-au dispus următoarele: „ART. 1: (1) Se aprobă vânzarea de către Ministerul Energiei a unui număr de acţiuni nominative, dematerializate,</w:t>
      </w:r>
      <w:r w:rsidR="00DE183F">
        <w:t xml:space="preserve"> emise de Societatea "CD</w:t>
      </w:r>
      <w:r>
        <w:t xml:space="preserve">" - S.A., reprezentând o cotă procentuală de 1% din valoarea capitalului social </w:t>
      </w:r>
      <w:r>
        <w:t>al societăţii înregistrat la data vânzării. (2) Vânzarea acţiunilor se realizează cel mai târziu până la data de 31 decembrie 2023. ART. 2: În termen de 180 de zile de la data expirării interdicției de înstrăinare a acţiunilor deţinute de statul român, prevăzută la art. 1 din Legea nr. 173/2020 privind unele măsuri pentru protejarea intereselor naţionale în activitatea economică, cu modificările ulterioare, ministrul energiei aprobă, prin ordin, procedurile, termenele şi condiţiile pentru vânzarea acţiunilor în cota procentuală prevăzută la art. 1 alin. (1), care se publică în Monitorul Oficial al României, Partea I.”. În preambulul Hotărârii de Guvern s-a arătat că aceasta a fost adoptată avându-se în vedere dispoziţiile art.9 din anexa nr.1 la Ordonanţa de urgenţă a Guvernului nr.49/1997 privind înfiinţarea Societăţi</w:t>
      </w:r>
      <w:r w:rsidR="0006624B">
        <w:t>i Naţionale a Petrolului "CD</w:t>
      </w:r>
      <w:r>
        <w:t xml:space="preserve">" - S.A. </w:t>
      </w:r>
      <w:r w:rsidR="00DE183F">
        <w:t>............</w:t>
      </w:r>
      <w:r>
        <w:t>, aprobată cu modificări prin Legea nr.70/1998, cu modificările ulterioare, precum şi decizia civilă nr.</w:t>
      </w:r>
      <w:r w:rsidR="0006624B">
        <w:t>...........</w:t>
      </w:r>
      <w:r>
        <w:t xml:space="preserve"> pronunţată de Înalta Curte de Casaţie şi Justiţie - Secţia de contencios administrativ şi fiscal.</w:t>
      </w:r>
    </w:p>
    <w:p w:rsidR="003A6823">
      <w:pPr>
        <w:ind w:firstLine="567"/>
        <w:jc w:val="both"/>
      </w:pPr>
    </w:p>
    <w:p w:rsidR="003A6823">
      <w:pPr>
        <w:pStyle w:val="Listparagraf"/>
        <w:numPr>
          <w:ilvl w:val="1"/>
          <w:numId w:val="1"/>
        </w:numPr>
        <w:spacing w:after="0" w:line="240" w:lineRule="auto"/>
        <w:ind w:left="0" w:firstLine="567"/>
        <w:jc w:val="both"/>
        <w:rPr>
          <w:rStyle w:val="Fontdeparagrafimplicit"/>
          <w:rFonts w:ascii="Times New Roman" w:hAnsi="Times New Roman"/>
          <w:b/>
          <w:sz w:val="24"/>
        </w:rPr>
      </w:pPr>
      <w:r>
        <w:rPr>
          <w:rStyle w:val="Fontdeparagrafimplicit"/>
          <w:rFonts w:ascii="Times New Roman" w:hAnsi="Times New Roman"/>
          <w:b/>
          <w:sz w:val="24"/>
        </w:rPr>
        <w:t>Soluţia instanţei.</w:t>
      </w:r>
    </w:p>
    <w:p w:rsidR="003A6823">
      <w:pPr>
        <w:ind w:firstLine="567"/>
        <w:jc w:val="both"/>
        <w:rPr>
          <w:rStyle w:val="Fontdeparagrafimplicit"/>
          <w:b/>
          <w:i/>
        </w:rPr>
      </w:pPr>
    </w:p>
    <w:p w:rsidR="003A6823">
      <w:pPr>
        <w:ind w:firstLine="567"/>
        <w:jc w:val="both"/>
      </w:pPr>
      <w:r>
        <w:t>Preliminar, Curtea arată că art.248 alin.1 CPC (Legea nr.134/2010 privind Codul de procedură civilă, republicată) prevede că „</w:t>
      </w:r>
      <w:r>
        <w:rPr>
          <w:rStyle w:val="Fontdeparagrafimplicit"/>
          <w:i/>
        </w:rPr>
        <w:t>Instanţa se va pronunţa mai întâi asupra excepţiilor de procedură, precum şi asupra celor de fond care fac inutilă, în tot sau în parte, administrarea de probe ori, după caz, cercetarea în fond a cauzei</w:t>
      </w:r>
      <w:r>
        <w:t>.”. În consecinţă, în cauză se impune a se soluţiona excepţiile procesuale ce au fost invocate.</w:t>
      </w:r>
    </w:p>
    <w:p w:rsidR="003A6823">
      <w:pPr>
        <w:ind w:firstLine="567"/>
        <w:jc w:val="both"/>
      </w:pPr>
    </w:p>
    <w:p w:rsidR="003A6823">
      <w:pPr>
        <w:pStyle w:val="Listparagraf"/>
        <w:numPr>
          <w:ilvl w:val="0"/>
          <w:numId w:val="2"/>
        </w:numPr>
        <w:spacing w:after="0" w:line="240" w:lineRule="auto"/>
        <w:ind w:left="0" w:firstLine="567"/>
        <w:jc w:val="both"/>
        <w:rPr>
          <w:rStyle w:val="Fontdeparagrafimplicit"/>
          <w:rFonts w:ascii="Times New Roman" w:hAnsi="Times New Roman"/>
          <w:b/>
          <w:sz w:val="24"/>
        </w:rPr>
      </w:pPr>
      <w:r>
        <w:rPr>
          <w:rStyle w:val="Fontdeparagrafimplicit"/>
          <w:rFonts w:ascii="Times New Roman" w:hAnsi="Times New Roman"/>
          <w:b/>
          <w:sz w:val="24"/>
        </w:rPr>
        <w:t xml:space="preserve">Excepţia necompetenţei materiale a Curţi de Apel </w:t>
      </w:r>
      <w:r w:rsidR="00DE183F">
        <w:rPr>
          <w:rStyle w:val="Fontdeparagrafimplicit"/>
          <w:rFonts w:ascii="Times New Roman" w:hAnsi="Times New Roman"/>
          <w:b/>
          <w:sz w:val="24"/>
        </w:rPr>
        <w:t>............</w:t>
      </w:r>
    </w:p>
    <w:p w:rsidR="003A6823">
      <w:pPr>
        <w:ind w:firstLine="567"/>
        <w:jc w:val="both"/>
        <w:rPr>
          <w:rStyle w:val="Fontdeparagrafimplicit"/>
        </w:rPr>
      </w:pPr>
    </w:p>
    <w:p w:rsidR="003A6823">
      <w:pPr>
        <w:ind w:firstLine="567"/>
        <w:jc w:val="both"/>
      </w:pPr>
      <w:r>
        <w:t xml:space="preserve">Curtea respinge excepţia necompetenţei materiale invocată de pârât, reţinându-şi competenţa generală, materială şi teritorială în soluţionarea cererii de chemare în judecată, în calitate de instanţă de executare potrivit art.25 raportat la art.2 alin.1 lit.ţ) din Legea nr.554/2004, dat fiind că hotărârea judecătorească în discuţie a fost pronunţată în primă instanţă, în contencios administrativ, de Curtea de Apel </w:t>
      </w:r>
      <w:r w:rsidR="00DE183F">
        <w:t>............</w:t>
      </w:r>
      <w:r>
        <w:t>.</w:t>
      </w:r>
    </w:p>
    <w:p w:rsidR="003A6823">
      <w:pPr>
        <w:ind w:firstLine="567"/>
        <w:jc w:val="both"/>
      </w:pPr>
    </w:p>
    <w:p w:rsidR="003A6823">
      <w:pPr>
        <w:pStyle w:val="Listparagraf"/>
        <w:numPr>
          <w:ilvl w:val="0"/>
          <w:numId w:val="2"/>
        </w:numPr>
        <w:spacing w:after="0" w:line="240" w:lineRule="auto"/>
        <w:jc w:val="both"/>
        <w:rPr>
          <w:rStyle w:val="Fontdeparagrafimplicit"/>
          <w:rFonts w:ascii="Times New Roman" w:hAnsi="Times New Roman"/>
          <w:b/>
          <w:sz w:val="24"/>
        </w:rPr>
      </w:pPr>
      <w:r>
        <w:rPr>
          <w:rStyle w:val="Fontdeparagrafimplicit"/>
          <w:rFonts w:ascii="Times New Roman" w:hAnsi="Times New Roman"/>
          <w:b/>
          <w:sz w:val="24"/>
        </w:rPr>
        <w:t>Excepţia lipsei calităţii procesuale active</w:t>
      </w:r>
    </w:p>
    <w:p w:rsidR="003A6823">
      <w:pPr>
        <w:ind w:firstLine="567"/>
        <w:jc w:val="both"/>
        <w:rPr>
          <w:rStyle w:val="Fontdeparagrafimplicit"/>
        </w:rPr>
      </w:pPr>
    </w:p>
    <w:p w:rsidR="003A6823">
      <w:pPr>
        <w:ind w:firstLine="540"/>
        <w:jc w:val="both"/>
      </w:pPr>
      <w:r>
        <w:t xml:space="preserve">Relativ la </w:t>
      </w:r>
      <w:r>
        <w:rPr>
          <w:rStyle w:val="Fontdeparagrafimplicit"/>
          <w:b/>
          <w:i/>
        </w:rPr>
        <w:t>excepţia lipsei calităţii procesuale active</w:t>
      </w:r>
      <w:r>
        <w:rPr>
          <w:rStyle w:val="Fontdeparagrafimplicit"/>
          <w:i/>
        </w:rPr>
        <w:t xml:space="preserve">, </w:t>
      </w:r>
      <w:r>
        <w:t>Curtea o va respinge</w:t>
      </w:r>
      <w:r>
        <w:rPr>
          <w:rStyle w:val="Fontdeparagrafimplicit"/>
          <w:i/>
        </w:rPr>
        <w:t>,</w:t>
      </w:r>
      <w:r>
        <w:t xml:space="preserve"> constatând că disp. art.24 din Legea nr.554/2004 nu dispun cu privire la obligativitatea litisconsorţiului procesual activ în procedura de executare silită, astfel că în lipsa acestei obligaţii legale, reclamantul are deschisă o cale procesuală proprie a cărei finalizare este executarea obligaţiilor stabilite de titlul executoriu.</w:t>
      </w:r>
    </w:p>
    <w:p w:rsidR="003A6823">
      <w:pPr>
        <w:ind w:firstLine="540"/>
        <w:jc w:val="both"/>
      </w:pPr>
      <w:r>
        <w:t>Tot astfel, în ceea ce priveşte cererea de plată a penalităţilor de întârziere, Curtea va observa rolul acestor penalităţi, de constrângere a debitorului la executarea obligaţiei stabilite prin titlul executoriu. Or, în considerarea acestor aspecte, Curtea reţine că fiecare dintre creditorii menţionaţi în titlul executoriu are dreptul de a solicita aplicarea unei astfel de măsuri, nefiind necesar acordul celorlalţi creditori pentru constrângerea pârâtului Guvernul României la executarea obligaţiei stabilită în sarcina acestuia.</w:t>
      </w:r>
    </w:p>
    <w:p w:rsidR="003A6823">
      <w:pPr>
        <w:ind w:firstLine="540"/>
        <w:jc w:val="both"/>
      </w:pPr>
      <w:r>
        <w:t>Curtea va înlătura susţinerile pârâţilor potrivit cărora în cauză nu ar exista raporturi juridice obligaționale distincte între fiecare creditor şi debitorul comun, în condiţiile în care în litigiul în care s-a pronunţat decizia ce constituie titlul executoriu fiecare creditor a acţionat în nume propriu, în considerarea propriei calităţi de salariat al</w:t>
      </w:r>
      <w:r w:rsidR="00895887">
        <w:t xml:space="preserve"> </w:t>
      </w:r>
      <w:r w:rsidR="0006624B">
        <w:t>CD</w:t>
      </w:r>
      <w:r>
        <w:t xml:space="preserve"> şi în satisfacerea propriilor drepturi prevăzute de lege, derivând din această calitate</w:t>
      </w:r>
      <w:r>
        <w:rPr>
          <w:rStyle w:val="Fontdeparagrafimplicit"/>
          <w:i/>
        </w:rPr>
        <w:t>,</w:t>
      </w:r>
      <w:r>
        <w:t xml:space="preserve"> iar nu în scopul satisfacerii drepturilor celorlalţi reclamanţi. Faptul că respectivii creditori aveau posibilitatea de a formula o cerere de executare silită comună nu implică şi obligaţiaacestora de a acţiona în comun,finalitatea urmărită de fiecare creditor fiind aceea de reglementare a modului de dobândire, în patrimoniul propriu, a acţiunilor Societăţii Naţionale a Petrolului „</w:t>
      </w:r>
      <w:r w:rsidR="0006624B">
        <w:t>CD</w:t>
      </w:r>
      <w:r>
        <w:t>” SA.</w:t>
      </w:r>
    </w:p>
    <w:p w:rsidR="003A6823">
      <w:pPr>
        <w:ind w:firstLine="540"/>
        <w:jc w:val="both"/>
      </w:pPr>
      <w:r>
        <w:t xml:space="preserve">Susţinerile părţii pârâte-debitoare vizând obligativitatea litisconsorţiului în etapa executării silite nu sunt pertinente, întrucât acesta nu era obligatoriu nici la soluţionarea fondului acţiunii de fond vizând actul administrativ asimilat imputat Guvernului României, fiecare dintre salariaţii societăţii </w:t>
      </w:r>
      <w:r w:rsidR="0006624B">
        <w:t>CD</w:t>
      </w:r>
      <w:r>
        <w:t xml:space="preserve"> putând acţiona individual în epocă în vederea cenzurării refuzului autorităţii publice, ipoteză în care titlurile executorii ar fi fost distincte, cu consecinţa caracterului diferit al executărilor silite declanşate. În mod corespunzător, conduita creditorilor de a fi acţionat într-un dosar unic, fie în calitate de reclamanţi, fie în calitate de intervenienţi, nu determină schimbarea concluziei deja expuse, pentru a fi impusă unanimitatea tuturor celor ale căror cereri au fost admise prin decizia ÎCCJ-SCAF nr.</w:t>
      </w:r>
      <w:r w:rsidR="0006624B">
        <w:t>..........</w:t>
      </w:r>
      <w:r>
        <w:t>.</w:t>
      </w:r>
    </w:p>
    <w:p w:rsidR="003A6823">
      <w:pPr>
        <w:ind w:firstLine="540"/>
        <w:jc w:val="both"/>
      </w:pPr>
      <w:r>
        <w:t>În ceea ce priveşte calitatea de salariat a părţii reclamante, Curtea observă că litigiul de faţă este declanşat în temeiul art.24 din Legea nr.554/2004, astfel că aspectele privind cadrul procesual activ se vor aprecia prin raportare la calitatea reclamantului de creditor al obligaţiei impuse în sarcina pârâtului Guvernul României prin titlul executoriu</w:t>
      </w:r>
      <w:r>
        <w:rPr>
          <w:rStyle w:val="Fontdeparagrafimplicit"/>
          <w:i/>
        </w:rPr>
        <w:t xml:space="preserve">, </w:t>
      </w:r>
      <w:r>
        <w:t>calitatea de salariat îndreptăţit la achiziţionarea cotei din pachetul de acţiuni fiind analizată de Înalta Curte de Casaţie şi Justiţie cu caracter definitiv prin chiar titlul executoriu, la pronunţarea deciziei nr.</w:t>
      </w:r>
      <w:r w:rsidR="00DE183F">
        <w:t>............</w:t>
      </w:r>
      <w:r>
        <w:t>.</w:t>
      </w:r>
    </w:p>
    <w:p w:rsidR="003A6823">
      <w:pPr>
        <w:ind w:firstLine="540"/>
        <w:jc w:val="both"/>
      </w:pPr>
      <w:r>
        <w:t>De asemenea, partea reclamantă are calitatea de creditor al obligaţiei stabilite în sarcina pârâtului Guvernul României prin titlul executoriu - decizia nr.</w:t>
      </w:r>
      <w:r w:rsidR="0006624B">
        <w:t>..........</w:t>
      </w:r>
      <w:r>
        <w:t>, pronunţată în dosarul nr.</w:t>
      </w:r>
      <w:r w:rsidR="00DE183F">
        <w:t>.............</w:t>
      </w:r>
      <w:r>
        <w:t xml:space="preserve"> de către Înalta Curte de Casaţie şi Justiţie, făcând parte dintre părţile reclamante şi interveniente din dosarul nr.</w:t>
      </w:r>
      <w:r w:rsidR="00DE183F">
        <w:t>.............</w:t>
      </w:r>
      <w:r>
        <w:t xml:space="preserve">. </w:t>
      </w:r>
    </w:p>
    <w:p w:rsidR="003A6823">
      <w:pPr>
        <w:ind w:firstLine="540"/>
        <w:jc w:val="both"/>
      </w:pPr>
      <w:r>
        <w:t>Prin urmare, Curtea constată că partea reclamantă-creditoare are calitate procesuală activă în prezentul litigiu de contencios administrativ declanşat în temeiul art.24 din Legea nr.554/2004, în vederea punerii în executare silită a deciziei ÎCCJ-SCAF nr.</w:t>
      </w:r>
      <w:r w:rsidR="0006624B">
        <w:t>..........</w:t>
      </w:r>
      <w:r>
        <w:t>, definitivă.</w:t>
      </w:r>
    </w:p>
    <w:p w:rsidR="003A6823">
      <w:pPr>
        <w:ind w:firstLine="540"/>
        <w:jc w:val="both"/>
      </w:pPr>
      <w:r>
        <w:t>În acelaşi timp, nu se poate reţine în cauză obligativitatea unui litisconsorţiu procesual activ, deoarece, astfel cum au admis şi pârâţii, coparticiparea procesuală este, ca regulă, facultativă. Un astfel de principiu rezultă din art.59 CPC, care arată că „</w:t>
      </w:r>
      <w:r>
        <w:rPr>
          <w:rStyle w:val="Fontdeparagrafimplicit"/>
          <w:i/>
        </w:rPr>
        <w:t>mai multe persoane pot fi împreună reclamante sau pârâte dacă obiectul procesului este un drept ori o obligaţie comună, dacă drepturile sau obligaţiile lor au aceeaşi cauză ori dacă între ele există o strânsă legătură”</w:t>
      </w:r>
      <w:r>
        <w:t>, textul de lege stipulând că mai multe persoane pot fi împreună reclamante sau pârâte şi nu că ar avea această obligaţie. Deşi există şi unele situaţii derogatorii de la acest principiu, în care este reglementată coparticiparea procesuală obligatorie, o astfel de dispoziţie legală nu este incidentă în cauză.</w:t>
      </w:r>
    </w:p>
    <w:p w:rsidR="003A6823">
      <w:pPr>
        <w:ind w:firstLine="567"/>
        <w:jc w:val="both"/>
      </w:pPr>
      <w:r>
        <w:t>Cât despre decizia Înaltei Curţi de Casaţie şi Justiţie – Completul pentru dezlegarea unor chestiuni de drept nr.16/2017, aceasta nu este relevantă, întrucât titlul executoriu a fost pronunţat la 08.05.2019, procedura de executare silită a fost declanşată în acest proces la 10.06.2022, iar disp. art.906 alin.4 CPC vizate de interpretarea respectivă au fost modificate prin Legea nr.310/2018 în sensul „</w:t>
      </w:r>
      <w:r>
        <w:rPr>
          <w:rStyle w:val="Fontdeparagrafimplicit"/>
          <w:i/>
        </w:rPr>
        <w:t>Dacă în termen de 3 luni de la data comunicării încheierii de aplicare a penalităţii debitorul nu execută obligaţia prevăzută în titlul executoriu, instanţa de executare, la cererea creditorului, va fixa suma definitivă ce i se datorează cu acest titlu, prin încheiere, dată cu citarea părţilor. Creditorul poate solicita fixarea sumei definitive cu titlu de penalităţi de întârziere după trecerea fiecărui termen de 3 luni în care debitorul nu îşi execută obligaţia prevăzută în titlu executoriu, până la stingerea ei completă.</w:t>
      </w:r>
      <w:r>
        <w:t>”, ceea ce atrage incidenţa art.521 alin.4 CPC rap. la art.518 CPC, anume încetarea aplicabilităţii deciziei în discuţie odată cu modificarea dispoziţiei legale vizate de interpretare</w:t>
      </w:r>
    </w:p>
    <w:p w:rsidR="003A6823">
      <w:pPr>
        <w:ind w:firstLine="567"/>
        <w:jc w:val="both"/>
      </w:pPr>
    </w:p>
    <w:p w:rsidR="003A6823">
      <w:pPr>
        <w:pStyle w:val="Listparagraf"/>
        <w:numPr>
          <w:ilvl w:val="0"/>
          <w:numId w:val="2"/>
        </w:numPr>
        <w:spacing w:after="0" w:line="240" w:lineRule="auto"/>
        <w:jc w:val="both"/>
        <w:rPr>
          <w:rStyle w:val="Fontdeparagrafimplicit"/>
          <w:rFonts w:ascii="Times New Roman" w:hAnsi="Times New Roman"/>
          <w:b/>
          <w:sz w:val="24"/>
        </w:rPr>
      </w:pPr>
      <w:r>
        <w:rPr>
          <w:rStyle w:val="Fontdeparagrafimplicit"/>
          <w:rFonts w:ascii="Times New Roman" w:hAnsi="Times New Roman"/>
          <w:b/>
          <w:sz w:val="24"/>
        </w:rPr>
        <w:t>Excepţia inadmisibilităţii.</w:t>
      </w:r>
    </w:p>
    <w:p w:rsidR="003A6823">
      <w:pPr>
        <w:jc w:val="both"/>
        <w:rPr>
          <w:rStyle w:val="Fontdeparagrafimplicit"/>
        </w:rPr>
      </w:pPr>
    </w:p>
    <w:p w:rsidR="003A6823">
      <w:pPr>
        <w:ind w:firstLine="567"/>
        <w:jc w:val="both"/>
      </w:pPr>
      <w:r>
        <w:t xml:space="preserve">Cu privire la </w:t>
      </w:r>
      <w:r>
        <w:rPr>
          <w:rStyle w:val="Fontdeparagrafimplicit"/>
          <w:b/>
          <w:i/>
        </w:rPr>
        <w:t>excepţia inadmisibilităţii</w:t>
      </w:r>
      <w:r>
        <w:t>, invocată prin întâmpinare, contrar susţinerilor pârâţilor, Curtea observă că cererea dedusă judecăţii are ca obiect aplicarea procedurii prevăzute de art. 24 alin. 3 din Legea nr.554/2004, anume aplicare amendă în sarcina conducătorului autorităţii şi stabilire penalităţi.</w:t>
      </w:r>
    </w:p>
    <w:p w:rsidR="003A6823">
      <w:pPr>
        <w:ind w:firstLine="567"/>
        <w:jc w:val="both"/>
      </w:pPr>
      <w:r>
        <w:t>Aşadar, reclamantul parcurge, prin prezenta cerere, prima etapă a procedurii speciale de executare prevăzute de art. 24 din Legea nr.554/2004, anume cea reglementată de alin. 3, prin care încearcă obţinerea executării în natură a obligaţiei prevăzute în titlul executoriu prin cele două mijloace de constrângere specifice.</w:t>
      </w:r>
    </w:p>
    <w:p w:rsidR="003A6823">
      <w:pPr>
        <w:ind w:firstLine="567"/>
        <w:jc w:val="both"/>
      </w:pPr>
      <w:r>
        <w:t xml:space="preserve">În acelaşi timp, faptul că obligaţia prevăzută în titlul executoriu ar fi fost deja executată de către pârâtul-debitor nu atrage inadmisibilitatea cererii, aceasta având legătură cu fondul raportului juridic de drept administrativ dintre părţi, astfel cum s-a arătat mai sus. </w:t>
      </w:r>
    </w:p>
    <w:p w:rsidR="003A6823">
      <w:pPr>
        <w:ind w:firstLine="567"/>
        <w:jc w:val="both"/>
      </w:pPr>
      <w:r>
        <w:t>Totodată, disp. art.24 din Legea nr.554/2004 nu dispun cu privire la obligativitatea litisconsorţiului procesual activ în procedura de executare silită, astfel că în lipsa acestei obligaţii legale, reclamantul are deschisă o cale procesuală proprie a cărei finalizare este executarea obligaţiilor stabilite de titlul executoriu.</w:t>
      </w:r>
    </w:p>
    <w:p w:rsidR="003A6823">
      <w:pPr>
        <w:ind w:firstLine="567"/>
        <w:jc w:val="both"/>
      </w:pPr>
      <w:r>
        <w:t>Tot astfel, în ceea ce priveşte cererea de plată a penalităţilor de întârziere, Curtea va observa rolul acestor penalităţi, de constrângere a debitorului la executarea obligaţiei stabilite prin titlul executoriu. Or, în considerarea acestor aspecte, Curtea reţine că fiecare dintre creditorii menţionaţi în titlul executoriu are dreptul de a solicita aplicarea unei astfel de măsuri, nefiind necesar acordul celorlalţi creditori pentru constrângerea pârâtului Guvernul României la executarea obligaţiei stabilită în sarcina acestuia.</w:t>
      </w:r>
    </w:p>
    <w:p w:rsidR="003A6823">
      <w:pPr>
        <w:jc w:val="both"/>
        <w:rPr>
          <w:rStyle w:val="Fontdeparagrafimplicit"/>
          <w:b/>
        </w:rPr>
      </w:pPr>
    </w:p>
    <w:p w:rsidR="003A6823">
      <w:pPr>
        <w:pStyle w:val="Listparagraf"/>
        <w:numPr>
          <w:ilvl w:val="0"/>
          <w:numId w:val="2"/>
        </w:numPr>
        <w:spacing w:after="0" w:line="240" w:lineRule="auto"/>
        <w:jc w:val="both"/>
        <w:rPr>
          <w:rStyle w:val="Fontdeparagrafimplicit"/>
          <w:rFonts w:ascii="Times New Roman" w:hAnsi="Times New Roman"/>
          <w:b/>
          <w:sz w:val="24"/>
        </w:rPr>
      </w:pPr>
      <w:r>
        <w:rPr>
          <w:rStyle w:val="Fontdeparagrafimplicit"/>
          <w:rFonts w:ascii="Times New Roman" w:hAnsi="Times New Roman"/>
          <w:b/>
          <w:sz w:val="24"/>
        </w:rPr>
        <w:t>Excepţia prescripţiei dreptului de a obţine executarea silită.</w:t>
      </w:r>
    </w:p>
    <w:p w:rsidR="003A6823">
      <w:pPr>
        <w:ind w:firstLine="567"/>
        <w:jc w:val="both"/>
        <w:rPr>
          <w:rStyle w:val="Fontdeparagrafimplicit"/>
        </w:rPr>
      </w:pPr>
    </w:p>
    <w:p w:rsidR="003A6823">
      <w:pPr>
        <w:ind w:firstLine="567"/>
        <w:jc w:val="both"/>
      </w:pPr>
      <w:r>
        <w:t xml:space="preserve">Cu privire la </w:t>
      </w:r>
      <w:r>
        <w:rPr>
          <w:rStyle w:val="Fontdeparagrafimplicit"/>
          <w:b/>
          <w:i/>
        </w:rPr>
        <w:t>excepţia prescripţiei dreptului de a obţine executarea silită</w:t>
      </w:r>
      <w:r>
        <w:t>¸ Curtea observă că cererea prevăzută de art. 24 alin. 3 din Legea nr. 554/2004, având ca obiect aplicarea amenzii şi stabilirea de penalităţi poate fi formulată „</w:t>
      </w:r>
      <w:r>
        <w:rPr>
          <w:rStyle w:val="Fontdeparagrafimplicit"/>
          <w:i/>
        </w:rPr>
        <w:t>în termenul de prescripţie a dreptului de a obţine executarea silită</w:t>
      </w:r>
      <w:r>
        <w:t>”. În lipsa unor dispoziţii speciale contrare, termenul de prescripţie a dreptului de a obţine executarea silită aplicabil în cauză este cel de drept comun, conform art. 28 din Legea nr. 554/2004, prevăzut de art. 706 alin.1 CPC, respectiv 3 ani, iar acesta curge, conform alin.2 teza întâi, „</w:t>
      </w:r>
      <w:r>
        <w:rPr>
          <w:rStyle w:val="Fontdeparagrafimplicit"/>
          <w:i/>
        </w:rPr>
        <w:t>de la data când se naşte dreptul de a obţine executarea silită</w:t>
      </w:r>
      <w:r>
        <w:t>”.</w:t>
      </w:r>
    </w:p>
    <w:p w:rsidR="003A6823">
      <w:pPr>
        <w:ind w:firstLine="567"/>
        <w:jc w:val="both"/>
      </w:pPr>
      <w:r>
        <w:t>În cauză, titlul executoriu – decizia ÎCCJ – SCAF nr.</w:t>
      </w:r>
      <w:r w:rsidR="00DE183F">
        <w:t>.............</w:t>
      </w:r>
      <w:r>
        <w:t xml:space="preserve">– nu prevede un anumit termen pentru executarea obligaţiei stabilite în cuprinsul său astfel că, în temeiul art. 24 alin.1 teza finală din Legea nr. 554/2004, executarea trebuia efectuată în cel mult 30 de  zile de la data rămânerii definitive a hotărârii, acesta fiind şi momentul la care se naşte dreptul creditorului de a obţine executarea silită.  </w:t>
      </w:r>
    </w:p>
    <w:p w:rsidR="003A6823">
      <w:pPr>
        <w:ind w:firstLine="567"/>
        <w:jc w:val="both"/>
      </w:pPr>
      <w:r>
        <w:t>În acest sens, pot fi reţinute şi considerentele Înaltei Curţi de Casaţie şi Justiţie din decizia nr. 21/2021 pronunţată de Completul pentru dezlegarea unor chestiuni de drept, unde, cu ocazia analizării procedurii instituite de art.24 din Legea nr.554/2004, s-a arătat la pct. 62 că: „</w:t>
      </w:r>
      <w:r>
        <w:rPr>
          <w:rStyle w:val="Fontdeparagrafimplicit"/>
          <w:i/>
        </w:rPr>
        <w:t>Astfel, procedura specială de executare reglementată de Legea nr.554/2004 se declanşează la cererea creditorului, care poate acţiona în cadrul termenului de prescripţie a executării silite de 3 ani prevăzut de art. 706 alin. 1 din Codul de procedură civilă, termen care începe să curgă de la data stabilită în hotărâre pentru executarea acesteia sau, în lipsa unei astfel de dispoziţii, în 30 de zile de la data rămânerii definitive a hotărârii</w:t>
      </w:r>
      <w:r>
        <w:t>”.</w:t>
      </w:r>
    </w:p>
    <w:p w:rsidR="003A6823">
      <w:pPr>
        <w:ind w:firstLine="567"/>
        <w:jc w:val="both"/>
      </w:pPr>
      <w:r>
        <w:t>Prin urmare, în cauză, termenul de prescripţie a dreptului de a obţine executarea silită este de 3 ani şi a început să curgă după expirarea a 30 de zile de la data rămânerii definitive a titlului executoriu.</w:t>
      </w:r>
    </w:p>
    <w:p w:rsidR="003A6823">
      <w:pPr>
        <w:ind w:firstLine="567"/>
        <w:jc w:val="both"/>
      </w:pPr>
      <w:r>
        <w:t>Deoarece titlul executoriu este reprezentat de decizia civilă nr.</w:t>
      </w:r>
      <w:r w:rsidR="00DE183F">
        <w:t>.............</w:t>
      </w:r>
      <w:r>
        <w:t xml:space="preserve">pronunţată de Înalta Curte de Casaţie şi Justiţie care este definitivă, cele 30 de zile în care pârâtul-debitor avea dreptul de a-şi executa voluntar obligaţia au început să curgă chiar la momentul pronunţării hotărârii şi au expirat la data de 08.06.2019. </w:t>
      </w:r>
    </w:p>
    <w:p w:rsidR="003A6823">
      <w:pPr>
        <w:ind w:firstLine="567"/>
        <w:jc w:val="both"/>
      </w:pPr>
      <w:r>
        <w:t xml:space="preserve">Ca atare, termenul de prescripţie a dreptului de a obţine executarea silită a început să curgă la data de 08.06.2019 şi, în lipsa vreunei cauze de întrerupere sau suspendare, ar fi expirat în data de 08.06.2022. </w:t>
      </w:r>
    </w:p>
    <w:p w:rsidR="003A6823">
      <w:pPr>
        <w:ind w:firstLine="567"/>
        <w:jc w:val="both"/>
      </w:pPr>
      <w:r>
        <w:t xml:space="preserve">Curtea observă însă că a operat în cauză suspendarea termenului de prescripţie, în baza art. 41 din anexa nr.1 la Decretul nr. 195/16.03.2020 emis de Preşedintele României şi art. 62 din anexa nr.1 la Decretul nr. 240/2020 emis de Preşedintele României  (privind instituirea, respectiv prelungirea stării de urgenţă pe teritoriul României), pentru perioada stării de urgenţă, anume 16.03.2020-14.05.2020 (60 zile). </w:t>
      </w:r>
    </w:p>
    <w:p w:rsidR="003A6823">
      <w:pPr>
        <w:ind w:firstLine="567"/>
        <w:jc w:val="both"/>
      </w:pPr>
      <w:r>
        <w:t xml:space="preserve">Prin urmare, faţă de art.708 CPC, termenul de prescripţie a încetat să mai curgă în perioada arătată anterior şi a fost reluat după încetarea suspendării, socotindu-se şi timpul scurs înainte de suspendare, astfel că, în cauză, acesta a expirat în data de 07.08.2022. </w:t>
      </w:r>
    </w:p>
    <w:p w:rsidR="003A6823">
      <w:pPr>
        <w:ind w:firstLine="567"/>
        <w:jc w:val="both"/>
      </w:pPr>
      <w:r>
        <w:t xml:space="preserve">Deoarece cererea de executare silită a fost transmisă prin poştă la 08.08.2022, Curtea observă că aceasta a fost formulată după expirarea termenului de prescripţie în discuţie. </w:t>
      </w:r>
    </w:p>
    <w:p w:rsidR="003A6823">
      <w:pPr>
        <w:ind w:firstLine="567"/>
        <w:jc w:val="both"/>
      </w:pPr>
      <w:r>
        <w:t>Prin urmare, Curtea va admite excepţia prescripţiei dreptului de a obţine executarea silită invocată prin întâmpinare, cu consecinţa respingerii cererii de executare silită, ca urmare a intervenirii prescripţie dreptului de a cere executarea silită</w:t>
      </w:r>
    </w:p>
    <w:p w:rsidR="003A6823">
      <w:pPr>
        <w:ind w:firstLine="567"/>
        <w:jc w:val="both"/>
      </w:pPr>
      <w:r>
        <w:tab/>
        <w:t xml:space="preserve">În ceea e priveşte cererea de sesizare a Curţii Constituţionale cu excepţia de neconstituţionalitate a art. 9 ultima teză din anexa 1 a O.U.G. nr. 49/1997 privind înfiinţarea societăţii </w:t>
      </w:r>
      <w:r w:rsidR="0006624B">
        <w:t>CD</w:t>
      </w:r>
      <w:r>
        <w:t xml:space="preserve"> S.A., prin raportare la prevederile art. 1 alin. 3-5 şi art. 16 alin. 2 din Constituţie, precum şi excepţia de nelegalitate a H.G. nr. 746/2002, Curtea, reţinând că acestea nu vizează aspecte legate de excepţiile dezlegate prin prezenta sentinţă, apreciază că nu se impune examinarea lor. </w:t>
      </w:r>
    </w:p>
    <w:p w:rsidR="003A6823"/>
    <w:p w:rsidR="003A6823">
      <w:pPr>
        <w:jc w:val="center"/>
        <w:rPr>
          <w:rStyle w:val="Fontdeparagrafimplicit"/>
          <w:b/>
        </w:rPr>
      </w:pPr>
      <w:r>
        <w:rPr>
          <w:rStyle w:val="Fontdeparagrafimplicit"/>
          <w:b/>
        </w:rPr>
        <w:t>PENTRU ACESTE MOTIVE,</w:t>
      </w:r>
    </w:p>
    <w:p w:rsidR="003A6823">
      <w:pPr>
        <w:jc w:val="center"/>
        <w:rPr>
          <w:rStyle w:val="Fontdeparagrafimplicit"/>
          <w:b/>
        </w:rPr>
      </w:pPr>
      <w:r>
        <w:rPr>
          <w:rStyle w:val="Fontdeparagrafimplicit"/>
          <w:b/>
        </w:rPr>
        <w:t xml:space="preserve">ÎN NUMELE LEGII, </w:t>
      </w:r>
    </w:p>
    <w:p w:rsidR="003A6823">
      <w:pPr>
        <w:jc w:val="center"/>
        <w:rPr>
          <w:rStyle w:val="Fontdeparagrafimplicit"/>
          <w:b/>
        </w:rPr>
      </w:pPr>
      <w:r>
        <w:rPr>
          <w:rStyle w:val="Fontdeparagrafimplicit"/>
          <w:b/>
        </w:rPr>
        <w:t>HOTĂRĂŞTE:</w:t>
      </w:r>
    </w:p>
    <w:p w:rsidR="003A6823">
      <w:pPr>
        <w:rPr>
          <w:rStyle w:val="Fontdeparagrafimplicit"/>
          <w:b/>
        </w:rPr>
      </w:pPr>
    </w:p>
    <w:p w:rsidR="003A6823">
      <w:pPr>
        <w:jc w:val="both"/>
      </w:pPr>
      <w:r>
        <w:rPr>
          <w:rStyle w:val="Fontdeparagrafimplicit"/>
          <w:b/>
        </w:rPr>
        <w:tab/>
      </w:r>
      <w:r>
        <w:t>Respinge excepţiile necompetenţei materiale, lipsei calităţii procesuale active şi inadmisibilităţii, canefondate.</w:t>
      </w:r>
    </w:p>
    <w:p w:rsidR="003A6823">
      <w:pPr>
        <w:ind w:firstLine="708"/>
        <w:jc w:val="both"/>
      </w:pPr>
      <w:r>
        <w:t xml:space="preserve">Admite excepţia prescripţiei dreptului de a cere executarea silită. </w:t>
      </w:r>
    </w:p>
    <w:p w:rsidR="003A6823">
      <w:pPr>
        <w:ind w:firstLine="708"/>
        <w:jc w:val="both"/>
      </w:pPr>
      <w:r>
        <w:t>Respinge cererea de chemare în judecată formulată de reclamantul</w:t>
      </w:r>
      <w:r w:rsidR="0006624B">
        <w:rPr>
          <w:rStyle w:val="Fontdeparagrafimplicit"/>
          <w:b/>
        </w:rPr>
        <w:t xml:space="preserve"> AB</w:t>
      </w:r>
      <w:r>
        <w:t>, cu domiciliul procesual ales la cabinet avocat</w:t>
      </w:r>
      <w:r w:rsidR="0006624B">
        <w:t xml:space="preserve"> DE, în ...........</w:t>
      </w:r>
      <w:r>
        <w:t xml:space="preserve">, B-dul </w:t>
      </w:r>
      <w:r w:rsidR="0006624B">
        <w:t>.......... nr........., bl........., et........., ap.........</w:t>
      </w:r>
      <w:r>
        <w:t>, judeţul</w:t>
      </w:r>
      <w:r w:rsidR="0006624B">
        <w:t xml:space="preserve"> ..........</w:t>
      </w:r>
      <w:r>
        <w:t xml:space="preserve">, în contradictoriu cu pârâţii </w:t>
      </w:r>
      <w:r>
        <w:rPr>
          <w:rStyle w:val="Fontdeparagrafimplicit"/>
          <w:b/>
        </w:rPr>
        <w:t xml:space="preserve">Guvernul României </w:t>
      </w:r>
      <w:r>
        <w:t xml:space="preserve">şi </w:t>
      </w:r>
      <w:r>
        <w:rPr>
          <w:rStyle w:val="Fontdeparagrafimplicit"/>
          <w:b/>
        </w:rPr>
        <w:t>Primul Ministru al României</w:t>
      </w:r>
      <w:r>
        <w:t xml:space="preserve"> - </w:t>
      </w:r>
      <w:r w:rsidR="00DE183F">
        <w:rPr>
          <w:rStyle w:val="Fontdeparagrafimplicit"/>
          <w:b/>
        </w:rPr>
        <w:t>BC</w:t>
      </w:r>
      <w:r>
        <w:rPr>
          <w:rStyle w:val="Fontdeparagrafimplicit"/>
          <w:b/>
        </w:rPr>
        <w:t xml:space="preserve">, </w:t>
      </w:r>
      <w:r>
        <w:t xml:space="preserve">ambii cu sediul în </w:t>
      </w:r>
      <w:r w:rsidR="00DE183F">
        <w:t>............</w:t>
      </w:r>
      <w:r>
        <w:t xml:space="preserve">, Piaţa </w:t>
      </w:r>
      <w:r w:rsidR="0006624B">
        <w:t>.......... nr..........</w:t>
      </w:r>
      <w:r>
        <w:t xml:space="preserve">, </w:t>
      </w:r>
      <w:r w:rsidR="0006624B">
        <w:t>...........</w:t>
      </w:r>
      <w:r>
        <w:t xml:space="preserve">, ca efect al intervenirii prescripţiei dreptului de a cere executarea silită. </w:t>
      </w:r>
    </w:p>
    <w:p w:rsidR="003A6823">
      <w:pPr>
        <w:ind w:firstLine="708"/>
        <w:jc w:val="both"/>
      </w:pPr>
      <w:r>
        <w:t xml:space="preserve">Cu recurs în 5 zile de la comunicare; cererea de recurs se depune la Curtea de Apel </w:t>
      </w:r>
      <w:r w:rsidR="00DE183F">
        <w:t>............</w:t>
      </w:r>
      <w:r>
        <w:t xml:space="preserve">. </w:t>
      </w:r>
    </w:p>
    <w:p w:rsidR="003A6823">
      <w:pPr>
        <w:ind w:firstLine="708"/>
        <w:jc w:val="both"/>
        <w:rPr>
          <w:rStyle w:val="Fontdeparagrafimplicit"/>
          <w:b/>
        </w:rPr>
      </w:pPr>
      <w:r>
        <w:t xml:space="preserve">Pronunţată azi, </w:t>
      </w:r>
      <w:r w:rsidR="00DE183F">
        <w:t>.............</w:t>
      </w:r>
      <w:r>
        <w:t>, în condiţiile art.402 Cod procedură civilă, prin punerea soluţiei la dispoziţia părţilor de către grefa instanţei</w:t>
      </w:r>
    </w:p>
    <w:p w:rsidR="003A6823">
      <w:pPr>
        <w:jc w:val="both"/>
        <w:rPr>
          <w:rStyle w:val="Fontdeparagrafimplicit"/>
        </w:rPr>
      </w:pPr>
    </w:p>
    <w:p w:rsidR="003A6823">
      <w:pPr>
        <w:jc w:val="both"/>
        <w:rPr>
          <w:rStyle w:val="Fontdeparagrafimplicit"/>
        </w:rPr>
      </w:pPr>
    </w:p>
    <w:p w:rsidR="003A6823">
      <w:pPr>
        <w:tabs>
          <w:tab w:val="left" w:pos="0"/>
        </w:tabs>
        <w:rPr>
          <w:rStyle w:val="Fontdeparagrafimplicit"/>
          <w:b/>
        </w:rPr>
      </w:pPr>
      <w:r>
        <w:rPr>
          <w:rStyle w:val="Fontdeparagrafimplicit"/>
          <w:b/>
        </w:rPr>
        <w:tab/>
        <w:t>PREŞEDINTE,                                                                                   GREFIER,</w:t>
      </w:r>
    </w:p>
    <w:p w:rsidR="003A6823">
      <w:pPr>
        <w:tabs>
          <w:tab w:val="left" w:pos="0"/>
        </w:tabs>
      </w:pPr>
      <w:r>
        <w:tab/>
      </w:r>
      <w:r w:rsidR="00DE183F">
        <w:t>CANDIDAT A0009</w:t>
      </w:r>
      <w:r>
        <w:t xml:space="preserve">                                                                              </w:t>
      </w:r>
      <w:r w:rsidR="00DE183F">
        <w:t>................</w:t>
      </w:r>
      <w:r>
        <w:t xml:space="preserve"> </w:t>
      </w:r>
    </w:p>
    <w:p w:rsidR="003A6823">
      <w:pPr>
        <w:jc w:val="both"/>
        <w:rPr>
          <w:rStyle w:val="Fontdeparagrafimplicit"/>
          <w:sz w:val="20"/>
        </w:rPr>
      </w:pPr>
      <w:r>
        <w:tab/>
      </w:r>
      <w:r w:rsidR="0006624B">
        <w:rPr>
          <w:rStyle w:val="Fontdeparagrafimplicit"/>
          <w:sz w:val="20"/>
        </w:rPr>
        <w:t xml:space="preserve">Red.jud. CANDIDAT A0009 </w:t>
      </w:r>
      <w:r>
        <w:rPr>
          <w:rStyle w:val="Fontdeparagrafimplicit"/>
          <w:sz w:val="20"/>
        </w:rPr>
        <w:t>5ex.</w:t>
      </w:r>
    </w:p>
    <w:p w:rsidR="003A6823">
      <w:pPr>
        <w:rPr>
          <w:rStyle w:val="Fontdeparagrafimplicit"/>
        </w:rPr>
      </w:pPr>
    </w:p>
    <w:p w:rsidR="003A6823">
      <w:pPr>
        <w:rPr>
          <w:rStyle w:val="Fontdeparagrafimplicit"/>
        </w:rPr>
      </w:pPr>
    </w:p>
    <w:p w:rsidR="003A6823">
      <w:pPr>
        <w:jc w:val="center"/>
        <w:rPr>
          <w:rStyle w:val="Fontdeparagrafimplicit"/>
          <w:rFonts w:ascii="Garamond" w:hAnsi="Garamond"/>
          <w:sz w:val="16"/>
        </w:rPr>
      </w:pPr>
    </w:p>
    <w:sectPr w:rsidSect="003A6823">
      <w:headerReference w:type="even" r:id="rId4"/>
      <w:headerReference w:type="default" r:id="rId5"/>
      <w:footerReference w:type="even" r:id="rId6"/>
      <w:footerReference w:type="default" r:id="rId7"/>
      <w:headerReference w:type="first" r:id="rId8"/>
      <w:footerReference w:type="first" r:id="rId9"/>
      <w:pgSz w:w="11906" w:h="16838"/>
      <w:pgMar w:top="1134" w:right="1134"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823">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823">
    <w:pPr>
      <w:pStyle w:val="Subsol"/>
      <w:jc w:val="center"/>
    </w:pPr>
    <w:r>
      <w:fldChar w:fldCharType="begin"/>
    </w:r>
    <w:r w:rsidR="00493924">
      <w:instrText>PAGE   \* MERGEFORMAT</w:instrText>
    </w:r>
    <w:r>
      <w:fldChar w:fldCharType="separate"/>
    </w:r>
    <w:r w:rsidR="00895887">
      <w:rPr>
        <w:noProof/>
      </w:rPr>
      <w:t>1</w:t>
    </w:r>
    <w:r>
      <w:fldChar w:fldCharType="end"/>
    </w:r>
  </w:p>
  <w:p w:rsidR="003A6823">
    <w:pPr>
      <w:pStyle w:val="Subsol"/>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823">
    <w:pPr>
      <w:pStyle w:val="Subsol"/>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823">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823">
    <w:pPr>
      <w:pStyle w:val="Ante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823">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2075A"/>
    <w:multiLevelType w:val="multilevel"/>
    <w:tmpl w:val="509268E6"/>
    <w:lvl w:ilvl="0">
      <w:start w:val="1"/>
      <w:numFmt w:val="decimal"/>
      <w:lvlText w:val="%1."/>
      <w:lvlJc w:val="left"/>
      <w:pPr>
        <w:ind w:left="36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628" w:hanging="144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969" w:hanging="2160"/>
      </w:pPr>
    </w:lvl>
    <w:lvl w:ilvl="8">
      <w:start w:val="1"/>
      <w:numFmt w:val="decimal"/>
      <w:isLgl/>
      <w:lvlText w:val="%1.%2.%3.%4.%5.%6.%7.%8.%9."/>
      <w:lvlJc w:val="left"/>
      <w:pPr>
        <w:ind w:left="4176" w:hanging="2160"/>
      </w:pPr>
    </w:lvl>
  </w:abstractNum>
  <w:abstractNum w:abstractNumId="1">
    <w:nsid w:val="2E2C011D"/>
    <w:multiLevelType w:val="multilevel"/>
    <w:tmpl w:val="9E20D13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compat/>
  <w:rsids>
    <w:rsidRoot w:val="003A6823"/>
    <w:rsid w:val="0006624B"/>
    <w:rsid w:val="003A6823"/>
    <w:rsid w:val="00493924"/>
    <w:rsid w:val="00895887"/>
    <w:rsid w:val="00A0530A"/>
    <w:rsid w:val="00AB2A22"/>
    <w:rsid w:val="00DE183F"/>
  </w:rsids>
  <w:docVars>
    <w:docVar w:name="url" w:val="http://10.1.48.53:80/ecris_cdms/document_upload.aspx?id_document=200000004621510&amp;id_departament=58&amp;id_sesiune=5027878&amp;id_user=928&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82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3A6823"/>
    <w:pPr>
      <w:keepNext/>
      <w:jc w:val="center"/>
      <w:outlineLvl w:val="0"/>
    </w:pPr>
    <w:rPr>
      <w:b/>
      <w:sz w:val="28"/>
      <w:lang w:val="en-US"/>
    </w:rPr>
  </w:style>
  <w:style w:type="paragraph" w:styleId="NormalWeb">
    <w:name w:val="Normal (Web)"/>
    <w:basedOn w:val="Normal"/>
    <w:rsid w:val="003A6823"/>
    <w:pPr>
      <w:spacing w:before="100" w:beforeAutospacing="1" w:after="100" w:afterAutospacing="1"/>
    </w:pPr>
  </w:style>
  <w:style w:type="paragraph" w:customStyle="1" w:styleId="Listparagraf">
    <w:name w:val="Listă paragraf"/>
    <w:basedOn w:val="Normal"/>
    <w:qFormat/>
    <w:rsid w:val="003A6823"/>
    <w:pPr>
      <w:spacing w:after="200" w:line="276" w:lineRule="auto"/>
      <w:ind w:left="720"/>
      <w:contextualSpacing/>
    </w:pPr>
    <w:rPr>
      <w:rFonts w:ascii="Calibri" w:hAnsi="Calibri"/>
      <w:sz w:val="22"/>
    </w:rPr>
  </w:style>
  <w:style w:type="paragraph" w:customStyle="1" w:styleId="Antet">
    <w:name w:val="Antet"/>
    <w:basedOn w:val="Normal"/>
    <w:link w:val="AntetCaracter"/>
    <w:rsid w:val="003A6823"/>
    <w:pPr>
      <w:tabs>
        <w:tab w:val="center" w:pos="4536"/>
        <w:tab w:val="right" w:pos="9072"/>
      </w:tabs>
    </w:pPr>
  </w:style>
  <w:style w:type="paragraph" w:customStyle="1" w:styleId="Subsol">
    <w:name w:val="Subsol"/>
    <w:basedOn w:val="Normal"/>
    <w:link w:val="SubsolCaracter"/>
    <w:rsid w:val="003A6823"/>
    <w:pPr>
      <w:tabs>
        <w:tab w:val="center" w:pos="4536"/>
        <w:tab w:val="right" w:pos="9072"/>
      </w:tabs>
    </w:pPr>
  </w:style>
  <w:style w:type="character" w:styleId="LineNumber">
    <w:name w:val="line number"/>
    <w:basedOn w:val="DefaultParagraphFont"/>
    <w:semiHidden/>
    <w:rsid w:val="003A6823"/>
  </w:style>
  <w:style w:type="character" w:styleId="Hyperlink">
    <w:name w:val="Hyperlink"/>
    <w:rsid w:val="003A6823"/>
    <w:rPr>
      <w:color w:val="0000FF"/>
      <w:u w:val="single"/>
    </w:rPr>
  </w:style>
  <w:style w:type="character" w:customStyle="1" w:styleId="Fontdeparagrafimplicit">
    <w:name w:val="Font de paragraf implicit"/>
    <w:rsid w:val="003A6823"/>
  </w:style>
  <w:style w:type="character" w:customStyle="1" w:styleId="AntetCaracter">
    <w:name w:val="Antet Caracter"/>
    <w:link w:val="Antet"/>
    <w:rsid w:val="003A6823"/>
  </w:style>
  <w:style w:type="character" w:customStyle="1" w:styleId="SubsolCaracter">
    <w:name w:val="Subsol Caracter"/>
    <w:link w:val="Subsol"/>
    <w:rsid w:val="003A6823"/>
  </w:style>
  <w:style w:type="table" w:styleId="TableSimple1">
    <w:name w:val="Table Simple 1"/>
    <w:basedOn w:val="TableNormal"/>
    <w:rsid w:val="003A682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3A6823"/>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20</ap:TotalTime>
  <ap:Pages>6</ap:Pages>
  <ap:Words>3264</ap:Words>
  <ap:Characters>18936</ap:Characters>
  <ap:Application>Microsoft Office Word</ap:Application>
  <ap:DocSecurity>0</ap:DocSecurity>
  <ap:Lines>157</ap:Lines>
  <ap:Paragraphs>44</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22156</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2023-04-04T13:36:00.0000000Z</lastPrinted>
  <dc:subject/>
  <dc:description/>
  <keywords/>
  <category/>
  <contentStatus/>
  <dc:identifier/>
  <dc:language/>
  <version/>
</coreProperties>
</file>