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jpeg" ContentType="image/jpeg"/>
  <Override PartName="/word/media/image2.jpeg" ContentType="image/jpeg"/>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a="http://schemas.openxmlformats.org/drawingml/2006/main" xmlns:pic="http://schemas.openxmlformats.org/drawingml/2006/picture"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bookmarkStart w:name="_Hlk160642845" w:id="0"/>
      <w:r>
        <w:rPr/>
        <w:t>hot.20</w:t>
      </w:r>
    </w:p>
    <w:p>
      <w:pPr>
        <w:pStyle w:val="Normal"/>
        <w:rPr/>
      </w:pPr>
      <w:r>
        <w:rPr/>
        <w:t>Dosar nr. D1</w:t>
      </w:r>
    </w:p>
    <w:p>
      <w:pPr>
        <w:pStyle w:val="Normal"/>
        <w:jc w:val="center"/>
        <w:rPr/>
      </w:pPr>
      <w:r>
        <w:rPr/>
        <w:t>R O M Â N I A</w:t>
      </w:r>
    </w:p>
    <w:p>
      <w:pPr>
        <w:pStyle w:val="Normal"/>
        <w:jc w:val="center"/>
        <w:rPr/>
      </w:pPr>
      <w:r>
        <w:rPr/>
      </w:r>
    </w:p>
    <w:p>
      <w:pPr>
        <w:pStyle w:val="Normal"/>
        <w:jc w:val="center"/>
        <w:rPr/>
      </w:pPr>
      <w:r>
        <w:rPr/>
        <w:t>CURTEA DE APEL ...</w:t>
      </w:r>
    </w:p>
    <w:p>
      <w:pPr>
        <w:pStyle w:val="Normal"/>
        <w:jc w:val="center"/>
        <w:rPr>
          <w:lang w:val="en-US"/>
        </w:rPr>
      </w:pPr>
      <w:r>
        <w:rPr/>
        <w:t>SECŢIA ...</w:t>
      </w:r>
    </w:p>
    <w:p>
      <w:pPr>
        <w:pStyle w:val="Normal"/>
        <w:rPr/>
      </w:pPr>
      <w:r>
        <w:rPr/>
      </w:r>
    </w:p>
    <w:p>
      <w:pPr>
        <w:pStyle w:val="Normal"/>
        <w:jc w:val="center"/>
        <w:rPr/>
      </w:pPr>
      <w:bookmarkStart w:name="tip_incheiere" w:id="1"/>
      <w:r>
        <w:rPr/>
        <w:t>DECIZIE</w:t>
      </w:r>
      <w:bookmarkEnd w:id="1"/>
      <w:r>
        <w:rPr/>
        <w:t xml:space="preserve"> Nr. ....</w:t>
      </w:r>
    </w:p>
    <w:p>
      <w:pPr>
        <w:pStyle w:val="Normal"/>
        <w:jc w:val="center"/>
        <w:rPr/>
      </w:pPr>
      <w:r>
        <w:rPr/>
        <w:t>Şedinţa </w:t>
      </w:r>
      <w:bookmarkStart w:name="tip_sedinta" w:id="2"/>
      <w:r>
        <w:rPr/>
        <w:t>publică</w:t>
      </w:r>
      <w:bookmarkEnd w:id="2"/>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Judecător ...</w:t>
      </w:r>
    </w:p>
    <w:p>
      <w:pPr>
        <w:pStyle w:val="Normal"/>
        <w:jc w:val="center"/>
        <w:rPr/>
      </w:pPr>
      <w:r>
        <w:rPr/>
        <w:t>Judecător ...</w:t>
      </w:r>
    </w:p>
    <w:p>
      <w:pPr>
        <w:pStyle w:val="Normal"/>
        <w:jc w:val="center"/>
        <w:rPr/>
      </w:pPr>
      <w:r>
        <w:rPr/>
        <w:t>Grefier ...</w:t>
      </w:r>
    </w:p>
    <w:p>
      <w:pPr>
        <w:pStyle w:val="Normal"/>
        <w:jc w:val="center"/>
        <w:rPr/>
      </w:pPr>
      <w:r>
        <w:rPr/>
      </w:r>
    </w:p>
    <w:p>
      <w:pPr>
        <w:pStyle w:val="Normal"/>
        <w:jc w:val="center"/>
        <w:rPr/>
      </w:pPr>
      <w:r>
        <w:rPr/>
      </w:r>
    </w:p>
    <w:p>
      <w:pPr>
        <w:pStyle w:val="Normal"/>
        <w:ind w:firstLine="708"/>
        <w:jc w:val="both"/>
        <w:rPr/>
      </w:pPr>
      <w:r>
        <w:rPr/>
        <w:t>Pe rol se află soluţionarea plângerii formulată de reclamanta R1 S.A., împotriva Deciziei nr. DC1 din data de ..., pronunţată de Consiliul Naţional de Soluţionare a Contestaţiilor, în contradictoriu cu pârâtele SOCIETATEA A1 S.A. şi ASOCIEREA B1 SA-C1 S.R.L., având ca obiect litigiu privind achiziţiile publice.</w:t>
      </w:r>
    </w:p>
    <w:p>
      <w:pPr>
        <w:pStyle w:val="Normal"/>
        <w:spacing w:before="0" w:after="0"/>
        <w:ind w:firstLine="708"/>
        <w:contextualSpacing/>
        <w:jc w:val="both"/>
        <w:rPr/>
      </w:pPr>
      <w:r>
        <w:rPr/>
        <w:t>Dezbaterile pe fondul cauzei au avut loc în şedinţa publică din data de ..., fiind consemnate în încheierea de şedinţă din acea dată, care face parte integrantă din prezenta, Curtea amânând pronunţarea pentru data de ..., când, în aceeași compunere, a hotărât următoarele:</w:t>
      </w:r>
    </w:p>
    <w:p>
      <w:pPr>
        <w:pStyle w:val="Normal"/>
        <w:jc w:val="both"/>
        <w:rPr/>
      </w:pPr>
      <w:r>
        <w:rPr/>
      </w:r>
    </w:p>
    <w:p>
      <w:pPr>
        <w:pStyle w:val="Normal"/>
        <w:jc w:val="center"/>
        <w:rPr/>
      </w:pPr>
      <w:r>
        <w:rPr/>
        <w:t>CURTEA</w:t>
      </w:r>
    </w:p>
    <w:p>
      <w:pPr>
        <w:pStyle w:val="Normal"/>
        <w:jc w:val="center"/>
        <w:rPr/>
      </w:pPr>
      <w:r>
        <w:rPr/>
      </w:r>
    </w:p>
    <w:p>
      <w:pPr>
        <w:pStyle w:val="Normal"/>
        <w:rPr/>
      </w:pPr>
      <w:r>
        <w:rPr/>
        <w:tab/>
      </w:r>
    </w:p>
    <w:p>
      <w:pPr>
        <w:pStyle w:val="Normal"/>
        <w:ind w:firstLine="708"/>
        <w:rPr/>
      </w:pPr>
      <w:r>
        <w:rPr/>
      </w:r>
    </w:p>
    <w:p>
      <w:pPr>
        <w:pStyle w:val="Normal"/>
        <w:ind w:firstLine="708"/>
        <w:rPr/>
      </w:pPr>
      <w:r>
        <w:rPr/>
        <w:t>Asupra plângerii de față;</w:t>
      </w:r>
    </w:p>
    <w:p>
      <w:pPr>
        <w:pStyle w:val="Normal"/>
        <w:jc w:val="both"/>
        <w:rPr>
          <w:color w:val="000000"/>
        </w:rPr>
      </w:pPr>
      <w:r>
        <w:rPr>
          <w:color w:val="000000"/>
        </w:rPr>
        <w:tab/>
        <w:t>Prin Decizia nr. DC1 din data de ... pronunțată de Consiliului Național pentru Soluționarea Contestațiilor, în temeiul art. 26 alin. (6)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Național de Soluționare a Contestațiilor, pentru considerentele evocate în motivarea prezentei, s-a respins ca nefondată contestația formulată de R1 SA, în calitate de lider al asocierii R1 SA - A2 SRL - A3 SRL - A4 COM SRL - A5 SRL, în contradictoriu cu SOCIETATEA A1 SA.</w:t>
      </w:r>
    </w:p>
    <w:p>
      <w:pPr>
        <w:pStyle w:val="Normal"/>
        <w:jc w:val="both"/>
        <w:rPr>
          <w:color w:val="000000"/>
        </w:rPr>
      </w:pPr>
      <w:r>
        <w:rPr>
          <w:color w:val="000000"/>
        </w:rPr>
        <w:tab/>
        <w:t>În conformitate cu art. 64 Cod procedura civilă, s-a încuviințat în principiu cererea de intervenție formulată de asocierea B1 SA - C1 SRL, prin liderul de asociere B1 SA, și o admite.</w:t>
      </w:r>
    </w:p>
    <w:p>
      <w:pPr>
        <w:pStyle w:val="Normal"/>
        <w:jc w:val="both"/>
        <w:rPr/>
      </w:pPr>
      <w:r>
        <w:rPr/>
        <w:tab/>
        <w:t>Pentru a pronunța această Decizie, Consiliului Național pentru Soluționarea Contestațiilor, a reținut următoarele:</w:t>
      </w:r>
    </w:p>
    <w:p>
      <w:pPr>
        <w:pStyle w:val="Normal"/>
        <w:jc w:val="both"/>
        <w:rPr>
          <w:color w:val="000000"/>
        </w:rPr>
      </w:pPr>
      <w:r>
        <w:rPr>
          <w:color w:val="000000"/>
        </w:rPr>
        <w:tab/>
        <w:t>În vederea încheierii acordului-cadru având ca obiect Acord Cadru: Servicii de transport salariați de la domiciliu la locul de muncă și retur, pentru U.M.C.... - Sector  ...., cod  ....8 Servicii de transport rutier specializat de pasageri (Rev.2)</w:t>
      </w:r>
      <w:r>
        <w:rPr>
          <w:color w:val="000000"/>
          <w:vertAlign w:val="subscript"/>
        </w:rPr>
        <w:t>f</w:t>
      </w:r>
      <w:r>
        <w:rPr>
          <w:color w:val="000000"/>
        </w:rPr>
        <w:t xml:space="preserve"> SOCIETATEA A1 SA, în calitate de entitate contractantă, a inițiat procedura de licitație deschisă, prin publicarea în SEAP a anunțului de participare nr. CN ....6/20.05.2023.</w:t>
      </w:r>
    </w:p>
    <w:p>
      <w:pPr>
        <w:pStyle w:val="Normal"/>
        <w:jc w:val="both"/>
        <w:rPr>
          <w:color w:val="000000"/>
        </w:rPr>
      </w:pPr>
      <w:r>
        <w:rPr>
          <w:color w:val="000000"/>
        </w:rPr>
        <w:tab/>
        <w:t>Din informațiile anunțului de participare amintit, s-a reținut că valoarea estimată a acordului-cadru de servicii este de 2.237.236,40 lei, fără TVA, valoarea celui mai mare contract subsecvent este de 1.121.540,04 lei, fără TVA, criteriul de atribuire este cel mai bun raport calitate preț, iar data limită de depunere a ofertelor a fost stabilită pentru 22.06.2023, ora 15:00.</w:t>
      </w:r>
    </w:p>
    <w:p>
      <w:pPr>
        <w:pStyle w:val="Normal"/>
        <w:jc w:val="both"/>
        <w:rPr>
          <w:color w:val="000000"/>
        </w:rPr>
      </w:pPr>
      <w:r>
        <w:rPr>
          <w:color w:val="000000"/>
        </w:rPr>
        <w:tab/>
        <w:t>Nemulțumită fiind de rezultatul procedurii de atribuire, comunicat prin Adresa nr.  ....5/15.09.2023 și Raportul procedurii nr.  ....7/DC1/12.09.2023, prin care oferta depusă de asocierea B1 SA - C1 SRL a fost desemnată câștigătoare, oferta asocierii contestatoare R1 SA - A2 SRL - A3 SRL - A4 COM SRL - A5 SRL fiind clasată pe locul 2, asocierea a depus contestația în analiză,.</w:t>
      </w:r>
    </w:p>
    <w:p>
      <w:pPr>
        <w:pStyle w:val="Normal"/>
        <w:jc w:val="both"/>
        <w:rPr>
          <w:color w:val="000000"/>
        </w:rPr>
      </w:pPr>
      <w:r>
        <w:rPr>
          <w:color w:val="000000"/>
        </w:rPr>
        <w:tab/>
        <w:t>Prezintă relevanță în cauză redarea algoritmului de calcul stabilit și precizat de entitatea contractantă în cadrul fișei de date, la secțiunea II.2.5 dedicată criteriului de atribuire.</w:t>
      </w:r>
    </w:p>
    <w:p>
      <w:pPr>
        <w:pStyle w:val="Normal"/>
        <w:jc w:val="both"/>
        <w:rPr>
          <w:color w:val="000000"/>
        </w:rPr>
      </w:pPr>
      <w:r>
        <w:rPr>
          <w:color w:val="000000"/>
        </w:rPr>
        <w:tab/>
        <w:t>Așadar, potrivit documentației de atribuire criteriul de atribuire în cadrul procedurii de achiziție publică a fost Cel mai bun raport calitate - preț, precizându-se factorii de evaluare respectiv : Norma de poluare Euro a parcului de vehicule ofertat cu o pondere de 10% în punctajul final și punctaj maxim de 10 puncte și Prețul ofertei cu o pondere de 90% în punctajul final și punctaj maxim 90 de puncte.</w:t>
      </w:r>
    </w:p>
    <w:p>
      <w:pPr>
        <w:pStyle w:val="Normal"/>
        <w:jc w:val="both"/>
        <w:rPr>
          <w:color w:val="000000"/>
        </w:rPr>
      </w:pPr>
      <w:r>
        <w:rPr>
          <w:color w:val="000000"/>
        </w:rPr>
        <w:tab/>
        <w:t>Relevant pentru entitatea contractantă a fost vizualizarea autovehiculelor și confruntarea parcului auto cu documentele prezentate, cerință imperativ solicitată la pct. VI din cadrul secțiunii dedicate modului de elaborare a propunerii tehnice.</w:t>
      </w:r>
    </w:p>
    <w:p>
      <w:pPr>
        <w:pStyle w:val="Normal"/>
        <w:jc w:val="both"/>
        <w:rPr>
          <w:color w:val="000000"/>
        </w:rPr>
      </w:pPr>
      <w:r>
        <w:rPr>
          <w:color w:val="000000"/>
        </w:rPr>
        <w:tab/>
        <w:t>Procesul de evaluare s-a realizat pe baza informațiilor preliminare prezentate de ofertanți în oferte și a documentelor suplimentare identificate în ofertele prezentate, precum si a vizualizărilor parcurilor active RT1 efectuate de comisia de vizualizare și verificare tehnică numită prin Decizia nr. ...5 din 14.06.2023, rezultatul evaluării fiind consemnat prin procesele-verbale de vizualizare parcuri active RT1, respectiv:</w:t>
      </w:r>
    </w:p>
    <w:p>
      <w:pPr>
        <w:pStyle w:val="Normal"/>
        <w:jc w:val="both"/>
        <w:rPr>
          <w:color w:val="000000"/>
        </w:rPr>
      </w:pPr>
      <w:bookmarkStart w:name="bookmark63" w:id="3"/>
      <w:bookmarkEnd w:id="3"/>
      <w:r>
        <w:rPr>
          <w:color w:val="000000"/>
        </w:rPr>
        <w:tab/>
        <w:t>- nr. ...6/UMCP1/26.06.2023 pentru oferta tehnică depusă de către asocierea B1 SA - C1 SRL;</w:t>
      </w:r>
    </w:p>
    <w:p>
      <w:pPr>
        <w:pStyle w:val="Normal"/>
        <w:jc w:val="both"/>
        <w:rPr>
          <w:color w:val="000000"/>
        </w:rPr>
      </w:pPr>
      <w:bookmarkStart w:name="bookmark64" w:id="4"/>
      <w:bookmarkEnd w:id="4"/>
      <w:r>
        <w:rPr>
          <w:color w:val="000000"/>
        </w:rPr>
        <w:tab/>
        <w:t>- nr. ...3/UMCP1/27.06.2023 pentru oferta tehnică depusă de către asocierea R1 SA - A2 SRL - A3 SRL - A4 COM SRL - A5 SRL.</w:t>
      </w:r>
    </w:p>
    <w:p>
      <w:pPr>
        <w:pStyle w:val="Normal"/>
        <w:jc w:val="both"/>
        <w:rPr>
          <w:color w:val="000000"/>
        </w:rPr>
      </w:pPr>
      <w:r>
        <w:rPr>
          <w:color w:val="000000"/>
        </w:rPr>
        <w:tab/>
        <w:t>Din examinarea proceselor-verbal mai sus amintite, Consiliul determină temeinicia argumentelor achizitoarei, potrivit cărora așa cum se poate observa din procesele-verbale ale comisiei de vizualizare și din analiza comparativă a normelor de poluare ale mijloacelor de transport prezentate de ofertanți, parcul auto al Asocierii formată din B1 S.A. (lider), C1 S.R.L.(asociat) este net superior parcului auto al Asocierii R1 S.A., respectiv al contestatoare!, drept pentru care oferta clasată pe primul loc a obținut punctajul de 8,83 pct., față de cea de-a doua ofertă cu un punctaj de 6,33 pct.</w:t>
      </w:r>
    </w:p>
    <w:p>
      <w:pPr>
        <w:pStyle w:val="Normal"/>
        <w:jc w:val="both"/>
        <w:rPr>
          <w:color w:val="000000"/>
        </w:rPr>
      </w:pPr>
      <w:r>
        <w:rPr>
          <w:color w:val="000000"/>
        </w:rPr>
        <w:tab/>
        <w:t>Vizavi de conținutul comunicării privind rezultatul procedurii, apreciat de contestatoare a fi contrar dispozițiilor art. 228 alin. (2) lit. c) din Legea nr. 99/2016, întrucât nu s-au comunicat caracteristicile și avantajele relative ale ofertei desemnate câștigătoare în raport cu oferta asocierii contestatoare, nicio astfel de comparație nu a fost nici măcar formal redată în actele atacate,</w:t>
      </w:r>
    </w:p>
    <w:p>
      <w:pPr>
        <w:pStyle w:val="Normal"/>
        <w:jc w:val="both"/>
        <w:rPr>
          <w:color w:val="000000"/>
        </w:rPr>
      </w:pPr>
      <w:r>
        <w:rPr>
          <w:color w:val="000000"/>
        </w:rPr>
        <w:tab/>
        <w:t>Ținând seama de detalierea modului de acordare a punctajelor existentă în documentația de atribuire, avantajele relative ale ofertei câștigătoare au permis ofertantei contestatoare să cunoască motivele pentru care punctajul, în privința componentei tehnice și financiare, a fost mai mare pentru societatea câștigătoare, diferențele rezultând din aplicarea celor doi factori de evaluare.</w:t>
      </w:r>
    </w:p>
    <w:p>
      <w:pPr>
        <w:pStyle w:val="Normal"/>
        <w:jc w:val="both"/>
        <w:rPr>
          <w:color w:val="000000"/>
        </w:rPr>
      </w:pPr>
      <w:r>
        <w:rPr>
          <w:color w:val="000000"/>
        </w:rPr>
        <w:tab/>
        <w:t>O altă critică adusă de asocierea contestatoare vizează aspecte legate de modalitatea de elaborare de către asocierea declarată câștigătoare a propunerii tehnice, fiind reclamat faptul că aceasta nu a depus în cadrul propunerii tehnice, prezentarea narativă elaborată în conformitate cu cerințele cap. III [Cerințe privind serviciile solicitate] din caietul de sarcini.</w:t>
      </w:r>
    </w:p>
    <w:p>
      <w:pPr>
        <w:pStyle w:val="Normal"/>
        <w:jc w:val="both"/>
        <w:rPr>
          <w:color w:val="000000"/>
        </w:rPr>
      </w:pPr>
      <w:r>
        <w:rPr>
          <w:color w:val="000000"/>
        </w:rPr>
        <w:tab/>
        <w:t>Se rețin și precizările achizitoarei, în replică la cele reclamate, respectiv faptul că prezentarea narativă nu a fost cerută de entitatea contractantă, deoarece aceasta nu-și dovedea necesitatea și utilitatea în raport cu criteriile avute în vedere în caietul de sarcini și în fișa de date a achiziție. Achizitoarea a adăugat că, relevant pentru entitatea contractantă nu a fost prezentarea narativă a serviciului, cerință care, de altfel, nu a fost solicitată prin fișa de date, ci vizualizarea autovehiculelor și confruntarea parcului auto cu documentele prezentate, cerință expres solicitată.</w:t>
      </w:r>
    </w:p>
    <w:p>
      <w:pPr>
        <w:pStyle w:val="Normal"/>
        <w:jc w:val="both"/>
        <w:rPr>
          <w:color w:val="000000"/>
        </w:rPr>
      </w:pPr>
      <w:r>
        <w:rPr>
          <w:color w:val="000000"/>
        </w:rPr>
        <w:tab/>
        <w:t>Așa cum a fost reținut și de autoarea contestației sunt important de redat prevederile relevante ale caietului de sarcini și ale fișei de date privind modalitatea de prezentare a propunerii tehnice și relevante pentru prezenta speță, respectiv: Fișa de date, secțiunea IV.4.1 [Modul de prezentare al propunerii tehnice], Caietul de sarcini, capitolul VI. DOCUMENTE ȘI DOCUMENTAȚII -VI, 1. Documente și documentații necesare la propunerea tehnică; Caietul de sarcini, cap. II [Cerințe privind prezentarea propunerii tehnice.</w:t>
      </w:r>
    </w:p>
    <w:p>
      <w:pPr>
        <w:pStyle w:val="Normal"/>
        <w:jc w:val="both"/>
        <w:rPr>
          <w:color w:val="000000"/>
        </w:rPr>
      </w:pPr>
      <w:r>
        <w:rPr>
          <w:color w:val="000000"/>
        </w:rPr>
        <w:tab/>
        <w:t>Consiliul a determinat că achizitoarea a stabilit în sarcina ofertanților, printre altele, depunerea următoarelor formulare:</w:t>
      </w:r>
      <w:bookmarkStart w:name="bookmark80" w:id="5"/>
      <w:bookmarkEnd w:id="5"/>
      <w:r>
        <w:rPr>
          <w:color w:val="000000"/>
        </w:rPr>
        <w:t xml:space="preserve"> formular de propunere tehnică, pag. 14 din fișierul Formulare;</w:t>
      </w:r>
      <w:bookmarkStart w:name="bookmark81" w:id="6"/>
      <w:bookmarkEnd w:id="6"/>
      <w:r>
        <w:rPr>
          <w:color w:val="000000"/>
        </w:rPr>
        <w:t xml:space="preserve"> tabelul de la pag. 51 din caietul de sarcini, completat;</w:t>
      </w:r>
      <w:bookmarkStart w:name="bookmark82" w:id="7"/>
      <w:bookmarkEnd w:id="7"/>
      <w:r>
        <w:rPr>
          <w:color w:val="000000"/>
        </w:rPr>
        <w:t xml:space="preserve"> lista cu mijloacele de transport din parcul activ RT1 și lista cu mijloacele de transport din parcul de rezervă activ RT2;</w:t>
      </w:r>
      <w:bookmarkStart w:name="bookmark83" w:id="8"/>
      <w:bookmarkEnd w:id="8"/>
      <w:r>
        <w:rPr>
          <w:color w:val="000000"/>
        </w:rPr>
        <w:t xml:space="preserve"> anexa nr. 4 la caietul de sarcini - Fișele de prezentare ale autovehiculelor de transport persoane (FPA), aflate în RT1 și RT2; în vederea îndeplinirii cerințelor mai sus redate, se au în vedere documentele depuse de asocierea B1 SA - C1 SRL:</w:t>
      </w:r>
      <w:bookmarkStart w:name="bookmark84" w:id="9"/>
      <w:bookmarkEnd w:id="9"/>
      <w:r>
        <w:rPr>
          <w:color w:val="000000"/>
        </w:rPr>
        <w:t xml:space="preserve"> formularul de propunere tehnică pus la dispoziție de către entitatea contractantă, completat, însoțit de tabelul de la pag. 51 din caietul de sarcini, formularul ”Cerințe privind prezentarea propunerii Tehnice</w:t>
      </w:r>
      <w:bookmarkStart w:name="bookmark85" w:id="10"/>
      <w:bookmarkEnd w:id="10"/>
      <w:r>
        <w:rPr>
          <w:color w:val="000000"/>
        </w:rPr>
        <w:t>: formularul RT1- cu autovehicule parc activ însoțite de documentele tehnice ale acestora (Fișa de prezentare a autovehiculului, carte de identitate a autovehiculul, certificatul de înmatriculare cu dovada verificării ITP);</w:t>
      </w:r>
      <w:bookmarkStart w:name="bookmark86" w:id="11"/>
      <w:bookmarkEnd w:id="11"/>
      <w:r>
        <w:rPr>
          <w:color w:val="000000"/>
        </w:rPr>
        <w:t xml:space="preserve"> formularul RT2- cu autovehicule parc de rezervă însoțite de documentele tehnice ale acestora (Fișa de prezentare a autovehiculului, carte de identitate a autovehiculul, certificatul de înmatriculare cu dovada verificării ITP);</w:t>
      </w:r>
      <w:bookmarkStart w:name="bookmark87" w:id="12"/>
      <w:bookmarkEnd w:id="12"/>
      <w:r>
        <w:rPr>
          <w:color w:val="000000"/>
        </w:rPr>
        <w:t xml:space="preserve"> Declarația disponibilitate pentru Comisia de evaluare și vizualizare a autovehiculelor de transport salariați ofertate conform RT1 și RT2.</w:t>
      </w:r>
    </w:p>
    <w:p>
      <w:pPr>
        <w:pStyle w:val="Normal"/>
        <w:jc w:val="both"/>
        <w:rPr>
          <w:color w:val="000000"/>
        </w:rPr>
      </w:pPr>
      <w:r>
        <w:rPr>
          <w:color w:val="000000"/>
        </w:rPr>
        <w:tab/>
        <w:t>Din examinarea Formularului de Propunere tehnică elaborat de asocierea B1 SA - C1 SRL, se reține ca asocierea ofertanta a precizat la fiecare capitol că a luat la cunoștință cerințele din caietul de sarcini. De asemenea, a completat și modalitatea de îndeplinire a acestor cerințe, prin anexarea formularului de propunere tehnică a formularului ”Cerințe privind prezentarea propunerii Tehnice”.</w:t>
      </w:r>
    </w:p>
    <w:p>
      <w:pPr>
        <w:pStyle w:val="Normal"/>
        <w:jc w:val="both"/>
        <w:rPr>
          <w:color w:val="000000"/>
        </w:rPr>
      </w:pPr>
      <w:r>
        <w:rPr>
          <w:color w:val="000000"/>
        </w:rPr>
        <w:tab/>
        <w:t>Cu titlu de exemplu, Consiliu a redat modalitatea în care asocierea B1 SA - C1 SRL a elaborat formularul de propunere tehnică, mai exact: Cap. HI. Cerințe privind serviciul solicitat (III. l, III.2, III.2.1, III.3, : III.4).</w:t>
      </w:r>
    </w:p>
    <w:p>
      <w:pPr>
        <w:pStyle w:val="Normal"/>
        <w:jc w:val="both"/>
        <w:rPr>
          <w:color w:val="000000"/>
        </w:rPr>
      </w:pPr>
      <w:r>
        <w:rPr>
          <w:color w:val="000000"/>
        </w:rPr>
        <w:tab/>
        <w:t>Cu titlu de exemplu, Consiliu a redat modalitatea în care asocierea R1 SA - A2 SRL - A3 SRL - A4 COM SRL - A5 SRL, a prezentat formularul de propunere tehnică.</w:t>
      </w:r>
    </w:p>
    <w:p>
      <w:pPr>
        <w:pStyle w:val="Normal"/>
        <w:jc w:val="both"/>
        <w:rPr>
          <w:color w:val="000000"/>
        </w:rPr>
      </w:pPr>
      <w:r>
        <w:rPr>
          <w:color w:val="000000"/>
        </w:rPr>
        <w:tab/>
        <w:t>Asocierea R1 SA - A2 SRL - A3 SRL - A4 COM SRL - A5 SRL. a prezentat și tabelul de la pag. 51 din caietul de sarcini, formularul intitulat ”Cerințe privind prezentarea propunerii Tehnice”.</w:t>
      </w:r>
    </w:p>
    <w:p>
      <w:pPr>
        <w:pStyle w:val="Normal"/>
        <w:jc w:val="both"/>
        <w:rPr>
          <w:color w:val="000000"/>
        </w:rPr>
      </w:pPr>
      <w:r>
        <w:rPr>
          <w:color w:val="000000"/>
        </w:rPr>
        <w:tab/>
        <w:t xml:space="preserve">Împrejurarea că asocierea R1 SA - A2 SRL - A3 SRL - A4 COM SRL - A5 SRL, a ales să redea, în mod narativ (și nu tabelar, astfel cum era precizată cerința în fișa de date, la secțiunea IV.4.1 [Modul de prezentare al propunerii tehnice] nu este de natură la a conduce la constatarea neconformității ofertei asocierii B1 SA - C1 SRL (care a elaborat formularul de propunere tehnică în mod tabelar) generată de pretinsa nerespectare a cerințelor caietului de sarcini și pe cale de consecință sancționarea ofertantei reclamate cu respingerea pe motiv că aceasta nu îndeplinește condițiile de formă aferente elaborării și prezentării sale. </w:t>
      </w:r>
    </w:p>
    <w:p>
      <w:pPr>
        <w:pStyle w:val="Normal"/>
        <w:jc w:val="both"/>
        <w:rPr>
          <w:color w:val="000000"/>
        </w:rPr>
      </w:pPr>
      <w:r>
        <w:rPr>
          <w:color w:val="000000"/>
        </w:rPr>
        <w:tab/>
        <w:t>Chiar dacă asocierea nu a reluat în mod detaliat în cuprinsul formularului de propunere tehnică prevederile din caietul de sarcini de ia capitolul III Cerințe privind serviciile solicitate și a precizat că a luat ia cunoștință despre cerințele prezentate la capitolul III, această detaliere se regăsește în cadrul tabelului ”Cerințe privind prezentarea propunerii Tehnice", (solicitat la pagina 51 a caietului de sarcini) prin care a asocierea a prezentat modalitatea de îndeplinire a respectivelor cerințe.</w:t>
      </w:r>
    </w:p>
    <w:p>
      <w:pPr>
        <w:pStyle w:val="Normal"/>
        <w:jc w:val="both"/>
        <w:rPr>
          <w:color w:val="000000"/>
        </w:rPr>
      </w:pPr>
      <w:r>
        <w:rPr>
          <w:color w:val="000000"/>
        </w:rPr>
        <w:tab/>
        <w:t>În mod similar, aceeași concluzie de netemeinicie, a fost reținută de Consiliu și vizavi de susținerile contestatoarei, potrivit cărora Simpla declarare pe proprie răspundere a respectării cerințelor Caietului de sarcini nu echivalează cu întocmirea unei propuneri tehnice prin care s-a solicitat detalierea cerințelor Caietului de sarcini și probarea îndeplinirii acestora^ prin raportare la modalitatea în care asocierea B1 SA - C1 SRL, așa cum a fost anterior reținut, a prezentat formularul "Propunere Tehnică " completat prin prezentarea narativă a rubricii "Informații prezentate in Propunerea tehnica pentru demonstrarea îndeplinirii cerinței minime", de exemplu, la "Cap. III. Cerințe privind serviciul solicitat (III.I, III.2, 111.2.1,111.3,111.4)”.</w:t>
      </w:r>
    </w:p>
    <w:p>
      <w:pPr>
        <w:pStyle w:val="Normal"/>
        <w:jc w:val="both"/>
        <w:rPr>
          <w:color w:val="000000"/>
        </w:rPr>
      </w:pPr>
      <w:r>
        <w:rPr>
          <w:color w:val="000000"/>
        </w:rPr>
        <w:tab/>
        <w:t>Modalitatea de îndeplinire a respectivelor susțineri se regăsește în cadrul formularului "Cerințe privind prezentarea propunerii Tehnice”.</w:t>
      </w:r>
    </w:p>
    <w:p>
      <w:pPr>
        <w:pStyle w:val="Normal"/>
        <w:jc w:val="both"/>
        <w:rPr>
          <w:color w:val="000000"/>
        </w:rPr>
      </w:pPr>
      <w:r>
        <w:rPr>
          <w:color w:val="000000"/>
        </w:rPr>
        <w:tab/>
        <w:t>De altfel, s-a constatat că inclusiv achizitoarea a precizat în cadrul tabelului solicitat a fi prezentat din caietul de sarcini, la capitolul II [Cerințe privind prezentarea propunerii tehnice], pag. 51: "(...) Propunerea tehnică se va întocmi în conformitate cu cerințele Capitolului III din caietul de sarcini și va prezenta toate elementele solicitate si angajamente privind îndeplinirea condițiilor impuse,</w:t>
      </w:r>
    </w:p>
    <w:p>
      <w:pPr>
        <w:pStyle w:val="Normal"/>
        <w:jc w:val="both"/>
        <w:rPr>
          <w:color w:val="000000"/>
        </w:rPr>
      </w:pPr>
      <w:r>
        <w:rPr>
          <w:color w:val="000000"/>
        </w:rPr>
        <w:tab/>
        <w:t>Contrar celor susținute de contestatoare, mai exact: (...) în cadrul propunem tehnice, Asocierea B1 a prezentat exclusiv (i) formularul de ofertă tehnică în cadrul căruia a completat doar faptul că a luat la cunoștință de prevederile Caietului de sarcini și (ii) tabelul de la pag. 51 din Caietul de sarcini aferent cap. II [Cerințe privind prezentarea propunerii tehnice], în care a completat doar "DA" în coloana 4, fără însă să includă o descriere efectivă a modalității prin care a înțeles să respecte cerințele minime obligatorii ale Caietului de sarcini" din examinarea comparativă a formularelor elaborate de ambele ofertante, astfel cum au fost mai sus redate, se constată că asocierea B1 SA - C1 SRL a completat la rubrica 4 - DA și a detaliat la rubrica 5 - documentele din cadrul propunerii tehnice în care se regăsesc respectivele cerințe, asocierea contestatoare completând doar rubrica 4, prin precizarea ”DA”.</w:t>
      </w:r>
    </w:p>
    <w:p>
      <w:pPr>
        <w:pStyle w:val="Normal"/>
        <w:jc w:val="both"/>
        <w:rPr>
          <w:color w:val="000000"/>
        </w:rPr>
      </w:pPr>
      <w:r>
        <w:rPr>
          <w:color w:val="000000"/>
        </w:rPr>
        <w:tab/>
        <w:t>Recapitulând cele anterior precizate, se constată că formularele depuse de asocierea B1 SA - C1 SRL conțin toți parametri tehnici solicitați prin documentația de atribuire, fiind depuse și documentele autovehiculelor de transport (copie conformă, certificat de înmatriculare cu ITP valabil, carte de identitate a autovehiculului) în care se regăsesc informațiile tehnice solicitate.</w:t>
      </w:r>
    </w:p>
    <w:p>
      <w:pPr>
        <w:pStyle w:val="Normal"/>
        <w:jc w:val="both"/>
        <w:rPr>
          <w:color w:val="000000"/>
        </w:rPr>
      </w:pPr>
      <w:r>
        <w:rPr>
          <w:color w:val="000000"/>
        </w:rPr>
        <w:tab/>
        <w:t>Informațiile cuprinse în formularul de propunere tehnică, care a fost însoțit de tabelul "Cerințe privind prezentarea propunerii Tehnice”, (solicitat la pagina 51 a caietului de sarcini) acoperă cerințele solicitate de achizitoare și se situează în limitele exigențelor de legalitate și temeinicie pentru a fi considerate suficiente și credibile și putând fi valorizate de achizitoare.</w:t>
      </w:r>
    </w:p>
    <w:p>
      <w:pPr>
        <w:pStyle w:val="Normal"/>
        <w:jc w:val="both"/>
        <w:rPr>
          <w:color w:val="000000"/>
        </w:rPr>
      </w:pPr>
      <w:r>
        <w:rPr>
          <w:color w:val="000000"/>
        </w:rPr>
        <w:tab/>
        <w:t>Este adevărat că asocierea nu a reluat în mod detaliat în cuprinsul formularului de propunere tehnică prevederile din caietul de sarcini de la capitolul III Cerințe privind serviciile solicitate și a precizat că a luat la cunoștință despre cerințele prezentate la capitolul III. Cerințe privind serviciile solicitate, însă din cuprinsul formularelor depuse de asocierea B1 SA - C1 SRL, respectiv formularul de propunere tehnică, tabelul de la pag. 51 din caietul de sarcini, intitulat "Cerințe privind prezentarea propunerii Tehnice", documentele autovehiculelor de transport (copie conformă, certificat de înmatriculare cu ITP valabil, carte de identitate a autovehiculului în care se regăsesc informațiile tehnice) achizitoarea a identificat toți parametrii tehnici solicitați prin documentația de atribuire.</w:t>
      </w:r>
    </w:p>
    <w:p>
      <w:pPr>
        <w:pStyle w:val="Normal"/>
        <w:jc w:val="both"/>
        <w:rPr>
          <w:color w:val="000000"/>
        </w:rPr>
      </w:pPr>
      <w:r>
        <w:rPr>
          <w:color w:val="000000"/>
        </w:rPr>
        <w:tab/>
        <w:t>În concluzie, Consiliul a achiesat la concluziile la care a ajuns entitatea contractantă, respectiv ca propunerea tehnică depusă de asocierea B1 SA - C1 SRL îndeplinește cerințele de conformitate și acceptabilitate, fiind depuse toate formularele și documentele solicitate prin documentația de atribuire, criticile formulate vizavi de modalitatea de prezentare a propunerii tehnice, sub aspectul pretinsei lipse a prezentării narativă elaborată în conformitate cu cerințele cap. III [Cerințe privind serviciile solicitate] din Caietul de sarcini fiind neîntemeiate.</w:t>
      </w:r>
    </w:p>
    <w:p>
      <w:pPr>
        <w:pStyle w:val="Normal"/>
        <w:jc w:val="both"/>
        <w:rPr>
          <w:color w:val="000000"/>
        </w:rPr>
      </w:pPr>
      <w:r>
        <w:rPr>
          <w:color w:val="000000"/>
        </w:rPr>
        <w:tab/>
        <w:t>Autoarea contestației reclamă și modalitatea de evaluare realizată de membrii comisiei cu privire la propunerea financiară elaborată de asocierea declarată câștigătoare. Astfel, sunt avute în vedere aspecte legate de pretinsa nesustenabilitate a prețului ofertat și pretinse erori în modalitatea de formare a prețului final ofertat. Sunt reclamate și aspecte privind nelegalitatea acceptării de către achizitoare a unei oferte care, inițial, nu includea toate componentele impuse prin cerințele explicite ale fișei de date și ale caietului de sarcini și adăugarea unor documente ulterior.</w:t>
      </w:r>
    </w:p>
    <w:p>
      <w:pPr>
        <w:pStyle w:val="Normal"/>
        <w:jc w:val="both"/>
        <w:rPr>
          <w:color w:val="000000"/>
        </w:rPr>
      </w:pPr>
      <w:r>
        <w:rPr>
          <w:color w:val="000000"/>
        </w:rPr>
        <w:tab/>
        <w:t>Astfel, argumentele aduse de autoarea contestației în favoarea criticilor formulate se bazează pe următoarele aspecte:</w:t>
      </w:r>
      <w:bookmarkStart w:name="bookmark104" w:id="13"/>
      <w:bookmarkStart w:name="bookmark105" w:id="14"/>
      <w:bookmarkEnd w:id="13"/>
      <w:bookmarkEnd w:id="14"/>
    </w:p>
    <w:p>
      <w:pPr>
        <w:pStyle w:val="Normal"/>
        <w:jc w:val="both"/>
        <w:rPr>
          <w:color w:val="000000"/>
        </w:rPr>
      </w:pPr>
      <w:r>
        <w:rPr>
          <w:color w:val="000000"/>
        </w:rPr>
        <w:tab/>
        <w:t>-elementele din costul denumit „cheltuieli auto„ au fost indicate sub formă de procentaj, fără a se indica baza în raport de care acesta urmează a se aplica; concret, în calculațiile pentru traseul cu cod 4.1 / 23.1 / 39.1, au fost indicate în sensul că „consum mediu motorina : 12%, lubrifianți: 2%, cheltuieli materiale: 7%, amortisment: 6%", rezultând, astfel, valoarea de 0,66 lei/km fără a se arăta modul concret prin care aceasta a fost calculată. Prin urmare, modalitatea de calcul a acestui cost nu ar fi putut fi în mod obiectiv, verificată de către entitatea contractantă;</w:t>
      </w:r>
    </w:p>
    <w:p>
      <w:pPr>
        <w:pStyle w:val="Normal"/>
        <w:jc w:val="both"/>
        <w:rPr>
          <w:color w:val="000000"/>
        </w:rPr>
      </w:pPr>
      <w:bookmarkStart w:name="bookmark106" w:id="15"/>
      <w:bookmarkEnd w:id="15"/>
      <w:r>
        <w:rPr>
          <w:color w:val="000000"/>
        </w:rPr>
        <w:tab/>
        <w:t>- au fost avute în vedere atât cheltuieli având ca obiect „rata leasing", cât și ca obiect „amortisment" care reprezintă, de fapt, o dublare a valorii aferente costului vehiculului ofertat; entitatea contractă nu a solicitat clarificarea acestor aspecte, deși demonstrează dincolo de orice dubiu caracterul nesustenabil al prețului ofertat;</w:t>
      </w:r>
    </w:p>
    <w:p>
      <w:pPr>
        <w:pStyle w:val="Normal"/>
        <w:jc w:val="both"/>
        <w:rPr>
          <w:color w:val="000000"/>
        </w:rPr>
      </w:pPr>
      <w:r>
        <w:rPr>
          <w:color w:val="000000"/>
        </w:rPr>
        <w:tab/>
        <w:t>- deși pentru traseul cu cod 4.1 / 23.1 / 39.1 Asocierea B1 nu a considerat necesară includerea în prețul ofertat și a costului cu mecanicul auto (indicând că acesta ar fi fost alocat cu doar o (zero) ore / zi), a rezultat totuși un cost diferit de o (zero), respectiv costul de 0,01 lei/km; deși această valoare este infimă, circumstanțiază modalitatea superficială cu care, de fapt, ofertantul câștigător a depus oferta în Procedura de atribuire; nici dacă costul cu mecanicul auto a fost sau nu inclus de ofertat pentru acest cod de traseu nu a fost clarificat de către Entitatea contractantă care, de altfel, a omis să verifice si corelarea acestor aspecte cu propunerea tehnică, precum si motivul Pentru care doar pentru acest traseu nu s-ar  impune acest cost (deși pentru celelalte trasee, ofertantul l-a considerat totuși necesar a fi cotat cu o (a) ora / zi).</w:t>
      </w:r>
    </w:p>
    <w:p>
      <w:pPr>
        <w:pStyle w:val="Normal"/>
        <w:jc w:val="both"/>
        <w:rPr>
          <w:color w:val="000000"/>
        </w:rPr>
      </w:pPr>
      <w:r>
        <w:rPr>
          <w:color w:val="000000"/>
        </w:rPr>
        <w:tab/>
        <w:t>- nu au fost depuse documente justificative care să demonstreze costurile aferente componentelor prețului total, ci exclusiv au fost redate anumite valori dintre care unele chiar în mod neclar, nefundamentat și care denotă inclusiv un caracter neobișnuit de scăzut. Or, cerința Fișei de date statuează explicit necesitatea de a fi depuse „documentele de fundamentare a valorii ofertate”.</w:t>
      </w:r>
    </w:p>
    <w:p>
      <w:pPr>
        <w:pStyle w:val="Normal"/>
        <w:jc w:val="both"/>
        <w:rPr>
          <w:color w:val="000000"/>
        </w:rPr>
      </w:pPr>
      <w:r>
        <w:rPr>
          <w:color w:val="000000"/>
        </w:rPr>
        <w:tab/>
        <w:t>S-au  reținut și argumentele aduse de achizitoarea în replică la cele reclamate, respectiv faptul că membrii comisiei au evaluat propunerile financiare sub aspectul încadrării în valoarea estimată a achiziției, inclusiv sub aspectul asigurării că prețul propus sau componente ale acestuia nu este/sunt neobișnuit de scăzut/scăzute în raport cu ce urmează a fi prestat, astfel încât să se poate asigura îndeplinirea contractului la parametrii cantitativi și calitativi solicitați prin caietul de sarcini.</w:t>
      </w:r>
    </w:p>
    <w:p>
      <w:pPr>
        <w:pStyle w:val="Normal"/>
        <w:jc w:val="both"/>
        <w:rPr>
          <w:color w:val="000000"/>
        </w:rPr>
      </w:pPr>
      <w:r>
        <w:rPr>
          <w:color w:val="000000"/>
        </w:rPr>
        <w:tab/>
        <w:t>Achizitoarea a adăugat următoarele: Valoarea estimată a achiziției: 2.237.236,40 lei.</w:t>
      </w:r>
    </w:p>
    <w:p>
      <w:pPr>
        <w:pStyle w:val="Normal"/>
        <w:jc w:val="both"/>
        <w:rPr>
          <w:color w:val="000000"/>
        </w:rPr>
      </w:pPr>
      <w:r>
        <w:rPr>
          <w:color w:val="000000"/>
        </w:rPr>
        <w:t>asocierea R1 S.A. (lider), A2 S.R.L, A3 S.R.L., A4 COM S.R.L., A5 S.R.L.-asoclați a criptat în SEAP valoarea de 2.237.100,40 lei; asocierea B1 S.A. (lider), C1 S.R.L.-asociat a criptat în SEAP valoarea de 2.108.026,20 Iei.</w:t>
      </w:r>
    </w:p>
    <w:p>
      <w:pPr>
        <w:pStyle w:val="Normal"/>
        <w:jc w:val="both"/>
        <w:rPr>
          <w:color w:val="000000"/>
        </w:rPr>
      </w:pPr>
      <w:r>
        <w:rPr>
          <w:color w:val="000000"/>
        </w:rPr>
        <w:tab/>
        <w:t>Consiliul a redat cerințele avute în vedere de entitatea contractantă vizavi de modalitatea în care ofertanții trebuiau să elaboreze propunerea financiară.</w:t>
      </w:r>
    </w:p>
    <w:p>
      <w:pPr>
        <w:pStyle w:val="Normal"/>
        <w:jc w:val="both"/>
        <w:rPr>
          <w:color w:val="000000"/>
        </w:rPr>
      </w:pPr>
      <w:r>
        <w:rPr>
          <w:color w:val="000000"/>
        </w:rPr>
        <w:tab/>
        <w:t>Din economia celor mai sus redate, Consiliul a constatat că ofertanții trebuiau să depună următoarele înscrisuri: formular de ofertă; anexa la formularul de ofertă; centralizator oferta financiară, care reprezintă Anexa nr. 1 la Caietul de sarcini - Lista traseelor care asigură transportul salariaților și elementele acesteia pentru U.M.C.... - Sector  ...., completat cu prețurile unitare/tarifele, valorile pe cursă și valoarea totală; calculable de preț pentru determinarea tarifelor pentru fiecare vehicul; documentul excel Oferta financiară Centralizator.</w:t>
      </w:r>
    </w:p>
    <w:p>
      <w:pPr>
        <w:pStyle w:val="Normal"/>
        <w:jc w:val="both"/>
        <w:rPr>
          <w:color w:val="000000"/>
        </w:rPr>
      </w:pPr>
      <w:r>
        <w:rPr>
          <w:color w:val="000000"/>
        </w:rPr>
        <w:tab/>
        <w:t>Examinând propunerea financiară depusă de asocierea B1 SA - C1 SRL se constată că asocierea a depus următoarele înscrisuri:Formularul de propunere financiară a fost depus și a cuprins valoarea totală ofertată aferentă celor 12 luni ale contractului; Anexa la formularul de ofertă;</w:t>
      </w:r>
    </w:p>
    <w:p>
      <w:pPr>
        <w:pStyle w:val="Normal"/>
        <w:jc w:val="both"/>
        <w:rPr>
          <w:color w:val="000000"/>
        </w:rPr>
      </w:pPr>
      <w:r>
        <w:rPr>
          <w:color w:val="000000"/>
        </w:rPr>
        <w:tab/>
        <w:t>Din examinarea activității derulate de membrii comisiei de evaluare, Consiliul reține că, în mod similar, aplicând principiul tratamentului egal au fost solicitate ambelor asocierii ofertante, în ceea ce privește fundamentările de tarif, în concordanță cu cerințele din fișa de date prin adresele nr. ...8/25.08.2023 și ...9/25.08.2023 completarea propunerilor financiare cu documentele/informațiile cu calculațiile de preț pentru determinarea tarifelor, pentru fiecare vehicul și documentul excel Oferta financiară centralizator conform fișei de date.</w:t>
      </w:r>
    </w:p>
    <w:p>
      <w:pPr>
        <w:pStyle w:val="Normal"/>
        <w:jc w:val="both"/>
        <w:rPr>
          <w:color w:val="000000"/>
        </w:rPr>
      </w:pPr>
      <w:r>
        <w:rPr>
          <w:color w:val="000000"/>
        </w:rPr>
        <w:tab/>
        <w:t>Asocierea B1 SA - C1 SRL a furnizat prin intemediul actului nr. ....5/30.08.2023 răspuns la solicitarea adresată, transmițând calculațiile de preț pentru determinarea tarifelor, pentru fiecare vehicul și tarife care se regăsesc în documentul excel Oferta financiară centralizator.</w:t>
      </w:r>
    </w:p>
    <w:p>
      <w:pPr>
        <w:pStyle w:val="Normal"/>
        <w:jc w:val="both"/>
        <w:rPr>
          <w:color w:val="000000"/>
        </w:rPr>
      </w:pPr>
      <w:r>
        <w:rPr>
          <w:color w:val="000000"/>
        </w:rPr>
        <w:tab/>
        <w:t>Răspunsul furnizat a fost analizat de membrii comisiei de evaluare la data de 31.08.2023, ocazie cu care a fost elaborat Procesul-verbal nr. ...7/31.08.2023 privind verificarea propunerilor financiare concluzia la care au ajuns fiind de concludență a răspunusului furnizat și declararea ofertei depusă de asocierea B1 SA - C1 SRL câștigătoare.</w:t>
      </w:r>
    </w:p>
    <w:p>
      <w:pPr>
        <w:pStyle w:val="Normal"/>
        <w:jc w:val="both"/>
        <w:rPr>
          <w:color w:val="000000"/>
        </w:rPr>
      </w:pPr>
      <w:r>
        <w:rPr>
          <w:color w:val="000000"/>
        </w:rPr>
        <w:tab/>
        <w:t>Un prim aspect care se cuvine a fi precizat este acela că reclamarea pretinsului caracter nesustenabil al prețului ofertat are la bază un calcul propriu efectuat de asocierea reclamantă, prin aprecierea unor elemente pretinse a fi calculate incorect, astfel contestatoare susține că:</w:t>
      </w:r>
    </w:p>
    <w:p>
      <w:pPr>
        <w:pStyle w:val="Normal"/>
        <w:jc w:val="both"/>
        <w:rPr>
          <w:color w:val="000000"/>
        </w:rPr>
      </w:pPr>
      <w:bookmarkStart w:name="bookmark110" w:id="16"/>
      <w:bookmarkEnd w:id="16"/>
      <w:r>
        <w:rPr>
          <w:color w:val="000000"/>
        </w:rPr>
        <w:tab/>
        <w:t>-calculele matematice efective sunt incorecte: pentru traseul cu cod 4.1 / 23.1 / 39-1 Asocierea B1 a calculat artificial un cost cu manopera directă de doar 0,20 lel/km, în realitate (urmare a recalculării operațiilor matematice), costul este de 0,74 lel/km (adică de 2,7 ori mai mult decât ceea ce Asocierea B1 a indicat în mod greșit);</w:t>
      </w:r>
    </w:p>
    <w:p>
      <w:pPr>
        <w:pStyle w:val="Normal"/>
        <w:jc w:val="both"/>
        <w:rPr>
          <w:color w:val="000000"/>
        </w:rPr>
      </w:pPr>
      <w:bookmarkStart w:name="bookmark111" w:id="17"/>
      <w:bookmarkEnd w:id="17"/>
      <w:r>
        <w:rPr>
          <w:color w:val="000000"/>
        </w:rPr>
        <w:tab/>
        <w:t>-pentru 2 curse similare realizate cu același tip de vehicul care parcurge aproximativ același traseu, respectiv traseele cu codurile 4.1 / 23.1 / 39.1, a căror lungime este de 216 km șl traseul cu codul 5 și cu o lungime de 222 km (diferența dintre cele 2 trasee fiind doar de 6 km), pentru care tariful ar fi trebuit să fie, de asemenea, similar (în condiții similare de traseu și lungime), Asocierea B1 a calculat 2 tarife semnificativ diferite, respectiv pentru codurile de traseu 4.1, 23.1,39 (cu lungime de 216 km) un preț de 1,30 lei/km, iar pentru traseul cu codul 5 (cu lungime de 222 km) un preț de aproape 3 ori mai mare, adică 3,30 lei/km.</w:t>
      </w:r>
    </w:p>
    <w:p>
      <w:pPr>
        <w:pStyle w:val="Normal"/>
        <w:jc w:val="both"/>
        <w:rPr>
          <w:color w:val="000000"/>
        </w:rPr>
      </w:pPr>
      <w:r>
        <w:rPr>
          <w:color w:val="000000"/>
        </w:rPr>
        <w:tab/>
        <w:t>În cuprinsul documentației de atribuire, nu sunt stabilite precizări privind gradul de detaliere al cheltuielilor care formulează prețul total ofertat, ci s-a solicitat ca formularul de oferta, să fi însoțit de calculațiile de preț pentru determinarea tarifelor pentru fiecare vehicul și documentul excel oferta financiară centralizator.</w:t>
      </w:r>
    </w:p>
    <w:p>
      <w:pPr>
        <w:pStyle w:val="Normal"/>
        <w:jc w:val="both"/>
        <w:rPr>
          <w:color w:val="000000"/>
        </w:rPr>
      </w:pPr>
      <w:r>
        <w:rPr>
          <w:color w:val="000000"/>
        </w:rPr>
        <w:tab/>
        <w:t>Totodată, este important de punctat faptul că achizitoarea nu a impus limite/praguri valorice/procentuale pentru anumite operațiuni/activități /componente din cadrul calculațiilor pe baza cărora au fost fundamentate tarifele și nici nu a fost solicitată detalierea fiecărui element component al calculației de preț.</w:t>
      </w:r>
    </w:p>
    <w:p>
      <w:pPr>
        <w:pStyle w:val="Normal"/>
        <w:jc w:val="both"/>
        <w:rPr>
          <w:color w:val="000000"/>
        </w:rPr>
      </w:pPr>
      <w:r>
        <w:rPr>
          <w:color w:val="000000"/>
        </w:rPr>
        <w:tab/>
        <w:t>În consecință, entitatea contractantă nu a solicitat prezentarea detaliată a elementelor componente ale fundamentărilor de tarife, fapt dovedit chiar de asocierea contestatoare prin depunerea propriei oferte financiare în aceeași manieră ca și asocierea reclamată, nedetaliată pe elemente de cost, cum pretinde a fi structurată oferta asocierii reclamate, B1 SA - C1 SRL.</w:t>
      </w:r>
    </w:p>
    <w:p>
      <w:pPr>
        <w:pStyle w:val="Normal"/>
        <w:jc w:val="both"/>
        <w:rPr>
          <w:color w:val="000000"/>
        </w:rPr>
      </w:pPr>
      <w:r>
        <w:rPr>
          <w:color w:val="000000"/>
        </w:rPr>
        <w:tab/>
        <w:t>Mai mult, din compararea fundamentărilor tarif/calculațiilor de preț pentru determinarea tarifelor  se constată că cele prezentate de asocierea B1 SA - C1 SRL sunt mai detaliate față de cele asocierii contestatoare, sub aspectul identificării elementelor constitutive.</w:t>
      </w:r>
    </w:p>
    <w:p>
      <w:pPr>
        <w:pStyle w:val="Normal"/>
        <w:jc w:val="both"/>
        <w:rPr>
          <w:color w:val="000000"/>
        </w:rPr>
      </w:pPr>
      <w:r>
        <w:rPr>
          <w:color w:val="000000"/>
        </w:rPr>
        <w:tab/>
        <w:t>Oferta solicitată de către entitatea contractantă conform centralizator ofertă financiară este prezentată ca preț unitar lei/km. aferent kilometrilor dus-întors ai cursei (celor 12 trasee), astfel că susținerile contestatoarei vizavi de comparația realizată pentru trasee care au lungimi similare în argumentarea unor pretinse calcule matematice incorecte nu pot fi reținute ca fiind judicioase.</w:t>
      </w:r>
    </w:p>
    <w:p>
      <w:pPr>
        <w:pStyle w:val="Normal"/>
        <w:jc w:val="both"/>
        <w:rPr>
          <w:color w:val="000000"/>
        </w:rPr>
      </w:pPr>
      <w:r>
        <w:rPr>
          <w:color w:val="000000"/>
        </w:rPr>
        <w:tab/>
        <w:t>Astfel calculul efectuat de contestatoare se raportează la anumite elemente pe care aceasta le-a apreciat și avut în vedere, iar calculele realizate de asocierea B1 SA - C1 SRL în vederea stabilirii prețului ofertat se bazează pe alte elemente pe care asocierea ofertantă le-a avut în vedere și le-a cuantificat, un aspect important fiind faptul că există trasee ce circulă la ture de 1 (un) schimb, de luni până vineri, există trasee ce circulă la ture de 3(trei) schimburi de luni pană duminică sau de luni până vineri, și există trasee ce circulă la ture de 3(trei) schimburi doar în weekend.</w:t>
      </w:r>
    </w:p>
    <w:p>
      <w:pPr>
        <w:pStyle w:val="Normal"/>
        <w:jc w:val="both"/>
        <w:rPr>
          <w:color w:val="000000"/>
        </w:rPr>
      </w:pPr>
      <w:r>
        <w:rPr>
          <w:color w:val="000000"/>
        </w:rPr>
        <w:tab/>
        <w:t>În considerarea celor antemenționate Consiliul a reținut că sunt și precizările achizitoarei.</w:t>
      </w:r>
    </w:p>
    <w:p>
      <w:pPr>
        <w:pStyle w:val="Normal"/>
        <w:jc w:val="both"/>
        <w:rPr>
          <w:color w:val="000000"/>
        </w:rPr>
      </w:pPr>
      <w:r>
        <w:rPr>
          <w:color w:val="000000"/>
        </w:rPr>
        <w:tab/>
        <w:t>Raționamentul avut în vedere de asocierea intervenientă B1 SA - C1 SRL în stabilirea prețului ofertat este judicios și reținut de Consiliu în soluționare, mai exact: prețul ofertat reprezentat de Valoarea Totală Ofertată aferentă celor 12 luni ale contractului, valoare fermă șl ne modifica bilă până la finalizarea contractului,se regăsește în Formularul de Ofertă Financiară, respectiv 2.108.026,20 lei fără TVA;</w:t>
      </w:r>
    </w:p>
    <w:p>
      <w:pPr>
        <w:pStyle w:val="Normal"/>
        <w:jc w:val="both"/>
        <w:rPr>
          <w:color w:val="000000"/>
        </w:rPr>
      </w:pPr>
      <w:r>
        <w:rPr>
          <w:color w:val="000000"/>
        </w:rPr>
        <w:tab/>
        <w:t>Centralizator ofertă financiară a fost completat și depus, Acesta a cuprins calculațiile de preț pentru determinarea tarifelor pentru fiecare vehicul, întrucât pe fiecare din cele 12 trasee, fiecare cu numărul de kilometri indicat pe fiecare cursă, a fost indicat tipul vehiculului, și numărul de curse total pentru perioada de 12 luni, pentru care am prezentat prețul unitar lei/km conform tipului de autovehicul, calculația de preț pe cursă rezultând valoarea în lei/cursă, șl totalul valorii pe fiecare traseu pentru perioada considerată. Suma valorilor celor 12 trasee pentru perioada considerată reprezintă Valoarea Totală Ofertată aferentă celor 12 luni ale contractului , valoare fermă și nemodificabilă până la finalizarea contractului;</w:t>
      </w:r>
    </w:p>
    <w:p>
      <w:pPr>
        <w:pStyle w:val="Normal"/>
        <w:jc w:val="both"/>
        <w:rPr>
          <w:color w:val="000000"/>
        </w:rPr>
      </w:pPr>
      <w:r>
        <w:rPr>
          <w:color w:val="000000"/>
        </w:rPr>
        <w:tab/>
        <w:t>Costurile transpuse în prețul unitar lei/km, au avut în vedere toate cheltuielile necesare ca cele 15 autovehicule puse la dispoziție autorității contractante să presteze serviciile ofertate fără întreruperi.</w:t>
      </w:r>
    </w:p>
    <w:p>
      <w:pPr>
        <w:pStyle w:val="Normal"/>
        <w:jc w:val="both"/>
        <w:rPr>
          <w:color w:val="000000"/>
        </w:rPr>
      </w:pPr>
      <w:r>
        <w:rPr>
          <w:color w:val="000000"/>
        </w:rPr>
        <w:tab/>
        <w:t>Astfel s-au considerat costul cu forța de muncă, costurile fixe ale utilizării autovehiculelor, costurile cu combustibilul și celelalte cheltuieli auto, regia, profitul rezonabil. Toate aceste costuri au fost calculate în baza consumurilor proprii, previziunilor de kilometri parcurși pentru efectuarea curselor, dar și dislocărilor pentru reviziile periodice, sau în cazul unor defecțiuni. Totodată costurile cu personalul au fost calculate în funcție de costurile lunare aferente raportate la previziunile de kilometri parcurși. Totodată unele autovehiculele puse la dispoziție încă sunt în perioada de leasing, pentru care plătim rate către finanțator, cheltuieli cu ratele de leasing ce se regăsesc și în formularele cu stabilirea prețurilor. De asemenea amortisment se calculeză tuturor autovehiculelor chiar dacă sunt deținute în baza unui contract de leasing sau sunt în proprietate întrucât “amortizarea reprezintă recuperarea treptata, atât din punct de vedere contabil, cat si fiscal, a tuturor costurilor ce sunt aferente achiziției, construirii, producerii, asamblării, instalării sau a îmbunătățirii imobilizărilor amortizabile.”</w:t>
      </w:r>
    </w:p>
    <w:p>
      <w:pPr>
        <w:pStyle w:val="Normal"/>
        <w:jc w:val="both"/>
        <w:rPr>
          <w:color w:val="000000"/>
        </w:rPr>
      </w:pPr>
      <w:r>
        <w:rPr>
          <w:color w:val="000000"/>
        </w:rPr>
        <w:tab/>
        <w:t>În consecință dacă contestatoarea folosește anumite valori din formularele transmise de subscrisa si le raportează la un număr de kilometri ce nu are legătură cu fundamentarea tarifară prezentată de noi.”</w:t>
      </w:r>
    </w:p>
    <w:p>
      <w:pPr>
        <w:pStyle w:val="Normal"/>
        <w:jc w:val="both"/>
        <w:rPr>
          <w:color w:val="000000"/>
        </w:rPr>
      </w:pPr>
      <w:r>
        <w:rPr>
          <w:color w:val="000000"/>
        </w:rPr>
        <w:tab/>
        <w:t>Din economia celor mai sus precizate, asocierea reclamată în mod justificat a ales modalitatea de stabilire a prețurilor unitare ofertate prin gruparea pe criterii asemănătoare, respectiv: 3 trasee (4, 12, X) efectuate cu câte un microbuz de 20 de locuri la un schimb, 1 traseu (39) efectuat cu un autobuz de 33 de locuri la 3 schimburi, 1 traseu (5) efectuat cu un microbuz de 20 de locuri la 3 schimburi, 2 trasee (4.2,23) efectuate cu un autobuz de 51 de locuri la 3 schimburi, 1 traseu (31) efectuat cu un autobuz de 33 de locuri la 1 schimb, 1 traseu (6) efectuat cu un autobuz de 33 de locuri la 3 schimburi sub 50km/zi, 3 trasee (4,1,23.1, 39.1) efectuate cu câte un microbuz de 20 de locuri la 3 schimburi doar în weekend.</w:t>
      </w:r>
    </w:p>
    <w:p>
      <w:pPr>
        <w:pStyle w:val="Normal"/>
        <w:jc w:val="both"/>
        <w:rPr>
          <w:color w:val="000000"/>
        </w:rPr>
      </w:pPr>
      <w:r>
        <w:rPr>
          <w:color w:val="000000"/>
        </w:rPr>
        <w:tab/>
        <w:t>Din examinarea calculațiilor de preț ale asocierii B1 SA - C1 SRL se constată că acesta sunt suficient de detaliate, se situează în limitele exigențelor de legalitate și temeinicie pentru a fi considerate suficiente și credibile și putând fi valorizate de achizitoare, cuprinzând costul cu forța de muncă, costurile fixe ale utilizării autovehiculelor (licența de transport, copie conformă, verificare tahograf, ITP, asig. Cal. și bagaje, RCA/CASCO, rovignetă, impozit, anvelope, etc.), costurile cu combustibilul și celelalte cheltuieli auto, regia, profitul.</w:t>
      </w:r>
    </w:p>
    <w:p>
      <w:pPr>
        <w:pStyle w:val="Normal"/>
        <w:jc w:val="both"/>
        <w:rPr>
          <w:color w:val="000000"/>
        </w:rPr>
      </w:pPr>
      <w:r>
        <w:rPr>
          <w:color w:val="000000"/>
        </w:rPr>
        <w:tab/>
        <w:t>Autoarea contestației utilizează un mod propriu de calcul, ca o regulă general valabilă pentru toți ofertanți participant! la procedură. Ori, acest raționament nu este judicios și nu va fi reținut de Consiliu în soluționare, prin raportarea la înscrisurile depuse de asocierea B1 SA - C1 SRL. în speță, însă, contestatoarea nu aduce vreo dovadă din care să reiasă imposibilitatea asocierii ofertante reclamate de a îndeplini obligațiile contractuale în forma în care aceasta și le-a asumat prin oferta depusă.</w:t>
      </w:r>
    </w:p>
    <w:p>
      <w:pPr>
        <w:pStyle w:val="Normal"/>
        <w:jc w:val="both"/>
        <w:rPr>
          <w:color w:val="000000"/>
        </w:rPr>
      </w:pPr>
      <w:r>
        <w:rPr>
          <w:color w:val="000000"/>
        </w:rPr>
        <w:tab/>
        <w:t>Contrar art. 10 alin. (1), art. 14 alin. (2) și art. 249 C. proc. civ., autoarea contestației nu a reușit să demonstreze și să formeze convingerea Consiliului că elementele de cost ofertate de asocierea reclamată încalcă prevederile legale, ceea ce face ca obiecțiile să fie nefondate, vizavi de tarifarea serviciilor de transport, pentru care costurile variază de la societate la societate, neexistând prețuri impuse de lege. Costurile acestora variază în economie și se regăsesc diferit în cheltuielile de ansamblu ale fiecărei societăți, în funcție de numeroase variabile (distanțe, frecvențe, stocuri, amortizări, discounturi, donații, împrumuturi, comodat etc.), nu toate societățile au aceleași costuri pe care le are asocierea contestatoare în speța de față.</w:t>
      </w:r>
    </w:p>
    <w:p>
      <w:pPr>
        <w:pStyle w:val="Normal"/>
        <w:ind w:firstLine="709"/>
        <w:jc w:val="both"/>
        <w:rPr>
          <w:color w:val="000000"/>
        </w:rPr>
      </w:pPr>
      <w:r>
        <w:rPr>
          <w:color w:val="000000"/>
        </w:rPr>
        <w:t>Consiliul a constatat că nu se mai impune o reevaluare a ofertei depuse de asocierea B1 SA - C1 SRL, în etapa de evaluare a ofertelor, entitatea contractantă respectând prevederile legale aplicabile și asumându-și răspunderea asupra deciziilor luate în cadrul procedurii de atribuire, rezultatele evaluărilor efectuate fiind consemnate în procesele-verbale intermediare și fiind luate în considerare în decizia de atribuire a contractului de achiziție publică, potrivit Raportul procedurii nr.  ....7/DC1/12.09.2023.</w:t>
      </w:r>
    </w:p>
    <w:p>
      <w:pPr>
        <w:pStyle w:val="Normal"/>
        <w:jc w:val="both"/>
        <w:rPr>
          <w:color w:val="000000"/>
        </w:rPr>
      </w:pPr>
      <w:r>
        <w:rPr>
          <w:color w:val="000000"/>
        </w:rPr>
        <w:tab/>
        <w:t xml:space="preserve">Împotriva acestei decizii, reclamanta R1 SA, în contradictoriu cu pârâtele SOCIETATEA A1 SA şi ASOCIEREA B1 SA-C1 SRL, a formulat plângere împotriva Deciziei CNSC nr...3 din ... solicitând ca, prin hotărârea pe care instanţa o va pronunța, să se dispună modificarea Deciziei CNSC, în sensul admiterii contestației formulate de către R1 și, în consecință: (i) anularea Actelor atacate4; (ii) obligarea Entității contractante să adopte măsurile necesare restabilirii legalității Procedurii de atribuire, cu consecința stabilirii caracterului neconform și inacceptabil al ofertei Asocierii B1. </w:t>
      </w:r>
    </w:p>
    <w:p>
      <w:pPr>
        <w:pStyle w:val="Normal"/>
        <w:ind w:firstLine="708"/>
        <w:jc w:val="both"/>
        <w:rPr/>
      </w:pPr>
      <w:r>
        <w:rPr/>
        <w:t>A învederat că se impune modificarea Deciziei CNSC în sensul admiterii contestației R1 având în vedere că:</w:t>
      </w:r>
    </w:p>
    <w:p>
      <w:pPr>
        <w:pStyle w:val="Normal"/>
        <w:jc w:val="both"/>
        <w:rPr>
          <w:color w:val="000000"/>
        </w:rPr>
      </w:pPr>
      <w:r>
        <w:rPr/>
        <w:tab/>
      </w:r>
      <w:r>
        <w:rPr>
          <w:color w:val="000000"/>
        </w:rPr>
        <w:t>A.Fundamentarea economică a modului de formare a prețului ofertat de către Asocierea B1 nu a fost analizată prin Decizia CNSC, deși grave erori au fost semnalate  prin contestaţia R1. Decizia CNSC încalcă principiul disponibilității și dreptului la apărare, prin respingerea criticilor în mod superficial, nefundamentat şi netemeinic.</w:t>
      </w:r>
    </w:p>
    <w:p>
      <w:pPr>
        <w:pStyle w:val="NoSpacing"/>
        <w:ind w:firstLine="708"/>
        <w:jc w:val="both"/>
        <w:rPr>
          <w:rFonts w:ascii="Times New Roman" w:hAnsi="Times New Roman"/>
          <w:sz w:val="24"/>
        </w:rPr>
      </w:pPr>
      <w:r>
        <w:rPr>
          <w:rFonts w:ascii="Times New Roman" w:hAnsi="Times New Roman"/>
          <w:sz w:val="24"/>
        </w:rPr>
        <w:t>Din prevederile documentației de atribuire rezultă că propunerea financiară ar fi trebuit să includă:Formular de ofertă, Anexa la formularul de ofertă; Centralizator ofertă financiară, care reprezintă Anexa nr. i la Caietul de sarcini — Lista traseelor care asigură transportul salariaților și elementele acesteia pentru U.M.C.... - Sector  ...., completat cu prețurile unitare/ tarifele, valorile pe cursă și valoarea totală;Calculațiile de preț pentru determinarea tarifelor pentru fiecare vehicul; Documente de fundamentare a valorii ofertate.</w:t>
      </w:r>
    </w:p>
    <w:p>
      <w:pPr>
        <w:pStyle w:val="NoSpacing"/>
        <w:ind w:firstLine="708"/>
        <w:jc w:val="both"/>
        <w:rPr>
          <w:rFonts w:ascii="Times New Roman" w:hAnsi="Times New Roman"/>
          <w:sz w:val="24"/>
        </w:rPr>
      </w:pPr>
      <w:r>
        <w:rPr>
          <w:rFonts w:ascii="Times New Roman" w:hAnsi="Times New Roman"/>
          <w:sz w:val="24"/>
        </w:rPr>
        <w:t>Prin urmare, a arătat că, deși solicitate explicit prin cerințele documentației de atribuire, calculațiile de preț pentru determinarea tarifelor pentru fiecare vehicul nu s-au regăsit în oferta inițial depusă de către Asocierea B1 aspect confirmat chiar de către Entitatea contractantă prin Procesul verbal nr. ...1/31.08.20237;</w:t>
      </w:r>
    </w:p>
    <w:p>
      <w:pPr>
        <w:pStyle w:val="NoSpacing"/>
        <w:ind w:firstLine="708"/>
        <w:jc w:val="both"/>
        <w:rPr>
          <w:rFonts w:ascii="Times New Roman" w:hAnsi="Times New Roman"/>
          <w:sz w:val="24"/>
        </w:rPr>
      </w:pPr>
      <w:r>
        <w:rPr>
          <w:rFonts w:ascii="Times New Roman" w:hAnsi="Times New Roman"/>
          <w:sz w:val="24"/>
        </w:rPr>
        <w:t>Entitatea contractantă a permis, aşadar, completarea propunerii financiare a Asocierii B1 cu un document care, deși a fost explicit solicitat prin cerințele Fișei de date, nu a fost depus de către ofertant, încălcând astfel principiul tratamentului egal și al transparenței; în contextul în care Asocierea R1 nu a depus aceste documente în oferta inițială, oferta sa trebuia respinsă, nicidecum declarată câștigătoare în urma completării acesteia prin clarificări.</w:t>
      </w:r>
    </w:p>
    <w:p>
      <w:pPr>
        <w:pStyle w:val="NoSpacing"/>
        <w:ind w:firstLine="708"/>
        <w:jc w:val="both"/>
        <w:rPr>
          <w:rFonts w:ascii="Times New Roman" w:hAnsi="Times New Roman"/>
          <w:sz w:val="24"/>
        </w:rPr>
      </w:pPr>
      <w:r>
        <w:rPr>
          <w:rFonts w:ascii="Times New Roman" w:hAnsi="Times New Roman"/>
          <w:sz w:val="24"/>
        </w:rPr>
        <w:tab/>
        <w:t>3. Mai mult, însă calculațiile de preţ depuse de către Asocierea B1 doar prin clarificări prezintă grave erori aritmetice, redate astfel cu unicul scop de a menține valoarea totală estimată, aspect ce denotă, așadar, nesustenabilitatea preţului ofertat; concret:</w:t>
      </w:r>
    </w:p>
    <w:p>
      <w:pPr>
        <w:pStyle w:val="NoSpacing"/>
        <w:ind w:firstLine="708"/>
        <w:jc w:val="both"/>
        <w:rPr>
          <w:rFonts w:ascii="Times New Roman" w:hAnsi="Times New Roman"/>
          <w:sz w:val="24"/>
        </w:rPr>
      </w:pPr>
      <w:r>
        <w:rPr>
          <w:rFonts w:ascii="Times New Roman" w:hAnsi="Times New Roman"/>
          <w:sz w:val="24"/>
        </w:rPr>
        <w:t>Calculațiile de preț trebuie să fundamenteze modalitatea de formare a prețului prin redarea costurilor avute în vedere de către ofertant la stabilirea valorii totale ofertate. De altfel, chiar prin Decizia CNSC se reține că „acest preț a fost fundamentat conform calculațiilor de preț din cadrul centralizatorului de ofertă financiară". Prin urmare, nu trebuie să existe diferențe între documentele propunerii financiare, calculațiile de preț reprezentând fundamentarea economică a valorii km/ cursă și, implicit, redau calcule aritmetice corecte bazate pe informații clare, concludente și edificatoare.</w:t>
      </w:r>
    </w:p>
    <w:p>
      <w:pPr>
        <w:pStyle w:val="NoSpacing"/>
        <w:ind w:firstLine="708"/>
        <w:jc w:val="both"/>
        <w:rPr>
          <w:rFonts w:ascii="Times New Roman" w:hAnsi="Times New Roman"/>
          <w:sz w:val="24"/>
        </w:rPr>
      </w:pPr>
      <w:r>
        <w:rPr>
          <w:rFonts w:ascii="Times New Roman" w:hAnsi="Times New Roman"/>
          <w:sz w:val="24"/>
        </w:rPr>
        <w:t>Calculațiile de preț au fost depuse de către Asocierea B1 doar urmare a solicitării Entității contractante, prin răspunsurile la clarificări; cu alte cuvinte, Ia momentul la care calculațiile de preț au fost depuse, atât valoarea totală ofertată, cât și prețurile unitare pentru fiecare cursă erau deja cunoscute de către CEO și obligatorii pentru ofertantul care le transmisese.</w:t>
      </w:r>
    </w:p>
    <w:p>
      <w:pPr>
        <w:pStyle w:val="NoSpacing"/>
        <w:ind w:firstLine="708"/>
        <w:jc w:val="both"/>
        <w:rPr>
          <w:rFonts w:ascii="Times New Roman" w:hAnsi="Times New Roman"/>
          <w:sz w:val="24"/>
        </w:rPr>
      </w:pPr>
      <w:bookmarkStart w:name="_Hlk152076477" w:id="18"/>
      <w:r>
        <w:rPr>
          <w:rFonts w:ascii="Times New Roman" w:hAnsi="Times New Roman"/>
          <w:sz w:val="24"/>
        </w:rPr>
        <w:t>Sintetizând, Asocierea B1 nu a reușit să fundamenteze economic modul de formare a prețului ofertat, ci a efectuat calcule aritmetice incorecte cu unicul scop de a rezulta valorile inițial aduse la cunoștința Entității contractante; Calculele matematice s-au raportat la elemente neconcludente i neclare în raport de care Entitatea contractantă nu putea nici măcar să verifice corectitudinea aspectelor redate; Entitatea contractantă nu a verificat aritmetic fundamentarea economică a re ului deși aplicând corect formulele matematice s-ar fi ajuns la o valoare ofertată cu 60% mai mare decât valoarea estimată a Procedurii de atribuire.</w:t>
      </w:r>
      <w:bookmarkEnd w:id="18"/>
    </w:p>
    <w:p>
      <w:pPr>
        <w:pStyle w:val="NoSpacing"/>
        <w:ind w:firstLine="708"/>
        <w:jc w:val="both"/>
        <w:rPr>
          <w:rFonts w:ascii="Times New Roman" w:hAnsi="Times New Roman"/>
          <w:sz w:val="24"/>
        </w:rPr>
      </w:pPr>
      <w:r>
        <w:rPr>
          <w:rFonts w:ascii="Times New Roman" w:hAnsi="Times New Roman"/>
          <w:sz w:val="24"/>
        </w:rPr>
        <w:t>Consiliul nu a procedat, însă, astfel, ci a încălcat principiul disponibilității prin Extinderea limitelor învestirii inclusiv la analiza ofertei Asocierii R1; nicio critică invocată de către subscrisa, prin contestație, nu viza modalitatea de evaluare a propriei oferte. De altfel, singurul document prin care Consiliul a fost învestit cu analiza actelor atacate este reprezentat de contestația R1, situație față de care limitele învestirii au fost tranșate doar la analiza netemeiniciei evaluării ofertei Asocierii B1. Prin urmare, nefiind criticată prin singura contestație formulată, oferta Asocierii R1 a format în mod greșit obiectul analizei Consiliului.</w:t>
      </w:r>
    </w:p>
    <w:p>
      <w:pPr>
        <w:pStyle w:val="NoSpacing"/>
        <w:ind w:firstLine="708"/>
        <w:jc w:val="both"/>
        <w:rPr>
          <w:rFonts w:ascii="Times New Roman" w:hAnsi="Times New Roman"/>
          <w:sz w:val="24"/>
        </w:rPr>
      </w:pPr>
      <w:r>
        <w:rPr>
          <w:rFonts w:ascii="Times New Roman" w:hAnsi="Times New Roman"/>
          <w:sz w:val="24"/>
        </w:rPr>
        <w:t>În al doilea rând, a arătat că Decizia CNSC nu respectă nici rigorile impuse de art. 26 alin. (11) din Legea nr. 101/201618 în contextul în care nu este motivat raționamentul pentru care Consiliul a considerat că erorile aritmetice din cuprinsul calculațiilor de preț depuse de către Asocierea B1 ng ar justifica respingerea ofertei ca neconformă.</w:t>
      </w:r>
    </w:p>
    <w:p>
      <w:pPr>
        <w:pStyle w:val="NoSpacing"/>
        <w:ind w:firstLine="708"/>
        <w:jc w:val="both"/>
        <w:rPr>
          <w:rFonts w:ascii="Times New Roman" w:hAnsi="Times New Roman"/>
          <w:sz w:val="24"/>
        </w:rPr>
      </w:pPr>
      <w:r>
        <w:rPr>
          <w:rFonts w:ascii="Times New Roman" w:hAnsi="Times New Roman"/>
          <w:sz w:val="24"/>
        </w:rPr>
        <w:t>A fost ignorată obligația CEO de a verifica aritmetic propunerea financiară a ofertantului desemnat câștigător, deși a acordat punctajul maxim aferent factorului de evaluare „Prețul ofertei”</w:t>
      </w:r>
    </w:p>
    <w:p>
      <w:pPr>
        <w:pStyle w:val="NoSpacing"/>
        <w:ind w:firstLine="708"/>
        <w:jc w:val="both"/>
        <w:rPr>
          <w:rFonts w:ascii="Times New Roman" w:hAnsi="Times New Roman"/>
          <w:sz w:val="24"/>
        </w:rPr>
      </w:pPr>
      <w:bookmarkStart w:name="_Hlk152076510" w:id="19"/>
      <w:r>
        <w:rPr>
          <w:rFonts w:ascii="Times New Roman" w:hAnsi="Times New Roman"/>
          <w:sz w:val="24"/>
        </w:rPr>
        <w:t>Nesustenabilitatea prețului ofertant de către Asocierea B1 a fost demonstrată prin raportare la elementele și valorile indicate chiar de către acesta în cadrul calculațiilor de preţ.</w:t>
      </w:r>
      <w:bookmarkEnd w:id="19"/>
    </w:p>
    <w:p>
      <w:pPr>
        <w:pStyle w:val="NoSpacing"/>
        <w:ind w:firstLine="708"/>
        <w:jc w:val="both"/>
        <w:rPr>
          <w:rFonts w:ascii="Times New Roman" w:hAnsi="Times New Roman"/>
          <w:sz w:val="24"/>
        </w:rPr>
      </w:pPr>
      <w:r>
        <w:rPr>
          <w:rFonts w:ascii="Times New Roman" w:hAnsi="Times New Roman"/>
          <w:sz w:val="24"/>
        </w:rPr>
        <w:t>Prin urmare, Asocierea B1 și-a bugetat în mod nejustificat de scăzut anumite trasee (precum traseele cu codurile 4.11 23.1139.1) tocmai pentru că există posibilitatea ca acestea să fie ulterior desființate de către CEO. O astfel de conduită este, însă, contrară principiilor transparentei și tratamentului egal tocmai pentru că ofertanții trebuie să elaboreze oferta cu luarea în considerare a tuturor cerințelor documentației de atribuire și, totodată, conduce la afectarea concurentei loiale între ofertanți.</w:t>
      </w:r>
    </w:p>
    <w:p>
      <w:pPr>
        <w:pStyle w:val="NoSpacing"/>
        <w:ind w:firstLine="708"/>
        <w:jc w:val="both"/>
        <w:rPr>
          <w:rFonts w:ascii="Times New Roman" w:hAnsi="Times New Roman"/>
          <w:sz w:val="24"/>
        </w:rPr>
      </w:pPr>
      <w:r>
        <w:rPr>
          <w:rFonts w:ascii="Times New Roman" w:hAnsi="Times New Roman"/>
          <w:sz w:val="24"/>
        </w:rPr>
        <w:t>În al treilea rând tocmai faptul că între costurile efectiv suportate de către două societăți comerciale există diferențe trebuia să conducă Consiliul la imposibilitatea comparării celor două oferte din perspectiva calculațiilor de preț. Totuși, prin Decizia CNSC se remarcă două raționamente contradictorii respectiv, pe de o parte, se reține faptul că „nu toate societățile au aceleași costuri pe care le are asocierea contestatoare", iar, pe de altă parte se reține faptul că „din compararea fundamentărilor tarif/ calculațiilor de preț pentru determinarea tarifelor, se constată că cele prezentate de către Asocierea B1 (...) sunt mai detaliate față de cele ale asocierii contestatoare, sub aspectul identificării elementelor constitutive. ".</w:t>
      </w:r>
    </w:p>
    <w:p>
      <w:pPr>
        <w:pStyle w:val="NoSpacing"/>
        <w:ind w:firstLine="708"/>
        <w:jc w:val="both"/>
        <w:rPr>
          <w:rFonts w:ascii="Times New Roman" w:hAnsi="Times New Roman"/>
          <w:sz w:val="24"/>
        </w:rPr>
      </w:pPr>
      <w:r>
        <w:rPr>
          <w:rFonts w:ascii="Times New Roman" w:hAnsi="Times New Roman"/>
          <w:sz w:val="24"/>
        </w:rPr>
        <w:t>În drept, şi-a întemeiat prezenta plângere pe dispozițiile art. 29 și următoarele din Legea nr. 101/2016, precum și pe toate celelalte dispoziții legale la care a făcut referire în cuprinsul prezentului document.</w:t>
      </w:r>
    </w:p>
    <w:p>
      <w:pPr>
        <w:pStyle w:val="NoSpacing"/>
        <w:ind w:firstLine="708"/>
        <w:jc w:val="both"/>
        <w:rPr>
          <w:rFonts w:ascii="Times New Roman" w:hAnsi="Times New Roman"/>
          <w:sz w:val="24"/>
        </w:rPr>
      </w:pPr>
      <w:r>
        <w:rPr>
          <w:rFonts w:ascii="Times New Roman" w:hAnsi="Times New Roman"/>
          <w:sz w:val="24"/>
        </w:rPr>
        <w:t>În probaţiune, a solicitat încuviinţarea probei cu înscrisurile din dosarul achiziției publice.</w:t>
      </w:r>
    </w:p>
    <w:p>
      <w:pPr>
        <w:pStyle w:val="NoSpacing"/>
        <w:ind w:firstLine="708"/>
        <w:jc w:val="both"/>
        <w:rPr>
          <w:rFonts w:ascii="Times New Roman" w:hAnsi="Times New Roman"/>
          <w:sz w:val="24"/>
        </w:rPr>
      </w:pPr>
      <w:r>
        <w:rPr>
          <w:rFonts w:ascii="Times New Roman" w:hAnsi="Times New Roman"/>
          <w:sz w:val="24"/>
        </w:rPr>
        <w:t>În aplicarea prevederilor art. 31 alin. (1) din Legea nr. 101/2016, a menționat că prezenta plângere a fost comunicată și către intimați. Pentru transmiterea cu celeritate a dosarului, în aplicarea  dispozițiilor art. 30 alin. (4) din Legea nr. 101/2016, a bmenționat că a transmis o copie a plângerii și Consiliului.</w:t>
      </w:r>
    </w:p>
    <w:p>
      <w:pPr>
        <w:pStyle w:val="NoSpacing"/>
        <w:ind w:firstLine="708"/>
        <w:jc w:val="both"/>
        <w:rPr>
          <w:rFonts w:ascii="Times New Roman" w:hAnsi="Times New Roman"/>
          <w:sz w:val="24"/>
        </w:rPr>
      </w:pPr>
      <w:r>
        <w:rPr>
          <w:rFonts w:ascii="Times New Roman" w:hAnsi="Times New Roman"/>
          <w:sz w:val="24"/>
        </w:rPr>
        <w:t>La data de 08.11.2023, pârâta SOCIETATEA A1 SA a depus întâmpinare, în temeiul prevederilor art. 26 alin. (6) din Legea 101/2016 coroborat cu prevederile Legii nr.99/2016, solicitând respingerea contestației .</w:t>
      </w:r>
    </w:p>
    <w:p>
      <w:pPr>
        <w:pStyle w:val="NoSpacing"/>
        <w:ind w:firstLine="708"/>
        <w:jc w:val="both"/>
        <w:rPr>
          <w:rFonts w:ascii="Times New Roman" w:hAnsi="Times New Roman"/>
          <w:sz w:val="24"/>
        </w:rPr>
      </w:pPr>
      <w:r>
        <w:rPr>
          <w:rFonts w:ascii="Times New Roman" w:hAnsi="Times New Roman"/>
          <w:sz w:val="24"/>
        </w:rPr>
        <w:t>A precizat că procedura a fost avizata conform necondiționat de ANAP pentru calitatea și regularitatea concluziilor fazei de evaluare referitoare la concluziile comisiei de evaluare privind evaluarea propunerilor tehnice şi a conformității acestora (AVIZ nr. ...0 ...SS/CN ....6/din 22.08.2023).</w:t>
      </w:r>
    </w:p>
    <w:p>
      <w:pPr>
        <w:pStyle w:val="NoSpacing"/>
        <w:ind w:firstLine="708"/>
        <w:jc w:val="both"/>
        <w:rPr>
          <w:rFonts w:ascii="Times New Roman" w:hAnsi="Times New Roman"/>
          <w:sz w:val="24"/>
        </w:rPr>
      </w:pPr>
      <w:r>
        <w:rPr>
          <w:rFonts w:ascii="Times New Roman" w:hAnsi="Times New Roman"/>
          <w:sz w:val="24"/>
        </w:rPr>
        <w:t>A solicitat instanței de control judiciar să reţină că a fost respectat cu prioritate principiul utilizării eficiente a fondurilor alocate raportat la calitatea serviciilor de transport și la criteriul de atribuire al procedurii de achiziție oferite respectiv:</w:t>
      </w:r>
    </w:p>
    <w:p>
      <w:pPr>
        <w:pStyle w:val="NoSpacing"/>
        <w:ind w:firstLine="708"/>
        <w:jc w:val="both"/>
        <w:rPr>
          <w:rFonts w:ascii="Times New Roman" w:hAnsi="Times New Roman"/>
          <w:sz w:val="24"/>
        </w:rPr>
      </w:pPr>
      <w:r>
        <w:rPr>
          <w:rFonts w:ascii="Times New Roman" w:hAnsi="Times New Roman"/>
          <w:sz w:val="24"/>
        </w:rPr>
        <w:t>- tehnic- parcul auto pus la dispoziție de câștigătoarea procedurii fiind net superior faţă de cel al contestatoarei, conform documentelor doveditoare depuse anexat în oferta tehnică și a concluziilor comisiei de vizualizare consemnate în procesele verbale de vizualizare,</w:t>
      </w:r>
    </w:p>
    <w:p>
      <w:pPr>
        <w:pStyle w:val="NoSpacing"/>
        <w:ind w:firstLine="708"/>
        <w:jc w:val="both"/>
        <w:rPr>
          <w:rFonts w:ascii="Times New Roman" w:hAnsi="Times New Roman"/>
          <w:sz w:val="24"/>
        </w:rPr>
      </w:pPr>
      <w:r>
        <w:rPr>
          <w:rFonts w:ascii="Times New Roman" w:hAnsi="Times New Roman"/>
          <w:sz w:val="24"/>
        </w:rPr>
        <w:t>- economic- respingerea ca neconforma a ofertei B1 ar aduce societății un prejudiciu de 129.210,20 lei, rezultat din diferența de preţ dintre cele două oferte, cu atât mai mult cu cât nu există temei legal pentru descalificarea ofertei, deoarece oferta depusă de Asocierea B1 S.A. (lider), C1 S.R.L.- asociat reprezintă un procent de din valoarea estimată a achiziției, nefiind necesar a fi solicitate justificări/detalieri ale componentelor deoarece valoarea ofertei nu este sub 80% din valoarea estimată.</w:t>
      </w:r>
    </w:p>
    <w:p>
      <w:pPr>
        <w:pStyle w:val="NoSpacing"/>
        <w:spacing w:before="0" w:after="0"/>
        <w:ind w:firstLine="709"/>
        <w:contextualSpacing/>
        <w:jc w:val="both"/>
        <w:rPr>
          <w:rFonts w:ascii="Times New Roman" w:hAnsi="Times New Roman"/>
          <w:sz w:val="24"/>
        </w:rPr>
      </w:pPr>
      <w:r>
        <w:rPr>
          <w:rFonts w:ascii="Times New Roman" w:hAnsi="Times New Roman"/>
          <w:sz w:val="24"/>
        </w:rPr>
        <w:t>În motivarea în fapt, a arătat că Societatea A1 S.A., in calitate de entitate contractantă a organizat licitația deschisă, având ca obiect „Acord Cadru: Servicii de transport salariați de la domiciliu la locul de munca si retur, pentru U.M.C.... - Sector  ....”, Cod unic de identificare a achiziției : ...5, PD ...5, Cod CPV*)  ....8 Serviciu de transport rutier specializat de pasageri, valoarea estimată a achiziției - 2.237.236,40 lei.</w:t>
      </w:r>
    </w:p>
    <w:p>
      <w:pPr>
        <w:pStyle w:val="Normal"/>
        <w:spacing w:before="0" w:after="0"/>
        <w:ind w:firstLine="709"/>
        <w:contextualSpacing/>
        <w:jc w:val="both"/>
        <w:rPr>
          <w:color w:val="000000"/>
        </w:rPr>
      </w:pPr>
      <w:r>
        <w:rPr>
          <w:color w:val="000000"/>
        </w:rPr>
        <w:t>În urma verificării îndeplinirii condițiilor de participare și a cerințelor minime asociate, cei doi ofertanți au îndeplinit condițiile de participare și nicio ofertă nu a fost declarată inacceptabilă/neconformă/neadecvată de către comisia de evaluare.</w:t>
      </w:r>
    </w:p>
    <w:p>
      <w:pPr>
        <w:pStyle w:val="Normal"/>
        <w:spacing w:before="0" w:after="0"/>
        <w:ind w:firstLine="709"/>
        <w:contextualSpacing/>
        <w:jc w:val="both"/>
        <w:rPr>
          <w:color w:val="000000"/>
        </w:rPr>
      </w:pPr>
      <w:r>
        <w:rPr>
          <w:color w:val="000000"/>
        </w:rPr>
        <w:t>În urma evaluării propunerilor tehnice și pe baza informațiilor prezentate de ofertanți, comisia de evaluare a concluzionat ca ofertanții au îndeplinit cerințele minime din Caietul de Sarcini.</w:t>
      </w:r>
    </w:p>
    <w:p>
      <w:pPr>
        <w:pStyle w:val="Normal"/>
        <w:spacing w:before="0" w:after="0"/>
        <w:ind w:firstLine="709"/>
        <w:contextualSpacing/>
        <w:jc w:val="both"/>
        <w:rPr>
          <w:color w:val="000000"/>
        </w:rPr>
      </w:pPr>
      <w:r>
        <w:rPr>
          <w:color w:val="000000"/>
        </w:rPr>
        <w:t>În urma evaluării propunerilor tehnice, nicio ofertă nu a fost declarată inacceptabilă/neconformi/neadecvată de către comisia de evaluare.</w:t>
      </w:r>
    </w:p>
    <w:p>
      <w:pPr>
        <w:pStyle w:val="Normal"/>
        <w:spacing w:before="0" w:after="0"/>
        <w:ind w:firstLine="709"/>
        <w:contextualSpacing/>
        <w:jc w:val="both"/>
        <w:rPr>
          <w:color w:val="000000"/>
        </w:rPr>
      </w:pPr>
      <w:r>
        <w:rPr>
          <w:color w:val="000000"/>
        </w:rPr>
        <w:t>În urma evaluării propunerilor financiare, nicio ofertă nu a fost declarată inacceptabilă sau neconformă de către comisia de evaluare.</w:t>
      </w:r>
    </w:p>
    <w:p>
      <w:pPr>
        <w:pStyle w:val="Normal"/>
        <w:spacing w:before="0" w:after="0"/>
        <w:ind w:firstLine="709"/>
        <w:contextualSpacing/>
        <w:jc w:val="both"/>
        <w:rPr>
          <w:color w:val="000000"/>
        </w:rPr>
      </w:pPr>
      <w:r>
        <w:rPr>
          <w:color w:val="000000"/>
        </w:rPr>
        <w:t>Aplicarea criteriului de atribuire și stabilirea clasamentului ofertanților</w:t>
      </w:r>
    </w:p>
    <w:p>
      <w:pPr>
        <w:pStyle w:val="Normal"/>
        <w:spacing w:before="0" w:after="0"/>
        <w:ind w:firstLine="709"/>
        <w:contextualSpacing/>
        <w:jc w:val="both"/>
        <w:rPr>
          <w:color w:val="000000"/>
        </w:rPr>
      </w:pPr>
      <w:r>
        <w:rPr>
          <w:color w:val="000000"/>
        </w:rPr>
        <w:t>Criteriul de atribuire folosit este ”cel mai bun raport calitate preț aplicat ofertelor declarate admisibile, în urma procesului de evaluare.</w:t>
      </w:r>
    </w:p>
    <w:p>
      <w:pPr>
        <w:pStyle w:val="Normal"/>
        <w:spacing w:before="0" w:after="0"/>
        <w:ind w:firstLine="709"/>
        <w:contextualSpacing/>
        <w:jc w:val="both"/>
        <w:rPr>
          <w:color w:val="000000"/>
        </w:rPr>
      </w:pPr>
      <w:r>
        <w:rPr>
          <w:color w:val="000000"/>
        </w:rPr>
        <w:t>Criteriul de atribuire este aplicat doar ofertelor admisibile și luând în considerare informațiile prezentate de ofertanți în ofertă (propunerea tehnică și propunerea financiară) și documentele care însoțesc oferta.</w:t>
      </w:r>
    </w:p>
    <w:p>
      <w:pPr>
        <w:pStyle w:val="Normal"/>
        <w:spacing w:before="0" w:after="0"/>
        <w:ind w:firstLine="709"/>
        <w:contextualSpacing/>
        <w:jc w:val="both"/>
        <w:rPr>
          <w:color w:val="000000"/>
        </w:rPr>
      </w:pPr>
      <w:r>
        <w:rPr>
          <w:color w:val="000000"/>
        </w:rPr>
        <w:t>Informații detaliate privind aplicarea factorilor de evaluare din cadrul criteriului de atribuire care privesc aspecte de natură tehnică și financiară se regăsesc în Procesul-verbal nr...4 din data 17.08.2023 și în Procesul-verbal nr. ...7 din data 31.08.2023, care conține rezultatul evaluării propunerilor tehnice și financiare și sunt parte a dosarului achiziției.</w:t>
      </w:r>
    </w:p>
    <w:p>
      <w:pPr>
        <w:pStyle w:val="Normal"/>
        <w:spacing w:before="0" w:after="0"/>
        <w:ind w:firstLine="709"/>
        <w:contextualSpacing/>
        <w:jc w:val="both"/>
        <w:rPr>
          <w:color w:val="000000"/>
        </w:rPr>
      </w:pPr>
      <w:r>
        <w:rPr>
          <w:color w:val="000000"/>
        </w:rPr>
        <w:t>În urma aplicării criteriului de atribuire și a algoritmului de calcul asociat, comisia de evaluare a realizat evaluarea documentelor depuse de Asocierea formată din: B1 S.A. (lider), C1 S.R.L. asociat, clasate pe primul loc, pentru demonstrarea informațiilor prezentate în DUAE.</w:t>
      </w:r>
    </w:p>
    <w:p>
      <w:pPr>
        <w:pStyle w:val="Normal"/>
        <w:ind w:firstLine="708"/>
        <w:jc w:val="both"/>
        <w:rPr>
          <w:color w:val="000000"/>
        </w:rPr>
      </w:pPr>
      <w:r>
        <w:rPr>
          <w:color w:val="000000"/>
        </w:rPr>
        <w:t>Membrii comisiei de evaluare au desemnat oferta prezentată de ofertantul format din Asocierea B1 S.A. Lider), C1 S.R.L. asociat, ca ofertă câștigătoare pentru această procedură de ofertă care a fost clasată pe primul loc în clasamentul rezultat după aplicarea criteriului de atribuire și verificarea documentelor-suport aferente probării informațiilor prezentate în DUAE în valoare de 2.108.026,20 lei.</w:t>
      </w:r>
    </w:p>
    <w:p>
      <w:pPr>
        <w:pStyle w:val="NoSpacing"/>
        <w:ind w:firstLine="708"/>
        <w:jc w:val="both"/>
        <w:rPr>
          <w:rFonts w:ascii="Times New Roman" w:hAnsi="Times New Roman"/>
          <w:sz w:val="24"/>
        </w:rPr>
      </w:pPr>
      <w:r>
        <w:rPr>
          <w:rFonts w:ascii="Times New Roman" w:hAnsi="Times New Roman"/>
          <w:sz w:val="24"/>
        </w:rPr>
        <w:t>Entitatea contractantă a evaluat ofertele tehnice depuse de operatorii economici, atât pe baza înscrisurilor care au dovedit că autovehiculele prezentate în propunerea tehnici, sunt deținute în patrimoniul societății, în leasing, sau alte forme de punere IR dispoziție, în conformitate cu cerințele legale, că acestea au fost individualizate în lista cu mijloacele de transport din parcul activ RTI și lista cu mijloacele de transport din parcul de rezervă activ RT2, însoțite de Fișele de prezentare a autovehiculului de transport persoane (FPA), după modelul atașat, aflate în RTI și RT2, așa cum este arătat în procesul —verbal de evaluarea a ofertelor procesul-verbal nr.....4/ din data 17.08.2023, aflat la dosarul achiziției.</w:t>
      </w:r>
    </w:p>
    <w:p>
      <w:pPr>
        <w:pStyle w:val="Normal"/>
        <w:ind w:firstLine="708"/>
        <w:jc w:val="both"/>
        <w:rPr>
          <w:color w:val="000000"/>
        </w:rPr>
      </w:pPr>
      <w:r>
        <w:rPr>
          <w:color w:val="000000"/>
        </w:rPr>
        <w:t>Așa cum se ponte observa din procesele-verbale ale comisiei de vizualizare și din analiza comparativă a normelor de poluare ale mijloacelor de transport prezentate de ofertanți, parcul auto al Asocierii formată din B1 S.A. (lider), C1 SRL(asociat) este net superior parcului auto al Asocierii R1 S.A., respectiv contestatoarei, drept pentru care oferta clasată pe primul loc n obținut punctajul de 8,83 pct., față de cea de-a doua ofertă eu un punctaj de 6,33 pct.</w:t>
      </w:r>
    </w:p>
    <w:p>
      <w:pPr>
        <w:pStyle w:val="Normal"/>
        <w:ind w:firstLine="708"/>
        <w:jc w:val="both"/>
        <w:rPr>
          <w:color w:val="000000"/>
        </w:rPr>
      </w:pPr>
      <w:r>
        <w:rPr>
          <w:color w:val="000000"/>
        </w:rPr>
        <w:t>A solicitat să se observe că prezentarea narativă nu a fost ceruta de entitatea contractantă, deoarece aceasta nu-si dovedea necesitatea si utilitatea în raport cu criteriile avute în vedere în caietul de sarcini şi în fisa de date a achiziției. În consecință, având în vedere aspectele tehnice prezentate, consideră că se impune respingerea criticilor aduse sub acest aspect de contestatoare.</w:t>
      </w:r>
    </w:p>
    <w:p>
      <w:pPr>
        <w:pStyle w:val="NoSpacing"/>
        <w:ind w:firstLine="708"/>
        <w:jc w:val="both"/>
        <w:rPr>
          <w:rFonts w:ascii="Times New Roman" w:hAnsi="Times New Roman"/>
          <w:sz w:val="24"/>
        </w:rPr>
      </w:pPr>
      <w:r>
        <w:rPr>
          <w:rFonts w:ascii="Times New Roman" w:hAnsi="Times New Roman"/>
          <w:sz w:val="24"/>
        </w:rPr>
        <w:t>Din examinarea calculațiilor de preț ale asocierii B1 SA - C1 SRL se constată că acesta sunt suficient de detaliate, se situează in limitele exigențelor de legalitate și temeinicie pentru a fi considerate suficiente și credibile și putând fi valorizate de achizitoare, cuprinzând costul cu forța de muncă, costurile fixe ale utilizării autovehiculelor (licenţa de transport, copie conformă, verificare tahograf, ITP, asigurare calatori. și bagaje, RCA/CASCO, rovignetă, impozit, anvelope, etc.), costurile cu combustibilul și celelalte cheltuieli auto, regia, profitul.</w:t>
      </w:r>
    </w:p>
    <w:p>
      <w:pPr>
        <w:pStyle w:val="NoSpacing"/>
        <w:ind w:firstLine="708"/>
        <w:jc w:val="both"/>
        <w:rPr>
          <w:rFonts w:ascii="Times New Roman" w:hAnsi="Times New Roman"/>
          <w:sz w:val="24"/>
        </w:rPr>
      </w:pPr>
      <w:r>
        <w:rPr>
          <w:rFonts w:ascii="Times New Roman" w:hAnsi="Times New Roman"/>
          <w:sz w:val="24"/>
        </w:rPr>
        <w:t>Autoarea plângerii utilizează un mod propriu de calcul, ca o regulă general valabilă pentru toți ofertanții participanți procedură, Ori, acest raționament nu este judicios și nu va fi reținut de Consiliu în soluționare, prin raportarea 18 înscrisurile depuse de asocierea B1 SA - C1 SRL.</w:t>
      </w:r>
    </w:p>
    <w:p>
      <w:pPr>
        <w:pStyle w:val="NoSpacing"/>
        <w:ind w:firstLine="708"/>
        <w:jc w:val="both"/>
        <w:rPr>
          <w:rFonts w:ascii="Times New Roman" w:hAnsi="Times New Roman"/>
          <w:sz w:val="24"/>
        </w:rPr>
      </w:pPr>
      <w:r>
        <w:rPr>
          <w:rFonts w:ascii="Times New Roman" w:hAnsi="Times New Roman"/>
          <w:sz w:val="24"/>
        </w:rPr>
        <w:t>În speță, însă, contestatoarea nu aduce vreo dovadă din care să reiasă imposibilitatea asocierii ofertante reclamate de a îndeplini obligațiile contractuale în forma în care aceast2 și le-a asumat prin oferta depusă.</w:t>
      </w:r>
    </w:p>
    <w:p>
      <w:pPr>
        <w:pStyle w:val="NoSpacing"/>
        <w:ind w:firstLine="708"/>
        <w:jc w:val="both"/>
        <w:rPr>
          <w:rFonts w:ascii="Times New Roman" w:hAnsi="Times New Roman"/>
          <w:sz w:val="24"/>
        </w:rPr>
      </w:pPr>
      <w:r>
        <w:rPr>
          <w:rFonts w:ascii="Times New Roman" w:hAnsi="Times New Roman"/>
          <w:sz w:val="24"/>
        </w:rPr>
        <w:t>A solicitat instanțe să respingă plângerea așa cum a fost formulată și sa reţină că a fost respectat cu prioritate principiul utilizării eficiente a fondurilor alocate raportat la calitatea serviciilor de transport și la criteriul de atribuire al procedurii de achiziție oferite respectiv respingerea ca neconformă a ofertei B1 .</w:t>
      </w:r>
    </w:p>
    <w:p>
      <w:pPr>
        <w:pStyle w:val="NoSpacing"/>
        <w:ind w:firstLine="708"/>
        <w:jc w:val="both"/>
        <w:rPr>
          <w:rFonts w:ascii="Times New Roman" w:hAnsi="Times New Roman"/>
          <w:sz w:val="24"/>
        </w:rPr>
      </w:pPr>
      <w:r>
        <w:rPr>
          <w:rFonts w:ascii="Times New Roman" w:hAnsi="Times New Roman"/>
          <w:sz w:val="24"/>
        </w:rPr>
        <w:t>În drept, a invocat prevederile Legii nr. 101/2016 privind remediile și căile de atac în materie de atribuire a contractelor de achiziție publică si Legii nr.99/2016 privind achizițiile sectoriale.</w:t>
      </w:r>
    </w:p>
    <w:p>
      <w:pPr>
        <w:pStyle w:val="NoSpacing"/>
        <w:ind w:firstLine="708"/>
        <w:jc w:val="both"/>
        <w:rPr>
          <w:rFonts w:ascii="Times New Roman" w:hAnsi="Times New Roman"/>
          <w:sz w:val="24"/>
        </w:rPr>
      </w:pPr>
      <w:r>
        <w:rPr>
          <w:rFonts w:ascii="Times New Roman" w:hAnsi="Times New Roman"/>
          <w:sz w:val="24"/>
        </w:rPr>
        <w:t>La data de  11.11.2023, pârâta ASOCIEREA B1 SA-C1 SRL, în termen legal şi în temeiul art. 29 si a următoarelor din Legea nr. 101/2016 privind remediile și căile de atac în materie de atribuire a contractelor de achiziție publică a contractelor sectoriale și a contractelor de concesiune de lucrări și concesiune de servicii, precum și pentru organizarea și funcționarea Consiliului National de Soluționare a Contestațiilor, modificata si completata ulterior a depus, de asemenea, întâmpinare, solicitând să se respingă plângerea ca nefondată, întrucât prin aceasta se fac referiri la gradul de admisibilitate al ofertei societății-pârâte care nu sunt întemeiate, fapt care poate duce la descalificarea nejustificata a ofertei si prejudicierea societății în cauză.</w:t>
      </w:r>
    </w:p>
    <w:p>
      <w:pPr>
        <w:pStyle w:val="Normal"/>
        <w:ind w:firstLine="669"/>
        <w:jc w:val="both"/>
        <w:rPr>
          <w:color w:val="000000"/>
        </w:rPr>
      </w:pPr>
      <w:r>
        <w:rPr>
          <w:color w:val="000000"/>
        </w:rPr>
        <w:t xml:space="preserve">Astfel, a solicitat să se constate că este inadmisibilă solicitarea petentei de a se anula Adresa nr.  ....5/15.09.2023 privind comunicarea rezultatului Procedurii de atribuire a Raportului procedurii nr. ....7/DCl/12.09.2023, precum și a tuturor actelor anterioare și/sau subsecvente acestora care privesc modalitatea de evaluare a ofertei depuse de către Asocierea SC B1 SA - SC C1 SRL, și obligarea Autorității contractante să adopte măsurile necesare restabilirii legalității procedurii cu consecința stabilirii caracterului neconform și inacceptabil al ofertei Asocierii SC B1 SA - SC C1 SRL </w:t>
      </w:r>
      <w:r>
        <w:rPr/>
        <w:drawing>
          <wp:inline distT="0" distB="0" distL="0" distR="0">
            <wp:extent cx="14605" cy="1460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14605" cy="14605"/>
                    </a:xfrm>
                    <a:prstGeom prst="rect">
                      <a:avLst/>
                    </a:prstGeom>
                  </pic:spPr>
                </pic:pic>
              </a:graphicData>
            </a:graphic>
          </wp:inline>
        </w:drawing>
      </w:r>
    </w:p>
    <w:p>
      <w:pPr>
        <w:pStyle w:val="Normal"/>
        <w:ind w:firstLine="669"/>
        <w:jc w:val="both"/>
        <w:rPr>
          <w:color w:val="000000"/>
        </w:rPr>
      </w:pPr>
      <w:r>
        <w:rPr>
          <w:color w:val="000000"/>
        </w:rPr>
        <w:t>Cu privire la soluția entității contractante de a declara oferta petentei ca necâștigătoare, a solicitat a se constata că soluția este una corectă, întrucât:</w:t>
      </w:r>
    </w:p>
    <w:p>
      <w:pPr>
        <w:pStyle w:val="Normal"/>
        <w:ind w:firstLine="669"/>
        <w:jc w:val="both"/>
        <w:rPr>
          <w:color w:val="000000"/>
        </w:rPr>
      </w:pPr>
      <w:r>
        <w:rPr>
          <w:color w:val="000000"/>
        </w:rPr>
        <w:t>Conform documentației  de atribuire criteriul de atribuire in cadrul procedurii de achiziție publică a fost cel mai bun raport calitate — preț, prezentându-se clar factorii de evaluare respectiv : Norma de poluare Euro a parcului de vehicule ofertat cu o pondere de 10% în punctajul final și punctaj maxim de 10 puncte, și Prețul ofertei cu o pondere de în punctajul final și punctaj maxim 90 de puncte.</w:t>
      </w:r>
    </w:p>
    <w:p>
      <w:pPr>
        <w:pStyle w:val="Normal"/>
        <w:ind w:firstLine="669"/>
        <w:jc w:val="both"/>
        <w:rPr>
          <w:color w:val="000000"/>
        </w:rPr>
      </w:pPr>
      <w:r>
        <w:rPr>
          <w:color w:val="000000"/>
        </w:rPr>
        <w:t>În urma anunțului de participare nr. CN ....6/20.05.2023 afișat în SFAP de către autoritatea contractantă Societatea A1 SA pentru ''Servicii de transport salariați de la domiciliul la locul de muncă și retur pentru UMC ... Sector  ....”, cod CP V  ....8 Servicii de transport rutier specializat de pasageri (Rev.2 Asocierea SC B1 SA - SC C1 SRL, prin liderul de asociere B1 S.A. și asociat SC C1 SRL, susţine că a depus oferta conform documentației de atribuire până la data și ora limită comunicate prin procedura de achiziție publică.</w:t>
      </w:r>
    </w:p>
    <w:p>
      <w:pPr>
        <w:pStyle w:val="Normal"/>
        <w:ind w:firstLine="671"/>
        <w:jc w:val="both"/>
        <w:rPr>
          <w:color w:val="000000"/>
        </w:rPr>
      </w:pPr>
      <w:r>
        <w:rPr>
          <w:color w:val="000000"/>
        </w:rPr>
        <w:t>Formularele depuse conțin toţi parametri tehnici solicitați prin documentația de atribuire, totodată au fost depuse documentele autovehiculelor de transport (Copie conform certificat de înmatriculare cu ITP valabil. carte de identitate a autovehiculului) în care se regăsesc informațiile tehnice.</w:t>
      </w:r>
    </w:p>
    <w:p>
      <w:pPr>
        <w:pStyle w:val="Normal"/>
        <w:ind w:firstLine="671"/>
        <w:jc w:val="both"/>
        <w:rPr>
          <w:color w:val="000000"/>
        </w:rPr>
      </w:pPr>
      <w:r>
        <w:rPr>
          <w:color w:val="000000"/>
        </w:rPr>
        <w:t>În data de 27.06.2023, s-a deplasat la locația comunicată prin Declarația disponibilitate pentru Comisia de evaluare și vizualizare a autovehiculelor de transport salariați ofertate conform RTI și RT2 încărcată în procedura de atribuire până la data limită. Comisia de vizualizare și evaluare tehnică, în vederea vizualizării și evaluării tehnice a autovehiculelor prezentate în oferta tehnică, conform prevederilor caietului de sarcini și a fișei de dale a procedurii de achiziție.</w:t>
      </w:r>
    </w:p>
    <w:p>
      <w:pPr>
        <w:pStyle w:val="Normal"/>
        <w:ind w:firstLine="671"/>
        <w:jc w:val="both"/>
        <w:rPr>
          <w:color w:val="000000"/>
        </w:rPr>
      </w:pPr>
      <w:r>
        <w:rPr>
          <w:color w:val="000000"/>
        </w:rPr>
        <w:t>A arătat că, în urma evaluării tehnice, Comisia de vizualizare și evaluare tehnică a consemnat calificativul „ADMIS” pe fișele de prezentare ale autovehiculelor de transport persoane. toate cele 15 autovehicule prezentate conform formularelor RT l- parc activ și RT 2 parc de rezervă fiind admise la vizualizare și evaluarea tehnică.</w:t>
      </w:r>
    </w:p>
    <w:p>
      <w:pPr>
        <w:pStyle w:val="Normal"/>
        <w:ind w:firstLine="671"/>
        <w:jc w:val="both"/>
        <w:rPr>
          <w:color w:val="000000"/>
        </w:rPr>
      </w:pPr>
      <w:r>
        <w:rPr>
          <w:color w:val="000000"/>
        </w:rPr>
        <w:t>În Raportul Tehnic de Evaluare a mijloacelor auto de transport persoane din parcul activ RTI și din parcul de rezervă încheiat sub nr. ...3/UMCPl/27.06.2023 s-a înregistrat faptul că toate autovehiculele vizualizate din parcul RTl și RT2 corespund din punct de vedere al stării tehnice și conform caietului de sarcini.</w:t>
      </w:r>
    </w:p>
    <w:p>
      <w:pPr>
        <w:pStyle w:val="Normal"/>
        <w:ind w:firstLine="671"/>
        <w:jc w:val="both"/>
        <w:rPr>
          <w:color w:val="000000"/>
        </w:rPr>
      </w:pPr>
      <w:r>
        <w:rPr>
          <w:color w:val="000000"/>
        </w:rPr>
        <w:t>Astfel că, a îndeplinit toate cerințele documentației de atribuire, a depus toate documentele solicitate propunerea tehnică și formularele au fost completate corespunzător.</w:t>
      </w:r>
    </w:p>
    <w:p>
      <w:pPr>
        <w:pStyle w:val="Normal"/>
        <w:ind w:firstLine="671"/>
        <w:jc w:val="both"/>
        <w:rPr>
          <w:color w:val="000000"/>
        </w:rPr>
      </w:pPr>
      <w:r>
        <w:rPr>
          <w:color w:val="000000"/>
        </w:rPr>
        <w:t>Declarația netemeinică a contestatarei prin care susține că ”propunerea tehnică trebuia să cuprindă o prezentare narativă a modului in care cerințele Caietului de sarcini urmează să fie îndeplinite” nu are niciun temei legal. neregăsindu-se în documentația de atribuire și după cum se poate observa in contestația transmisă nu există nicio trimitere către locul unde s-ar găsi în documentație.</w:t>
      </w:r>
    </w:p>
    <w:p>
      <w:pPr>
        <w:pStyle w:val="Normal"/>
        <w:ind w:firstLine="671"/>
        <w:jc w:val="both"/>
        <w:rPr>
          <w:color w:val="000000"/>
        </w:rPr>
      </w:pPr>
      <w:r>
        <w:rPr>
          <w:color w:val="000000"/>
        </w:rPr>
        <w:t xml:space="preserve">De asemenea, pârâta Asocierea SC B1 SA - SC C1 SRL. prin liderul de asociere B1 S.A. și asociat SC C1 SRL, a prezentat formularul model "Propunere Tehnică" </w:t>
      </w:r>
    </w:p>
    <w:p>
      <w:pPr>
        <w:pStyle w:val="Normal"/>
        <w:ind w:firstLine="671"/>
        <w:jc w:val="both"/>
        <w:rPr>
          <w:color w:val="000000"/>
        </w:rPr>
      </w:pPr>
      <w:r>
        <w:rPr>
          <w:color w:val="000000"/>
        </w:rPr>
        <w:t>Formularul de propunere financiară a fost depus și a cuprins Valoarea Totală Ofertată aferentă celor 12 luni ale contractului , valoare fermă și nemodificabilă până la finalizarea contractului. clauză acceptată și prin însușirea proiectului de contract (art. 5.2).</w:t>
      </w:r>
    </w:p>
    <w:p>
      <w:pPr>
        <w:pStyle w:val="Normal"/>
        <w:ind w:firstLine="671"/>
        <w:jc w:val="both"/>
        <w:rPr>
          <w:color w:val="000000"/>
        </w:rPr>
      </w:pPr>
      <w:r>
        <w:rPr>
          <w:color w:val="000000"/>
        </w:rPr>
        <w:t>Anexa la formularul de ofertă a fost completată și depusă.</w:t>
      </w:r>
    </w:p>
    <w:p>
      <w:pPr>
        <w:pStyle w:val="Normal"/>
        <w:ind w:firstLine="671"/>
        <w:jc w:val="both"/>
        <w:rPr>
          <w:color w:val="000000"/>
        </w:rPr>
      </w:pPr>
      <w:r>
        <w:rPr>
          <w:color w:val="000000"/>
        </w:rPr>
        <w:t>Centralizator ofertă financiară a fost completat și depus. Acesta a cuprins calculațiile de preț pentru determinarea tarifelor pentru fiecare vehicul, întrucât pe fiecare din cele 12 trasee, fiecare cu numărul de kilometri indicat pe fiecare cursă, a fost indicat tipul vehiculului, și numărul de curse total pentru perioada de 12 luni, pentru care a prezentat prețul unitar lei/km conform tipului de autovehicul, calculația de preț pe cursă rezultând valoarea în lei/cursă, și totalul valorii pe fiecare traseu pentru perioada considerată. Suma valorilor celor 12 trasee pentru perioada considerată reprezintă Valoarea Totală Ofertată aferentă celor 12 luni ale contractului, valoare fermă și nemodificabilă până la finalizarea contractului.</w:t>
      </w:r>
    </w:p>
    <w:p>
      <w:pPr>
        <w:pStyle w:val="Normal"/>
        <w:ind w:firstLine="671"/>
        <w:jc w:val="both"/>
        <w:rPr>
          <w:color w:val="000000"/>
        </w:rPr>
      </w:pPr>
      <w:r>
        <w:rPr>
          <w:color w:val="000000"/>
        </w:rPr>
        <w:t xml:space="preserve">Prețul ofertat în cadrul procedurii de achiziție publică pentru „Servicii de transport salariați de la domiciliul la locul de muncă și retur pentru UMC ... </w:t>
      </w:r>
      <w:r>
        <w:rPr/>
        <w:drawing>
          <wp:inline distT="0" distB="0" distL="0" distR="0">
            <wp:extent cx="14605" cy="14605"/>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14605" cy="14605"/>
                    </a:xfrm>
                    <a:prstGeom prst="rect">
                      <a:avLst/>
                    </a:prstGeom>
                  </pic:spPr>
                </pic:pic>
              </a:graphicData>
            </a:graphic>
          </wp:inline>
        </w:drawing>
      </w:r>
      <w:r>
        <w:rPr>
          <w:color w:val="000000"/>
        </w:rPr>
        <w:t>Sector  ....” este reprezentat de Valoarea Totală Ofertată aferentă celor 12 luni ale contractului, valoare fermă și nemodificabilă până la finalizarea contractului, se regăsește în Formularul de Ofertă Financiară, respectiv 2.108.026.20 lei fără TVA. Acest preț ofertat a fost fundamentat conform calculațiilor de preț din cadrul centralizatorului de ofertă financiară.</w:t>
      </w:r>
    </w:p>
    <w:p>
      <w:pPr>
        <w:pStyle w:val="Normal"/>
        <w:ind w:firstLine="671"/>
        <w:jc w:val="both"/>
        <w:rPr>
          <w:color w:val="000000"/>
        </w:rPr>
      </w:pPr>
      <w:r>
        <w:rPr>
          <w:color w:val="000000"/>
        </w:rPr>
        <w:t>Astfel că, contestatoarea face o gravă confuzie intre prețul unitar de lei/km pe fiecare cursă, și fiecare tip de autovehicul, fiecare program de lucru, și Prețul Ofertat reprezentat de Valoarea Totală aferentă celor 12 luni ale contractului, valoare fermă și nemodificabilă până la finalizarea contractului, se regăsește în Formularul de Ofertă Financiară.</w:t>
      </w:r>
    </w:p>
    <w:p>
      <w:pPr>
        <w:pStyle w:val="Normal"/>
        <w:ind w:firstLine="671"/>
        <w:jc w:val="both"/>
        <w:rPr>
          <w:color w:val="000000"/>
        </w:rPr>
      </w:pPr>
      <w:r>
        <w:rPr>
          <w:color w:val="000000"/>
        </w:rPr>
        <w:t>În urma solicitării de clarificări nr....3/25.08.2023, pentru a nu exista vreo urmă de confuzie, a defalcat și prezentat, modalitatea de stabilire a preturilor unitare ofertate conform centralizatorului ofertei financiare, pe fiecare tip de autovehicul/tip de cursă. conform adresei ...5/30.08.2023.</w:t>
      </w:r>
    </w:p>
    <w:p>
      <w:pPr>
        <w:pStyle w:val="Normal"/>
        <w:ind w:firstLine="671"/>
        <w:jc w:val="both"/>
        <w:rPr>
          <w:color w:val="000000"/>
        </w:rPr>
      </w:pPr>
      <w:r>
        <w:rPr>
          <w:color w:val="000000"/>
        </w:rPr>
        <w:t>Centralizator ofertă financiară a fost completat și depus. Acesta a cuprins calculațiile de preţ pentru determinarea tarifelor pentru fiecare vehicul, întrucât pe fiecare din cele 12 trasee, fiecare cu numărul de kilometri indicat pe fiecare cursă, a fost indicat tipul vehiculului, și numărul de curse total pentru perioada de 12 1uni pentru care a prezentat prețul unitar lei/km conform tipului de autovehicul, calculația de preț pe cursă rezultând valoarea în lei/cursă, și totalul valorii pe fiecare traseu pentru perioada considerată. Suma valorilor celor 12 trasee pentru perioada considerată reprezintă Valoarea Totală Ofertată aferentă celor 1 2 luni ale contractului valoare fermă și nemodificabilă până la finalizarea contractului - a defalcat și prezentat modalitatea de stabilire a prețurilor unitare ofertate conform centralizatorului ofertei financiare, pe fiecare tip de autovehicul/tip de cursă- conform costurilor aferente.</w:t>
      </w:r>
    </w:p>
    <w:p>
      <w:pPr>
        <w:pStyle w:val="Normal"/>
        <w:ind w:firstLine="669"/>
        <w:jc w:val="both"/>
        <w:rPr>
          <w:color w:val="000000"/>
        </w:rPr>
      </w:pPr>
      <w:r>
        <w:rPr>
          <w:color w:val="000000"/>
        </w:rPr>
        <w:t>În lumina celor prezentate mai sus, a solicitat instanței să respingă ca nefondată plângerea formulată de ASOCIEREA R1 SA, A2 SRL, A3 SRL, A4 COM SRL, A5 SRL, întrucât nu a adus niciun argument concret si temeinic prin care sa o motiveze in fapt si in drept.</w:t>
      </w:r>
    </w:p>
    <w:p>
      <w:pPr>
        <w:pStyle w:val="Normal"/>
        <w:rPr/>
      </w:pPr>
      <w:bookmarkStart w:name="_Hlk160642816" w:id="20"/>
      <w:bookmarkEnd w:id="20"/>
      <w:r>
        <w:rPr/>
        <w:tab/>
      </w:r>
      <w:r>
        <w:rPr>
          <w:b/>
        </w:rPr>
        <w:t>Curtea, analizând actele şi lucrările dosarului, constată următoarele</w:t>
      </w:r>
      <w:r>
        <w:rPr/>
        <w:t>:</w:t>
      </w:r>
    </w:p>
    <w:p>
      <w:pPr>
        <w:pStyle w:val="Normal"/>
        <w:ind w:firstLine="720"/>
        <w:jc w:val="both"/>
        <w:rPr>
          <w:color w:val="000000"/>
        </w:rPr>
      </w:pPr>
      <w:r>
        <w:rPr>
          <w:color w:val="000000"/>
        </w:rPr>
        <w:t>În vederea încheierii acordului-cadru având ca obiect Acord Cadru: Servicii de transport salariați de la domiciliu la locul de muncă și retur, pentru U.M.C.... - Sector  ...., cod  ....8 Servicii de transport rutier specializat de pasageri (Rev.2)</w:t>
      </w:r>
      <w:r>
        <w:rPr>
          <w:color w:val="000000"/>
          <w:vertAlign w:val="subscript"/>
        </w:rPr>
        <w:t xml:space="preserve">, </w:t>
      </w:r>
      <w:r>
        <w:rPr>
          <w:color w:val="000000"/>
        </w:rPr>
        <w:t>SOCIETATEA A1 SA, în calitate de entitate contractantă, a inițiat procedura de licitație deschisă, prin publicarea în SEAP a anunțului de participare nr. CN ....6/20.05.2023.</w:t>
      </w:r>
    </w:p>
    <w:p>
      <w:pPr>
        <w:pStyle w:val="Normal"/>
        <w:jc w:val="both"/>
        <w:rPr>
          <w:color w:val="000000"/>
        </w:rPr>
      </w:pPr>
      <w:r>
        <w:rPr>
          <w:color w:val="000000"/>
        </w:rPr>
        <w:tab/>
        <w:t>Valoarea estimată a acordului-cadru de servicii este de 2.237.236,40 lei, fără TVA, iar valoarea celui mai mare contract subsecvent este de 1.121.540,04 lei, fără TVA.</w:t>
      </w:r>
    </w:p>
    <w:p>
      <w:pPr>
        <w:pStyle w:val="Normal"/>
        <w:ind w:firstLine="720"/>
        <w:jc w:val="both"/>
        <w:rPr>
          <w:color w:val="000000"/>
        </w:rPr>
      </w:pPr>
      <w:r>
        <w:rPr>
          <w:color w:val="000000"/>
        </w:rPr>
        <w:t xml:space="preserve"> </w:t>
      </w:r>
      <w:r>
        <w:rPr>
          <w:color w:val="000000"/>
        </w:rPr>
        <w:t>Criteriul de atribuire este cel mai bun raport calitate preț, algoritm compus din norma d epoluare euro a parcului auto ofertat şi preţul ofertei,iar data limită de depunere a ofertelor a fost stabilită pentru 22.06.2023, ora 15:00.</w:t>
      </w:r>
    </w:p>
    <w:p>
      <w:pPr>
        <w:pStyle w:val="Normal"/>
        <w:jc w:val="both"/>
        <w:rPr>
          <w:color w:val="000000"/>
        </w:rPr>
      </w:pPr>
      <w:r>
        <w:rPr>
          <w:color w:val="000000"/>
        </w:rPr>
        <w:tab/>
        <w:t>Nemulțumită fiind de rezultatul procedurii de atribuire, comunicat prin Adresa nr.  ....5/15.09.2023 și Raportul procedurii nr.  ....7/DC1/12.09.2023, prin care oferta depusă de asocierea B1 SA - C1 SRL a fost desemnată câștigătoare, oferta asocierii contestatoare R1 SA - A2 SRL - A3 SRL - A4 COM SRL - A5 SRL fiind clasată pe locul 2, asocierea a depus contestația .</w:t>
      </w:r>
    </w:p>
    <w:p>
      <w:pPr>
        <w:pStyle w:val="Normal"/>
        <w:jc w:val="both"/>
        <w:rPr>
          <w:color w:val="000000"/>
        </w:rPr>
      </w:pPr>
      <w:r>
        <w:rPr>
          <w:color w:val="000000"/>
        </w:rPr>
        <w:tab/>
        <w:t>Prin decizia ...9/2023, CNSC a respins contestaţia.</w:t>
      </w:r>
    </w:p>
    <w:p>
      <w:pPr>
        <w:pStyle w:val="Normal"/>
        <w:ind w:firstLine="708"/>
        <w:jc w:val="both"/>
        <w:rPr/>
      </w:pPr>
      <w:r>
        <w:rPr/>
        <w:t xml:space="preserve">Cu privire la criticile vizând nelegalitatea Deciziei Consiliului, Curtea notează  că acţiunile autorităţii contractante şi actele adoptate de către aceasta pe parcursul derulării procedurii contestate trebuie să fie subsumate principiilor guvernatoare ale procedurilor de achiziţie publică, principiul legalităţii, egalităţii de tratament şi principiul proporţionalităţii. </w:t>
      </w:r>
    </w:p>
    <w:p>
      <w:pPr>
        <w:pStyle w:val="Normal"/>
        <w:ind w:firstLine="720"/>
        <w:jc w:val="both"/>
        <w:rPr/>
      </w:pPr>
      <w:r>
        <w:rPr/>
        <w:t>Principiul proporţionalităţii este înţeles ca asigurare a corelaţiei dintre necesitatea autorităţii contractante, obiectul contractului de achiziţie publică şi cerinţele solicitate a fi îndeplinite.</w:t>
      </w:r>
    </w:p>
    <w:p>
      <w:pPr>
        <w:pStyle w:val="Normal"/>
        <w:ind w:firstLine="720"/>
        <w:jc w:val="both"/>
        <w:rPr/>
      </w:pPr>
      <w:r>
        <w:rPr/>
        <w:t xml:space="preserve">Autoritatea contractantă este obligată să asigure, în fiecare fază a unei proceduri de cerere de ofertă, respectarea principiului legalităţii, egalității de tratament și, în consecință, egalitatea de șanse a tuturor ofertanților. </w:t>
      </w:r>
    </w:p>
    <w:p>
      <w:pPr>
        <w:pStyle w:val="Normal"/>
        <w:ind w:firstLine="720"/>
        <w:jc w:val="both"/>
        <w:rPr/>
      </w:pPr>
      <w:r>
        <w:rPr/>
        <w:t xml:space="preserve">Principiul egalității de tratament între ofertanți, care are ca obiectiv favorizarea dezvoltării unei concurențe corecte și efective între întreprinderile participante la o procedură de achiziții publice, impune ca toți ofertanții să dispună de aceleași șanse în elaborarea ofertelor lor și presupune, prin urmare, ca acestea să fie supuse acelorași condiții pentru toți ofertanții. </w:t>
      </w:r>
    </w:p>
    <w:p>
      <w:pPr>
        <w:pStyle w:val="Normal"/>
        <w:ind w:firstLine="720"/>
        <w:jc w:val="both"/>
        <w:rPr/>
      </w:pPr>
      <w:r>
        <w:rPr/>
        <w:t xml:space="preserve">Principiul egalității de tratament presupune de asemenea o obligație de transparență pentru a permite verificarea respectării sale. </w:t>
      </w:r>
    </w:p>
    <w:p>
      <w:pPr>
        <w:pStyle w:val="Normal"/>
        <w:ind w:firstLine="720"/>
        <w:jc w:val="both"/>
        <w:rPr/>
      </w:pPr>
      <w:r>
        <w:rPr/>
        <w:t xml:space="preserve">Acest principiu al transparenței are ca scop, în esență, să garanteze că este înlăturat riscul de favoritism și de comportament arbitrar din partea autorității contractante. Acesta presupune ca toate condițiile și modalitățile procedurii de atribuire să fie formulate clar, precis și univoc în anunțul de participare sau în caietul de sarcini. </w:t>
      </w:r>
    </w:p>
    <w:p>
      <w:pPr>
        <w:pStyle w:val="Normal"/>
        <w:ind w:firstLine="720"/>
        <w:jc w:val="both"/>
        <w:rPr/>
      </w:pPr>
      <w:r>
        <w:rPr/>
        <w:t>Prin urmare, principiul transparenței presupune ca toate informațiile tehnice relevante pentru buna înțelegere a anunțului de participare sau a caietului de sarcini să fie puse, de îndată ce este posibil, la dispoziția tuturor întreprinderilor participante la o procedură de achiziții publice, astfel încât, pe de o parte, să permită tuturor ofertanților mediu informați și care dau dovadă de o diligență normală să înțeleagă conținutul exact al acestora și să le interpreteze în același fel și, pe de altă parte, să dea posibilitatea autorității contractante să verifice dacă ofertele ofertanților corespund efectiv criteriilor care guvernează contractul în cauză.</w:t>
      </w:r>
    </w:p>
    <w:p>
      <w:pPr>
        <w:pStyle w:val="Normal"/>
        <w:ind w:firstLine="720"/>
        <w:jc w:val="both"/>
        <w:rPr/>
      </w:pPr>
      <w:r>
        <w:rPr/>
        <w:t xml:space="preserve">Curtea de apel  reţine că, în situaţia în care cerinţa stabilită prin caietul de sarcini era considerată neclară, inexactă sau disproporţionată, ofertanţii aveau alte remedii la dispoziţie, astfel că, nefiind contestată în termenul şi în condiţiile stabilite de lege, documentaţia de atribuire aferentă procedurii de achiziţie publică, cu toate specificaţiile sale, a devenit obligatorie pentru toţi participanţii, ofertanţi şi autortate,  consolidându-şi în acest fel valoarea juridică. </w:t>
      </w:r>
    </w:p>
    <w:p>
      <w:pPr>
        <w:pStyle w:val="Normal"/>
        <w:ind w:firstLine="720"/>
        <w:jc w:val="both"/>
        <w:rPr/>
      </w:pPr>
      <w:r>
        <w:rPr/>
        <w:t>Având în vedere actele şi lucrările dosarului, instanţa constată că prevederile legale nu au fost respectate de către autoritatea contractantă,  în raport de motivele şi argumentele susţinute de petentă, iar Decizia CNSC nu  este legală şi temeinică, astfel că va admite  plângerea formulată de către petenta R1 SA</w:t>
      </w:r>
    </w:p>
    <w:p>
      <w:pPr>
        <w:pStyle w:val="Normal"/>
        <w:jc w:val="both"/>
        <w:rPr/>
      </w:pPr>
      <w:r>
        <w:rPr/>
        <w:tab/>
        <w:t>Criteriile prevazute de legea 99/2016 sunt de calificare, selectie, atribuire.</w:t>
      </w:r>
    </w:p>
    <w:p>
      <w:pPr>
        <w:pStyle w:val="Normal"/>
        <w:jc w:val="both"/>
        <w:rPr/>
      </w:pPr>
      <w:r>
        <w:rPr/>
        <w:tab/>
        <w:t xml:space="preserve">Astfel, potrivit </w:t>
      </w:r>
      <w:bookmarkStart w:name="6683028" w:id="21"/>
      <w:bookmarkEnd w:id="21"/>
      <w:r>
        <w:rPr/>
        <w:t>a</w:t>
      </w:r>
      <w:r>
        <w:rPr>
          <w:rStyle w:val="rvts2"/>
        </w:rPr>
        <w:t>rt. 185 - </w:t>
      </w:r>
      <w:r>
        <w:rPr>
          <w:rStyle w:val="rvts10"/>
        </w:rPr>
        <w:t>(1) din legea 99/2016 „Entitatea contractantă are dreptul de a aplica în cadrul procedurii de atribuire numai criterii privind capacitatea referitoare la: a) capacitatea de exercitare a activităţii profesionale;b) situaţia economică şi financiară;c) capacitatea tehnică şi profesională.</w:t>
      </w:r>
      <w:bookmarkStart w:name="6683034" w:id="22"/>
      <w:bookmarkEnd w:id="22"/>
      <w:r>
        <w:rPr>
          <w:rStyle w:val="rvts10"/>
        </w:rPr>
        <w:t>”</w:t>
      </w:r>
    </w:p>
    <w:p>
      <w:pPr>
        <w:pStyle w:val="Normal"/>
        <w:ind w:firstLine="708"/>
        <w:jc w:val="both"/>
        <w:rPr/>
      </w:pPr>
      <w:r>
        <w:rPr>
          <w:rStyle w:val="rvts2"/>
        </w:rPr>
        <w:t>Potrivit art. 191 - </w:t>
      </w:r>
      <w:r>
        <w:rPr>
          <w:rStyle w:val="rvts10"/>
        </w:rPr>
        <w:t>(1) din aceeaşi lege , „ Entitatea contractantă are dreptul de a stabili prin documentele achiziţiei criteriile privind capacitatea tehnică şi profesională care sunt necesare şi adecvate pentru a se asigura că operatorii economici deţin resursele umane şi tehnice şi experienţa necesare pentru a executa contractul sectorial/acordul-cadru la un standard de calitate corespunzător.  (2) Criteriile privind capacitatea tehnică şi profesională stabilite de entitatea contractantă pot viza în special existenţa unui nivel corespunzător de experienţă, prin raportare la contractele executate în trecut.”</w:t>
      </w:r>
    </w:p>
    <w:p>
      <w:pPr>
        <w:pStyle w:val="Normal"/>
        <w:jc w:val="both"/>
        <w:rPr/>
      </w:pPr>
      <w:r>
        <w:rPr/>
        <w:tab/>
        <w:t xml:space="preserve">Deci, autoritatea  </w:t>
      </w:r>
      <w:r>
        <w:rPr>
          <w:u w:val="single"/>
        </w:rPr>
        <w:t>are dreptul, nu si obligatia</w:t>
      </w:r>
      <w:r>
        <w:rPr/>
        <w:t xml:space="preserve"> potrivit art. 185 si 191 din Legea 99/2016 de a stabili criterii de calificare si selectie.</w:t>
      </w:r>
    </w:p>
    <w:p>
      <w:pPr>
        <w:pStyle w:val="Normal"/>
        <w:ind w:firstLine="708"/>
        <w:jc w:val="both"/>
        <w:rPr/>
      </w:pPr>
      <w:r>
        <w:rPr/>
        <w:t xml:space="preserve">Totodată, dacă autoritatea contractantă uzează de prerogativa legală a stabilirii </w:t>
      </w:r>
      <w:r>
        <w:rPr>
          <w:rStyle w:val="rvts10"/>
        </w:rPr>
        <w:t>criteriilor privind capacitatea tehnică şi profesională, are obligaţia corelativă a publicării în anunţul de participare .</w:t>
      </w:r>
    </w:p>
    <w:p>
      <w:pPr>
        <w:pStyle w:val="Normal"/>
        <w:ind w:firstLine="708"/>
        <w:jc w:val="both"/>
        <w:rPr/>
      </w:pPr>
      <w:r>
        <w:rPr/>
        <w:t>Autoritatea Contractantă  a optat  pentru criteriul de atribuire, II.2.5 raport calitate pret,publicat in anuntul de participare.</w:t>
      </w:r>
      <w:bookmarkStart w:name="6057198" w:id="23"/>
      <w:bookmarkEnd w:id="23"/>
    </w:p>
    <w:p>
      <w:pPr>
        <w:pStyle w:val="Normal"/>
        <w:ind w:firstLine="708"/>
        <w:jc w:val="both"/>
        <w:rPr/>
      </w:pPr>
      <w:r>
        <w:rPr>
          <w:rStyle w:val="rvts8"/>
        </w:rPr>
        <w:t>Potrivit art. 36</w:t>
      </w:r>
      <w:bookmarkStart w:name="6057148" w:id="24"/>
      <w:bookmarkEnd w:id="24"/>
      <w:r>
        <w:rPr>
          <w:rStyle w:val="rvts8"/>
        </w:rPr>
        <w:t xml:space="preserve"> din H.G. n</w:t>
      </w:r>
      <w:r>
        <w:rPr>
          <w:rStyle w:val="rvts1"/>
        </w:rPr>
        <w:t>r. 394/ 2016</w:t>
      </w:r>
      <w:r>
        <w:rPr>
          <w:rStyle w:val="rvts6"/>
        </w:rPr>
        <w:t xml:space="preserve"> (1) Entitatea contractantă poate utiliza criterii de calificare atunci când aplică orice procedură de atribuire. (4) Criteriile de calificare şi criteriile de selecţie stabilite de entitatea contractantă sunt incluse în anunţul de participare/simplificat/de concurs.</w:t>
      </w:r>
    </w:p>
    <w:p>
      <w:pPr>
        <w:pStyle w:val="Normal"/>
        <w:ind w:firstLine="708"/>
        <w:jc w:val="both"/>
        <w:rPr/>
      </w:pPr>
      <w:r>
        <w:rPr>
          <w:rStyle w:val="rvts6"/>
        </w:rPr>
        <w:t>Potrivit al   (6) Criteriile de calificare şi criteriile de selecţie care se regăsesc în caietul de sarcini ori în documentaţia descriptivă şi care nu sunt prevăzute în anunţul de participare/simplificat/ de concurs sunt considerate clauze nescrise,.</w:t>
      </w:r>
    </w:p>
    <w:p>
      <w:pPr>
        <w:pStyle w:val="Normal"/>
        <w:ind w:firstLine="708"/>
        <w:jc w:val="both"/>
        <w:rPr>
          <w:color w:val="000000"/>
        </w:rPr>
      </w:pPr>
      <w:r>
        <w:rPr>
          <w:color w:val="000000"/>
        </w:rPr>
        <w:t>Ofertanții trebuiau să depună potrivit fişei de date, la pct. IV.4.2 : formular de ofertă; anexa la formularul de ofertă; centralizator oferta financiară, care reprezintă Anexa nr. 1 la Caietul de sarcini - Lista traseelor care asigură transportul salariaților și elementele acesteia pentru U.M.C.... - Sector  ...., completat cu prețurile unitare/tarifele, valorile pe cursă și valoarea totală; calculaţie de preț pentru determinarea tarifelor pentru fiecare vehicul; documentul excel Oferta financiară Centralizator.</w:t>
      </w:r>
    </w:p>
    <w:p>
      <w:pPr>
        <w:pStyle w:val="Normal"/>
        <w:ind w:firstLine="708"/>
        <w:jc w:val="both"/>
        <w:rPr>
          <w:color w:val="000000"/>
        </w:rPr>
      </w:pPr>
      <w:r>
        <w:rPr>
          <w:color w:val="000000"/>
        </w:rPr>
        <w:t xml:space="preserve">Curtea constată că modul de prezentare din punctul IV.4.2 al Fişei  nu ierarhizează vreunul dintre acest înscrisuri, astfel încât deopotrivă şi cumulativ erau necesar a fi depuse. </w:t>
      </w:r>
    </w:p>
    <w:p>
      <w:pPr>
        <w:pStyle w:val="Normal"/>
        <w:ind w:firstLine="708"/>
        <w:jc w:val="both"/>
        <w:rPr>
          <w:color w:val="000000"/>
        </w:rPr>
      </w:pPr>
      <w:r>
        <w:rPr>
          <w:color w:val="000000"/>
        </w:rPr>
        <w:t>În acelaşi capitol se precizează că oferta  financiară se va transmite obligatoriu „numai în Seap”</w:t>
      </w:r>
    </w:p>
    <w:p>
      <w:pPr>
        <w:pStyle w:val="Normal"/>
        <w:jc w:val="both"/>
        <w:rPr>
          <w:color w:val="000000"/>
        </w:rPr>
      </w:pPr>
      <w:r>
        <w:rPr>
          <w:color w:val="000000"/>
        </w:rPr>
        <w:tab/>
        <w:t>Examinând propunerea financiară depusă de asocierea B1 SA - C1 SRL se constată că asocierea a depus următoarele înscrisuri:Formularul de propunere financiară a fost depus și a cuprins valoarea totală ofertată aferentă celor 12 luni ale contractului; Anexa la formularul de ofertă; Centralizator ofertă financiară. Acesta a cuprins calcul de preț pentru determinarea tarifelor pentru fiecare vehicul, pe fiecare din cele 12 trasee, fiecare cu numărul de kilometri indicat pe fiecare cursă, a fost indicat tipul vehiculului si numărul de curse total pentru perioada de 12 luni, pentru care a prezentat prețul unitar lei/km conform tipului de autovehicul, calculația de preț pe cursă rezultând valoarea în lei/cursă și totalul valorii pe fiecare traseu pentru perioada considerată. Suma valorilor celor 12 trasee pentru perioada considerată reprezintă valoarea totală ofertată aferentă celor 12 luni aie contractului;</w:t>
      </w:r>
    </w:p>
    <w:p>
      <w:pPr>
        <w:pStyle w:val="Normal"/>
        <w:jc w:val="both"/>
        <w:rPr>
          <w:color w:val="000000"/>
        </w:rPr>
      </w:pPr>
      <w:r>
        <w:rPr>
          <w:color w:val="000000"/>
        </w:rPr>
        <w:tab/>
        <w:t>-prețul ofertat în cadrul procedurii de achiziție publică pentru "Servicii de transport salariați de la domiciliul la locul de muncă și retur pentru UMC ... - Sector  ...." este reprezentat de valoarea totală ofertată aferentă celor 12 luni ale contractului, valoare care se regăsește în Formularul de Ofertă Financiară, respectiv 2.108.026,20 lei, fără TVA;</w:t>
      </w:r>
    </w:p>
    <w:p>
      <w:pPr>
        <w:pStyle w:val="Normal"/>
        <w:jc w:val="both"/>
        <w:rPr>
          <w:color w:val="000000"/>
        </w:rPr>
      </w:pPr>
      <w:r>
        <w:rPr>
          <w:color w:val="000000"/>
        </w:rPr>
        <w:tab/>
        <w:t>-acest preț ofertat a fost fundamentat conform calculațiilor de preț din cadrul centralizatorului de oferta financiară.</w:t>
      </w:r>
    </w:p>
    <w:p>
      <w:pPr>
        <w:pStyle w:val="Normal"/>
        <w:jc w:val="both"/>
        <w:rPr>
          <w:color w:val="000000"/>
        </w:rPr>
      </w:pPr>
      <w:r>
        <w:rPr>
          <w:color w:val="000000"/>
        </w:rPr>
        <w:tab/>
        <w:t>Au fost solicitate ambelor asocierii ofertante, în ceea ce privește fundamentările de tarif, în concordanță cu cerințele din fișa de date prin adresele nr. ...8/25.08.2023 și ...9/25.08.2023 completarea propunerilor financiare cu documentele/informațiile cu calculațiile de preț pentru determinarea tarifelor, pentru fiecare vehicul și documentul excel Oferta financiară centralizator conform fișei de date.</w:t>
        <w:tab/>
      </w:r>
    </w:p>
    <w:p>
      <w:pPr>
        <w:pStyle w:val="NoSpacing"/>
        <w:ind w:firstLine="708"/>
        <w:jc w:val="both"/>
        <w:rPr>
          <w:rFonts w:ascii="Times New Roman" w:hAnsi="Times New Roman"/>
          <w:sz w:val="24"/>
        </w:rPr>
      </w:pPr>
      <w:r>
        <w:rPr>
          <w:rFonts w:ascii="Times New Roman" w:hAnsi="Times New Roman"/>
          <w:sz w:val="24"/>
        </w:rPr>
        <w:t>Prin urmare, deși solicitate explicit prin cerințele documentației de atribuire, calculațiile de preț pentru determinarea tarifelor pentru fiecare vehicul şi documentul Excel fin Centralizator nu s-au regăsit în nicio  oferta inițială depusă .</w:t>
      </w:r>
    </w:p>
    <w:p>
      <w:pPr>
        <w:pStyle w:val="Normal"/>
        <w:ind w:firstLine="708"/>
        <w:jc w:val="both"/>
        <w:rPr>
          <w:lang w:val="en-US"/>
        </w:rPr>
      </w:pPr>
      <w:r>
        <w:rPr>
          <w:rStyle w:val="rvts6"/>
        </w:rPr>
        <w:t>Potrivit art.</w:t>
      </w:r>
      <w:r>
        <w:rPr>
          <w:lang w:val="en-US"/>
        </w:rPr>
        <w:t xml:space="preserve"> 221 din Legea 99/2016 “- (1) În cazul în care informaţiile sau documentele prezentate de către operatorii economici sunt incomplete sau eronate, ori în cazul în care lipsesc anumite documente, entitatea contractantă are dreptul de a solicita într-un anumit termen ofertanţilor/candidaţilor clarificări şi, după caz, completări ale documentelor prezentate de aceştia în cadrul ofertelor/solicitărilor de participare, cu respectarea principiilor tratamentului egal şi transparenţei.”</w:t>
      </w:r>
    </w:p>
    <w:p>
      <w:pPr>
        <w:pStyle w:val="NoSpacing"/>
        <w:ind w:firstLine="708"/>
        <w:jc w:val="both"/>
        <w:rPr>
          <w:rFonts w:ascii="Times New Roman" w:hAnsi="Times New Roman"/>
          <w:sz w:val="24"/>
        </w:rPr>
      </w:pPr>
      <w:r>
        <w:rPr>
          <w:rFonts w:ascii="Times New Roman" w:hAnsi="Times New Roman"/>
          <w:sz w:val="24"/>
        </w:rPr>
        <w:t>Cu alte cuvinte, legea permite  clarificarea sau completarea acelor documente neclare sau incomplete, iar nu  completarea unei oferte care nu cuprinde toată documentaţia impusă .</w:t>
      </w:r>
    </w:p>
    <w:p>
      <w:pPr>
        <w:pStyle w:val="NoSpacing"/>
        <w:ind w:firstLine="708"/>
        <w:jc w:val="both"/>
        <w:rPr>
          <w:rFonts w:ascii="Times New Roman" w:hAnsi="Times New Roman"/>
          <w:sz w:val="24"/>
        </w:rPr>
      </w:pPr>
      <w:r>
        <w:rPr>
          <w:rFonts w:ascii="Times New Roman" w:hAnsi="Times New Roman"/>
          <w:sz w:val="24"/>
        </w:rPr>
        <w:t>Procedând în această manieră, autoritatea contractantă s-a îndepărtat de la principiul legalităţii, permiţând completarea ofertelor peste termenul imperativ defipt de lege</w:t>
      </w:r>
    </w:p>
    <w:p>
      <w:pPr>
        <w:pStyle w:val="NoSpacing"/>
        <w:ind w:firstLine="708"/>
        <w:jc w:val="both"/>
        <w:rPr>
          <w:rFonts w:ascii="Times New Roman" w:hAnsi="Times New Roman"/>
          <w:sz w:val="24"/>
        </w:rPr>
      </w:pPr>
      <w:r>
        <w:rPr>
          <w:rFonts w:ascii="Times New Roman" w:hAnsi="Times New Roman"/>
          <w:sz w:val="24"/>
        </w:rPr>
        <w:t xml:space="preserve">În documentatţia de atribuire, autoritatea contractantă reglementează obligaţia includerii calculaţiei de preţ şi a documentului excel </w:t>
      </w:r>
    </w:p>
    <w:p>
      <w:pPr>
        <w:pStyle w:val="NoSpacing"/>
        <w:ind w:firstLine="708"/>
        <w:jc w:val="both"/>
        <w:rPr>
          <w:rFonts w:ascii="Times New Roman" w:hAnsi="Times New Roman"/>
          <w:sz w:val="24"/>
        </w:rPr>
      </w:pPr>
      <w:r>
        <w:rPr>
          <w:rFonts w:ascii="Times New Roman" w:hAnsi="Times New Roman"/>
          <w:sz w:val="24"/>
        </w:rPr>
        <w:t>Autoritatea a permis completarea prin adresele nr. ...9  de la fila 477  pentru Asociaţia R1 SA, petenta din prezenta plângere pentru completarea documentului excel oferta fin Centralizator si adresa nr. ...8 ,de la fila 478, pentru B1 SA pentru calculaţii de preţ pentru determinarea tarifelor pentru fiecare vehicul şi documentul Excel fin Centralizator, documente transmise  la fila 479 sub nr ...1/2023 , potrivit filelor 65-68  din anuntul de participare.</w:t>
      </w:r>
    </w:p>
    <w:p>
      <w:pPr>
        <w:pStyle w:val="Normal"/>
        <w:ind w:firstLine="720"/>
        <w:jc w:val="both"/>
        <w:rPr/>
      </w:pPr>
      <w:r>
        <w:rPr/>
        <w:t xml:space="preserve">Faptul că autoritatea contractantă a permis completarea şi  acceptarea unei date ulterioare pentru depunere calculaţii este  de natură să aducă atingere principiului legalităţii şi a  condus la crearea unui avantaj nejustificat pentru ofertanții existenţi, limitând accesul astfel, al unor virtuali participanţi, care astfel nu au întrunit condiţiile  până la momentul limită impus de autoritatea contractantă. </w:t>
      </w:r>
    </w:p>
    <w:p>
      <w:pPr>
        <w:pStyle w:val="Normal"/>
        <w:ind w:firstLine="720"/>
        <w:jc w:val="both"/>
        <w:rPr/>
      </w:pPr>
      <w:r>
        <w:rPr>
          <w:color w:val="000000"/>
        </w:rPr>
        <w:t>Excluderea participării de la procedura de atribuire pentru orice posibil ofertant interesat a generat un posibil prejudiciu, deoarece se prezumă că nu a fost respectat principiul concurenţei şi al tratamentului egal, cu efecte directe asupra eficientei utilizări a fondurilor europene , atât timp cât participarea mai multor ofertanţi s-ar fi putut materializa în oferte mai avantajoase faţă de cea atribuită.</w:t>
      </w:r>
      <w:r>
        <w:rPr/>
        <w:t>(Decizia civilă nr. 1126 din data de 13 mai 2021 a Curţii de Apel Bucureşti).</w:t>
      </w:r>
    </w:p>
    <w:p>
      <w:pPr>
        <w:pStyle w:val="Normal"/>
        <w:ind w:firstLine="720"/>
        <w:jc w:val="both"/>
        <w:rPr/>
      </w:pPr>
      <w:r>
        <w:rPr/>
        <w:t>Din punct de vedere al jurisprudenței europene, principiul transparenței a fost analizat inițial ca o obligație de transparență ce decurge din principiul egalității de tratament, întrucât, fără a se asigura un anumit grad de transparență a informațiilor oferite operatorilor economici, principiul egalității de tratament ar fi golit de conținut. Or, privit în acest context, principiul transparenței ar presupune ca toți ofertanții să cunoască regulile în conformitate cu care ofertele lor vor fi analizate și ca aceste reguli să fie aplicate tuturor în aceeași măsură și în același mod. Ulterior, Curtea a recunoscut principiul transparenței ca un principiu de sine stătător în domeniul achizițiilor publice. Astfel, în Cauza T-50/05, Evropaïki Dynamiki – Proigmena Systimata Tilepikoinonion Pliroforikis kai Tilematikis AE c. Comisiei Europene, Curtea a reținut la pct. 59 din Hotărârea din data de 19 martie 2010 că: "Prin urmare, principiul transparenței presupune ca toate informațiile tehnice relevante pentru buna înțelegere a anunțului de participare sau a caietului de sarcini să fie puse, de îndată ce este posibil, la dispoziția tuturor întreprinderilor participante la o procedură de achiziții publice, astfel încât, pe de o parte, să permită tuturor ofertanților mediu informați și care dau dovadă de o diligență normală să înțeleagă conținutul exact al acestora și să le interpreteze în același fel și, pe de altă parte, să dea posibilitatea autorității contractante să verifice dacă ofertele ofertanților corespund efectiv criteriilor care guvernează contractul în cauză (Hotărârea Evropaïki Dynamiki/Comisia).</w:t>
      </w:r>
    </w:p>
    <w:p>
      <w:pPr>
        <w:pStyle w:val="Normal"/>
        <w:ind w:firstLine="720"/>
        <w:jc w:val="both"/>
        <w:rPr/>
      </w:pPr>
      <w:r>
        <w:rPr/>
        <w:t xml:space="preserve">Instanţa reține că, așa cum s-a creionat în practica instanțelor naționale şi cea a instanțelor europene, conceptul de proporționalitate presupune ca legalitatea regulilor comunitare să fie supusă condiției ca mijloacele folosite să fie corespunzătoare obiectivului legitim urmărit de aceste reguli și nu trebuie să depășească, să meargă mai departe decât este necesar să îl atingă și, când există o posibilitate de alegere între măsuri corespunzătoare, în principiu, trebuie să fie aleasă cea mai puțin oneroasă. S-a observat, în această privință, că odată un scop sau un obiectiv al unei măsuri este identificat, o triplă examinare trebuie efectuată: dacă măsura este un mijloc corespunzător sau folositor pentru realizarea obiectivului, dacă măsura este necesară pentru realizarea obiectivului și dacă există o legătură rezonabilă între măsură și obiectiv. </w:t>
      </w:r>
    </w:p>
    <w:p>
      <w:pPr>
        <w:pStyle w:val="Normal"/>
        <w:ind w:firstLine="720"/>
        <w:jc w:val="both"/>
        <w:rPr/>
      </w:pPr>
      <w:r>
        <w:rPr/>
        <w:t>Documentaţia de atribuire este în egala măsură obligatorie atât pentru autoritatea contractanta, cât şi pentru operatorii economici. Potrivit adagiului latin „nemo auditur propriam turpitudinem allegans" - nimeni nu poate invoca in susţinerea intereselor sale propria sa culpa, nimeni nu poate să obţină foloase invocând să vină, incorectitudine, necinste, şi nici să se apere valorificând un asemenea temei.</w:t>
      </w:r>
    </w:p>
    <w:p>
      <w:pPr>
        <w:pStyle w:val="NoSpacing"/>
        <w:ind w:firstLine="708"/>
        <w:jc w:val="both"/>
        <w:rPr>
          <w:rFonts w:ascii="Times New Roman" w:hAnsi="Times New Roman"/>
          <w:sz w:val="24"/>
        </w:rPr>
      </w:pPr>
      <w:r>
        <w:rPr>
          <w:rFonts w:ascii="Times New Roman" w:hAnsi="Times New Roman"/>
          <w:sz w:val="24"/>
        </w:rPr>
        <w:t>Cum, deși solicitate explicit prin cerințele documentației de atribuire, calculațiile de preț pentru determinarea tarifelor pentru fiecare vehicul şi documentul Excel fin Centralizator nu s-au regăsit în nicio  oferta inițială depusă , nici autoritatea Contractantă, nici Curtea, în absenţa unor prescripţii legale, nu poate de întâietate vreunei cerinţe, astfel încât, ambele oferte nu întrunesc cerinţele documnetaţiei de atribuire, de la care însăşi Autoritatea nu se poate abate.</w:t>
      </w:r>
    </w:p>
    <w:p>
      <w:pPr>
        <w:pStyle w:val="Normal"/>
        <w:ind w:firstLine="720"/>
        <w:jc w:val="both"/>
        <w:rPr/>
      </w:pPr>
      <w:r>
        <w:rPr/>
        <w:t>Pe cale de consecinţă, potrivit art.</w:t>
      </w:r>
      <w:r>
        <w:rPr>
          <w:lang w:val="en-US"/>
        </w:rPr>
        <w:t xml:space="preserve">34   din Legea 101/2016, Curtea va modifica </w:t>
      </w:r>
      <w:r>
        <w:rPr/>
        <w:t xml:space="preserve">decizia nr. DC1 din ... a CNSC şi va dispune anularea procedurii de atribuire. </w:t>
      </w:r>
    </w:p>
    <w:p>
      <w:pPr>
        <w:pStyle w:val="Normal"/>
        <w:ind w:firstLine="720"/>
        <w:jc w:val="both"/>
        <w:rPr/>
      </w:pPr>
      <w:r>
        <w:rPr/>
        <w:t>Faţă de aceste vicii care afectează întreaga procedură de atribuire, nu vor mai fi analizate restul apărărilor.</w:t>
      </w:r>
    </w:p>
    <w:p>
      <w:pPr>
        <w:pStyle w:val="Normal"/>
        <w:ind w:firstLine="720"/>
        <w:jc w:val="both"/>
        <w:rPr/>
      </w:pPr>
      <w:r>
        <w:rPr/>
        <w:t>Obligă pe pârâtele Asocierea B1 SA-C1 SRL şi Societatea A1 SA la câte 5.200 lei cheltuieli de judecată reprezentând onorariu de avocat în favoarea petentei. , aflându-se în culpă procesuală potrivit art. 453 din Codul de procedură civilă.</w:t>
      </w:r>
    </w:p>
    <w:p>
      <w:pPr>
        <w:pStyle w:val="Normal"/>
        <w:rPr/>
      </w:pPr>
      <w:r>
        <w:rPr/>
      </w:r>
      <w:bookmarkStart w:name="_Hlk160642816" w:id="25"/>
      <w:bookmarkStart w:name="_Hlk160642816" w:id="26"/>
      <w:bookmarkEnd w:id="26"/>
    </w:p>
    <w:p>
      <w:pPr>
        <w:pStyle w:val="Normal"/>
        <w:jc w:val="center"/>
        <w:rPr/>
      </w:pPr>
      <w:r>
        <w:rPr/>
        <w:t>PENTRU ACESTE MOTIVE,</w:t>
        <w:br/>
        <w:t>ÎN NUMELE LEGII</w:t>
      </w:r>
    </w:p>
    <w:p>
      <w:pPr>
        <w:pStyle w:val="Normal"/>
        <w:jc w:val="center"/>
        <w:rPr/>
      </w:pPr>
      <w:r>
        <w:rPr/>
        <w:t>DECIDE</w:t>
      </w:r>
    </w:p>
    <w:p>
      <w:pPr>
        <w:pStyle w:val="Normal"/>
        <w:rPr/>
      </w:pPr>
      <w:r>
        <w:rPr/>
      </w:r>
    </w:p>
    <w:p>
      <w:pPr>
        <w:pStyle w:val="Normal"/>
        <w:jc w:val="both"/>
        <w:rPr/>
      </w:pPr>
      <w:r>
        <w:rPr/>
        <w:tab/>
        <w:t>Admite plângerea formulată de reclamanta R1 S.A., cu sediul procesual ales la Cabinet de Avocat ... în ...., împotriva Deciziei nr. DC1 din data de ..., pronunţată de Consiliul Naţional de Soluţionare a Contestaţiilor, în contradictoriu cu pârâtele SOCIETATEA A1 S.A., cu sediul în .... şi ASOCIEREA B1 SA-C1 S.R.L., cu sediul în ....</w:t>
      </w:r>
    </w:p>
    <w:p>
      <w:pPr>
        <w:pStyle w:val="Normal"/>
        <w:ind w:firstLine="709"/>
        <w:jc w:val="both"/>
        <w:rPr/>
      </w:pPr>
      <w:r>
        <w:rPr/>
        <w:t>Modifică decizia nr. DC1 din ... a CNSC.</w:t>
      </w:r>
    </w:p>
    <w:p>
      <w:pPr>
        <w:pStyle w:val="Normal"/>
        <w:ind w:firstLine="709"/>
        <w:jc w:val="both"/>
        <w:rPr/>
      </w:pPr>
      <w:r>
        <w:rPr/>
        <w:t xml:space="preserve">Dispune anularea procedurii de atribuire. Obligă pe pârâtele Asocierea B1 SA-C1 SRL şi Societatea A1 SA la câte 5.200 lei cheltuieli de judecată reprezentând onorariu de avocat în favoarea petentei. </w:t>
      </w:r>
    </w:p>
    <w:p>
      <w:pPr>
        <w:pStyle w:val="Normal"/>
        <w:ind w:firstLine="709"/>
        <w:jc w:val="both"/>
        <w:rPr/>
      </w:pPr>
      <w:r>
        <w:rPr/>
        <w:t>Definitivă.</w:t>
      </w:r>
    </w:p>
    <w:p>
      <w:pPr>
        <w:pStyle w:val="Normal"/>
        <w:ind w:firstLine="709"/>
        <w:jc w:val="both"/>
        <w:rPr/>
      </w:pPr>
      <w:r>
        <w:rPr/>
        <w:t>Pronunţată azi,..., prin punerea soluţiei la dispoziţia părţilor de grefa Curţii.</w:t>
      </w:r>
    </w:p>
    <w:p>
      <w:pPr>
        <w:pStyle w:val="Normal"/>
        <w:rPr/>
      </w:pPr>
      <w:r>
        <w:rPr/>
      </w:r>
    </w:p>
    <w:p>
      <w:pPr>
        <w:pStyle w:val="Normal"/>
        <w:jc w:val="center"/>
        <w:rPr/>
      </w:pPr>
      <w:r>
        <w:rPr/>
      </w:r>
      <w:bookmarkStart w:name="completul_1" w:id="27"/>
      <w:bookmarkStart w:name="completul_1" w:id="28"/>
      <w:bookmarkEnd w:id="28"/>
    </w:p>
    <w:tbl>
      <w:tblPr>
        <w:tblW w:w="9288" w:type="dxa"/>
        <w:jc w:val="center"/>
        <w:tblInd w:w="0" w:type="dxa"/>
        <w:tblLayout w:type="fixed"/>
        <w:tblCellMar>
          <w:top w:w="284" w:type="dxa"/>
          <w:left w:w="108" w:type="dxa"/>
          <w:bottom w:w="284" w:type="dxa"/>
          <w:right w:w="108" w:type="dxa"/>
        </w:tblCellMar>
      </w:tblPr>
      <w:tblGrid>
        <w:gridCol w:w="3096"/>
        <w:gridCol w:w="3096"/>
        <w:gridCol w:w="3096"/>
      </w:tblGrid>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Preşedinte,</w:t>
            </w:r>
          </w:p>
          <w:p>
            <w:pPr>
              <w:pStyle w:val="Normal"/>
              <w:jc w:val="center"/>
              <w:rPr/>
            </w:pPr>
            <w:r>
              <w:rPr/>
              <w:t>A0006</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p>
            <w:pPr>
              <w:pStyle w:val="Normal"/>
              <w:jc w:val="center"/>
              <w:rPr/>
            </w:pPr>
            <w:r>
              <w:rPr/>
              <w:t>fiind eliberat din funcţie prin pensionare semnează preşedintele completului</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Judecător,</w:t>
            </w:r>
          </w:p>
          <w:p>
            <w:pPr>
              <w:pStyle w:val="Normal"/>
              <w:jc w:val="center"/>
              <w:rPr/>
            </w:pPr>
            <w:r>
              <w:rPr/>
              <w:t>...</w:t>
            </w:r>
          </w:p>
        </w:tc>
      </w:tr>
      <w:tr>
        <w:trPr/>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t>Grefier,</w:t>
            </w:r>
          </w:p>
          <w:p>
            <w:pPr>
              <w:pStyle w:val="Normal"/>
              <w:jc w:val="center"/>
              <w:rPr/>
            </w:pPr>
            <w:r>
              <w:rPr/>
              <w:t>...</w:t>
            </w:r>
          </w:p>
        </w:tc>
        <w:tc>
          <w:tcPr>
            <w:tcW w:w="3096" w:type="dxa"/>
            <w:tcBorders>
              <w:top w:val="single" w:color="FFFFFF" w:sz="4" w:space="0"/>
              <w:left w:val="single" w:color="FFFFFF" w:sz="4" w:space="0"/>
              <w:bottom w:val="single" w:color="FFFFFF" w:sz="4" w:space="0"/>
              <w:right w:val="single" w:color="FFFFFF" w:sz="4" w:space="0"/>
            </w:tcBorders>
          </w:tcPr>
          <w:p>
            <w:pPr>
              <w:pStyle w:val="Normal"/>
              <w:jc w:val="center"/>
              <w:rPr/>
            </w:pPr>
            <w:r>
              <w:rPr/>
            </w:r>
          </w:p>
        </w:tc>
      </w:tr>
    </w:tbl>
    <w:p>
      <w:pPr>
        <w:pStyle w:val="Normal"/>
        <w:jc w:val="center"/>
        <w:rPr/>
      </w:pPr>
      <w:r>
        <w:rPr/>
      </w:r>
      <w:bookmarkStart w:name="completul_1" w:id="29"/>
      <w:bookmarkStart w:name="completul_1" w:id="30"/>
      <w:bookmarkEnd w:id="30"/>
    </w:p>
    <w:p>
      <w:pPr>
        <w:pStyle w:val="Normal"/>
        <w:rPr/>
      </w:pPr>
      <w:r>
        <w:rPr/>
        <w:t>Red. Jud. A0006/...</w:t>
      </w:r>
    </w:p>
    <w:p>
      <w:pPr>
        <w:pStyle w:val="Normal"/>
        <w:rPr/>
      </w:pPr>
      <w:bookmarkStart w:name="_Hlk160642845" w:id="31"/>
      <w:r>
        <w:rPr/>
        <w:t>Tehnored. .../5 ex</w:t>
      </w:r>
      <w:bookmarkEnd w:id="31"/>
    </w:p>
    <w:p>
      <w:pPr>
        <w:pStyle w:val="Normal"/>
        <w:rPr/>
      </w:pPr>
      <w:r>
        <w:rPr/>
      </w:r>
    </w:p>
    <w:sectPr>
      <w:footerReference w:type="default" r:id="rId4"/>
      <w:type w:val="nextPage"/>
      <w:pgSz w:w="11906" w:h="16838"/>
      <w:pgMar w:top="1417" w:right="1417" w:bottom="1417" w:left="1417" w:header="0" w:footer="425"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18</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19.48.53:80/ecris_cdms/document_upload.aspx?id_document=5400000001721135&amp;id_departament=5&amp;id_sesiune=2661476&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SubsolCaracter">
    <w:name w:val="Subsol Caracter"/>
    <w:link w:val="Footer"/>
    <w:qFormat/>
    <w:rPr>
      <w:rFonts w:ascii="Calibri" w:hAnsi="Calibri"/>
      <w:color w:val="000000"/>
      <w:sz w:val="22"/>
    </w:rPr>
  </w:style>
  <w:style w:type="character" w:styleId="AntetCaracter">
    <w:name w:val="Antet Caracter"/>
    <w:link w:val="Header"/>
    <w:qFormat/>
    <w:rPr/>
  </w:style>
  <w:style w:type="character" w:styleId="rvts8">
    <w:name w:val="rvts8"/>
    <w:qFormat/>
    <w:rPr/>
  </w:style>
  <w:style w:type="character" w:styleId="rvts2">
    <w:name w:val="rvts2"/>
    <w:qFormat/>
    <w:rPr/>
  </w:style>
  <w:style w:type="character" w:styleId="rvts10">
    <w:name w:val="rvts10"/>
    <w:qFormat/>
    <w:rPr/>
  </w:style>
  <w:style w:type="character" w:styleId="rvts6">
    <w:name w:val="rvts6"/>
    <w:qFormat/>
    <w:rPr/>
  </w:style>
  <w:style w:type="character" w:styleId="rvts1">
    <w:name w:val="rvts1"/>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Spacing">
    <w:name w:val="No Spacing"/>
    <w:qFormat/>
    <w:pPr>
      <w:widowControl/>
      <w:kinsoku w:val="true"/>
      <w:overflowPunct w:val="true"/>
      <w:autoSpaceDE w:val="true"/>
      <w:bidi w:val="0"/>
      <w:spacing w:before="0" w:after="0"/>
      <w:jc w:val="left"/>
    </w:pPr>
    <w:rPr>
      <w:rFonts w:ascii="Calibri" w:hAnsi="Calibri" w:eastAsia="Times New Roman" w:cs="Times New Roman"/>
      <w:color w:val="000000"/>
      <w:kern w:val="0"/>
      <w:sz w:val="22"/>
      <w:szCs w:val="20"/>
      <w:lang w:val="ro-RO" w:eastAsia="ro-RO" w:bidi="ar-SA"/>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Footer">
    <w:name w:val="Footer"/>
    <w:basedOn w:val="Normal"/>
    <w:link w:val="SubsolCaracter"/>
    <w:pPr>
      <w:tabs>
        <w:tab w:val="clear" w:pos="720"/>
        <w:tab w:val="center" w:pos="4536" w:leader="none"/>
        <w:tab w:val="right" w:pos="9072" w:leader="none"/>
      </w:tabs>
    </w:pPr>
    <w:rPr>
      <w:rFonts w:ascii="Calibri" w:hAnsi="Calibri"/>
      <w:color w:val="000000"/>
      <w:sz w:val="22"/>
    </w:rPr>
  </w:style>
  <w:style w:type="paragraph" w:styleId="Header">
    <w:name w:val="Header"/>
    <w:basedOn w:val="Normal"/>
    <w:link w:val="AntetCaracter"/>
    <w:pPr>
      <w:tabs>
        <w:tab w:val="clear" w:pos="720"/>
        <w:tab w:val="center" w:pos="4536" w:leader="none"/>
        <w:tab w:val="right" w:pos="9072" w:leader="none"/>
      </w:tabs>
    </w:pPr>
    <w:rPr/>
  </w:style>
  <w:style w:type="paragraph" w:styleId="TableContents">
    <w:name w:val="Table Contents"/>
    <w:basedOn w:val="Normal"/>
    <w:qFormat/>
    <w:pPr>
      <w:widowControl w:val="false"/>
      <w:suppressLineNumber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jpeg"/><Relationship Id="rId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73</ap:TotalTime>
  <ap:Application>LibreOffice/24.2.7.2$Linux_X86_64 LibreOffice_project/420$Build-2</ap:Application>
  <ap:AppVersion>15.0000</ap:AppVersion>
  <ap:Pages>11</ap:Pages>
  <ap:Words>10187</ap:Words>
  <ap:Characters>59762</ap:Characters>
  <ap:CharactersWithSpaces>69896</ap:CharactersWithSpaces>
  <ap:Paragraphs>212</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2024-03-06T19:10:00.0000000Z</lastPrinted>
  <revision/>
  <dc:subject/>
  <dc:title/>
  <keywords/>
  <category/>
  <contentStatus/>
  <dc:identifier/>
  <version/>
</coreProperties>
</file>