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F6D95B" w14:textId="33B6F453" w:rsidR="00050656" w:rsidRDefault="009F5B99">
      <w:r>
        <w:t>Cod ECLI    ECLI:RO:CA........</w:t>
      </w:r>
    </w:p>
    <w:p w14:paraId="7CFD5125" w14:textId="20480577" w:rsidR="00050656" w:rsidRDefault="009F5B99">
      <w:r>
        <w:t>Dosar nr. .....11</w:t>
      </w:r>
    </w:p>
    <w:p w14:paraId="1D1EF786" w14:textId="77777777" w:rsidR="00050656" w:rsidRDefault="00050656"/>
    <w:p w14:paraId="480A858E" w14:textId="77777777" w:rsidR="00050656" w:rsidRDefault="009F5B99">
      <w:pPr>
        <w:jc w:val="center"/>
      </w:pPr>
      <w:r>
        <w:t>R O M Â N I A</w:t>
      </w:r>
    </w:p>
    <w:p w14:paraId="56B26310" w14:textId="3CD991EC" w:rsidR="00050656" w:rsidRDefault="009F5B99">
      <w:pPr>
        <w:jc w:val="center"/>
      </w:pPr>
      <w:r>
        <w:t>CURTEA DE APEL X</w:t>
      </w:r>
    </w:p>
    <w:p w14:paraId="148F4BC9" w14:textId="7DF49B68" w:rsidR="00050656" w:rsidRDefault="009F5B99">
      <w:pPr>
        <w:jc w:val="center"/>
        <w:rPr>
          <w:rStyle w:val="Fontdeparagrafimplicit1"/>
          <w:lang w:val="en-US"/>
        </w:rPr>
      </w:pPr>
      <w:r>
        <w:t>SECŢIA .... CONTENCIOS ADMINISTRATIV ŞI FISCAL</w:t>
      </w:r>
    </w:p>
    <w:p w14:paraId="585B11DE" w14:textId="77777777" w:rsidR="00050656" w:rsidRDefault="00050656">
      <w:pPr>
        <w:rPr>
          <w:rStyle w:val="Fontdeparagrafimplicit1"/>
        </w:rPr>
      </w:pPr>
    </w:p>
    <w:p w14:paraId="38C9662A" w14:textId="61D490D7" w:rsidR="00050656" w:rsidRDefault="009F5B99">
      <w:pPr>
        <w:jc w:val="center"/>
        <w:rPr>
          <w:rStyle w:val="Fontdeparagrafimplicit1"/>
          <w:b/>
        </w:rPr>
      </w:pPr>
      <w:r>
        <w:rPr>
          <w:rStyle w:val="Fontdeparagrafimplicit1"/>
          <w:b/>
        </w:rPr>
        <w:t>SENTINŢA CIVILĂ Nr. ....</w:t>
      </w:r>
    </w:p>
    <w:p w14:paraId="21611E0B" w14:textId="2022CBC2" w:rsidR="00050656" w:rsidRDefault="009F5B99">
      <w:pPr>
        <w:jc w:val="center"/>
      </w:pPr>
      <w:r>
        <w:t>Şedinţa </w:t>
      </w:r>
      <w:bookmarkStart w:id="0" w:name="tip_sedinta"/>
      <w:r>
        <w:t>publică</w:t>
      </w:r>
      <w:bookmarkEnd w:id="0"/>
      <w:r>
        <w:t xml:space="preserve"> de la ....</w:t>
      </w:r>
    </w:p>
    <w:p w14:paraId="25CA5C19" w14:textId="77777777" w:rsidR="00050656" w:rsidRDefault="009F5B99">
      <w:pPr>
        <w:jc w:val="center"/>
      </w:pPr>
      <w:r>
        <w:t>Completul compus din:</w:t>
      </w:r>
    </w:p>
    <w:p w14:paraId="5F3BE53A" w14:textId="4C356C5E" w:rsidR="00050656" w:rsidRDefault="009F5B99">
      <w:pPr>
        <w:jc w:val="center"/>
      </w:pPr>
      <w:r>
        <w:t>PREŞEDINTE A0017</w:t>
      </w:r>
    </w:p>
    <w:p w14:paraId="17D5BA1D" w14:textId="131FC639" w:rsidR="00050656" w:rsidRDefault="009F5B99">
      <w:pPr>
        <w:jc w:val="center"/>
      </w:pPr>
      <w:r>
        <w:t>Grefier ....</w:t>
      </w:r>
    </w:p>
    <w:p w14:paraId="7D51AE6B" w14:textId="77777777" w:rsidR="00050656" w:rsidRDefault="00050656">
      <w:pPr>
        <w:jc w:val="center"/>
      </w:pPr>
    </w:p>
    <w:p w14:paraId="419D2E71" w14:textId="77777777" w:rsidR="00050656" w:rsidRDefault="00050656">
      <w:pPr>
        <w:jc w:val="center"/>
      </w:pPr>
      <w:bookmarkStart w:id="1" w:name="nume_procuror"/>
      <w:bookmarkEnd w:id="1"/>
    </w:p>
    <w:p w14:paraId="460B6A5C" w14:textId="77777777" w:rsidR="00050656" w:rsidRDefault="00050656"/>
    <w:p w14:paraId="3EFC25F0" w14:textId="1E822B73" w:rsidR="00050656" w:rsidRDefault="009F5B99">
      <w:pPr>
        <w:ind w:firstLine="708"/>
        <w:jc w:val="both"/>
      </w:pPr>
      <w:r>
        <w:t>Pe rol judecarea cauzei în contencios administrativ şi fiscal privind pe reclamant NI şi pe pârât INSPECŢIA JUDICIARĂ, având ca obiect anulare rezoluţie- IJ REZ...../2017.</w:t>
      </w:r>
    </w:p>
    <w:p w14:paraId="6A482BD8" w14:textId="1530E681" w:rsidR="00050656" w:rsidRDefault="009F5B99">
      <w:pPr>
        <w:ind w:firstLine="708"/>
        <w:jc w:val="both"/>
      </w:pPr>
      <w:r>
        <w:t xml:space="preserve">La apelul nominal făcut în şedinţa </w:t>
      </w:r>
      <w:bookmarkStart w:id="2" w:name="tip_sedinta_copie_1"/>
      <w:r>
        <w:t>publică</w:t>
      </w:r>
      <w:bookmarkEnd w:id="2"/>
      <w:r>
        <w:t xml:space="preserve"> a răspuns reclamantul NI personal, lipsind pârâta. </w:t>
      </w:r>
    </w:p>
    <w:p w14:paraId="6DC6FE7E" w14:textId="77777777" w:rsidR="00050656" w:rsidRDefault="009F5B99">
      <w:pPr>
        <w:ind w:firstLine="708"/>
        <w:jc w:val="both"/>
      </w:pPr>
      <w:r>
        <w:t xml:space="preserve">Procedura de citare este </w:t>
      </w:r>
      <w:bookmarkStart w:id="3" w:name="tip_procedura"/>
      <w:r>
        <w:t>legal</w:t>
      </w:r>
      <w:bookmarkEnd w:id="3"/>
      <w:r>
        <w:t xml:space="preserve"> îndeplinită.</w:t>
      </w:r>
    </w:p>
    <w:p w14:paraId="061E1FBD" w14:textId="2A943150" w:rsidR="00050656" w:rsidRDefault="009F5B99">
      <w:pPr>
        <w:ind w:firstLine="708"/>
        <w:jc w:val="both"/>
      </w:pPr>
      <w:r>
        <w:t xml:space="preserve">S-a făcut </w:t>
      </w:r>
      <w:bookmarkStart w:id="4" w:name="tip_doc_despre_cauza"/>
      <w:r>
        <w:t>referatul</w:t>
      </w:r>
      <w:bookmarkEnd w:id="4"/>
      <w:r>
        <w:t xml:space="preserve"> cauzei de către </w:t>
      </w:r>
      <w:bookmarkStart w:id="5" w:name="functia_celui_care_f"/>
      <w:r>
        <w:t>grefier</w:t>
      </w:r>
      <w:bookmarkEnd w:id="5"/>
      <w:r>
        <w:t>, care se învederează instanţei faptul că pârâta Inspecţia Judiciară a depus la dosarul cauzei, conform cu originalul, dosarul administrativ care a stat la baza emiterii rezoluţiei de clasare nr. ..../2017.</w:t>
      </w:r>
    </w:p>
    <w:p w14:paraId="4CB441CB" w14:textId="05BBBA80" w:rsidR="00050656" w:rsidRDefault="009F5B99">
      <w:pPr>
        <w:ind w:firstLine="708"/>
        <w:jc w:val="both"/>
      </w:pPr>
      <w:r>
        <w:rPr>
          <w:rStyle w:val="Fontdeparagrafimplicit1"/>
          <w:i/>
        </w:rPr>
        <w:t>Curtea</w:t>
      </w:r>
      <w:r>
        <w:t xml:space="preserve"> comunică în ședință publică reclamantului un exemplar al dosarului administrativ care a stat la baza emiterii rezoluţiei de clasare nr. ..../2017.</w:t>
      </w:r>
    </w:p>
    <w:p w14:paraId="3A4CE210" w14:textId="41F92082" w:rsidR="00050656" w:rsidRDefault="009F5B99">
      <w:pPr>
        <w:ind w:firstLine="708"/>
        <w:jc w:val="both"/>
      </w:pPr>
      <w:r>
        <w:t xml:space="preserve">Reclamantul NI nu solicită amânarea cauzei pentru a lua cunoștință de conținutul documentației aferente depusă la dosar de către Inspecția Judiciară. </w:t>
      </w:r>
    </w:p>
    <w:p w14:paraId="32894712" w14:textId="77777777" w:rsidR="00050656" w:rsidRDefault="009F5B99">
      <w:pPr>
        <w:jc w:val="both"/>
      </w:pPr>
      <w:r>
        <w:t xml:space="preserve">Solicită încuviințarea probei cu înscrisurile depuse deja la dosarul cauzei. </w:t>
      </w:r>
    </w:p>
    <w:p w14:paraId="57784D69" w14:textId="77777777" w:rsidR="00050656" w:rsidRDefault="009F5B99">
      <w:pPr>
        <w:jc w:val="both"/>
      </w:pPr>
      <w:r>
        <w:tab/>
      </w:r>
      <w:r>
        <w:rPr>
          <w:rStyle w:val="Fontdeparagrafimplicit1"/>
          <w:i/>
        </w:rPr>
        <w:t xml:space="preserve">Curtea </w:t>
      </w:r>
      <w:r>
        <w:t>încuviințează ambelor părți proba cu înscrisurile depuse la dosarul cauzei. Constatând cauza în stare de judecată acordă cuvântul în susținerea acțiunii.</w:t>
      </w:r>
    </w:p>
    <w:p w14:paraId="3D3EA71C" w14:textId="5E1342E9" w:rsidR="00050656" w:rsidRDefault="009F5B99">
      <w:pPr>
        <w:ind w:firstLine="709"/>
        <w:jc w:val="both"/>
      </w:pPr>
      <w:r>
        <w:t>Reclamantul NI solicită admiterea contestației astfel cum a fost formulată și motivată, conform înscrisurilor depuse la dosarul cauzei.</w:t>
      </w:r>
    </w:p>
    <w:p w14:paraId="279DC194" w14:textId="77777777" w:rsidR="00050656" w:rsidRDefault="009F5B99">
      <w:pPr>
        <w:ind w:firstLine="709"/>
        <w:jc w:val="both"/>
      </w:pPr>
      <w:r>
        <w:rPr>
          <w:rStyle w:val="Fontdeparagrafimplicit1"/>
          <w:i/>
        </w:rPr>
        <w:t>Curtea</w:t>
      </w:r>
      <w:r>
        <w:t xml:space="preserve"> rămâne în pronunțare. </w:t>
      </w:r>
    </w:p>
    <w:p w14:paraId="6A180D86" w14:textId="77777777" w:rsidR="00050656" w:rsidRDefault="00050656">
      <w:pPr>
        <w:ind w:firstLine="709"/>
        <w:jc w:val="both"/>
      </w:pPr>
    </w:p>
    <w:p w14:paraId="37CBC7D0" w14:textId="77777777" w:rsidR="00050656" w:rsidRDefault="00050656">
      <w:pPr>
        <w:jc w:val="both"/>
      </w:pPr>
    </w:p>
    <w:p w14:paraId="1FBD5340" w14:textId="77777777" w:rsidR="00050656" w:rsidRDefault="009F5B99">
      <w:pPr>
        <w:jc w:val="center"/>
      </w:pPr>
      <w:r>
        <w:t xml:space="preserve">CURTEA </w:t>
      </w:r>
    </w:p>
    <w:p w14:paraId="3D2F8C2D" w14:textId="77777777" w:rsidR="00050656" w:rsidRDefault="00050656">
      <w:pPr>
        <w:jc w:val="center"/>
      </w:pPr>
    </w:p>
    <w:p w14:paraId="64217097" w14:textId="77777777" w:rsidR="00050656" w:rsidRDefault="009F5B99">
      <w:r>
        <w:tab/>
        <w:t>În urma deliberării, reţine următoarele:</w:t>
      </w:r>
    </w:p>
    <w:p w14:paraId="71E92D50" w14:textId="616B1DB8" w:rsidR="00050656" w:rsidRDefault="009F5B99">
      <w:pPr>
        <w:jc w:val="both"/>
      </w:pPr>
      <w:r>
        <w:tab/>
        <w:t xml:space="preserve">Reclamantul, dl NI în contradictoriu cu pârâta INSPECŢIA JUDICIARĂ a solicitat anularea rezoluţiei nr.  ..../2017. La termenul din .....2022 (f. 89) instanţa a respins excepţia tardivităţii invocată de pârâtă prin întâmpinare, reţinând că rezoluţia are vicii privind legalitatea comunicării, nefiind indicat satul Remuş (în menţiunile privind adresa reclamantului). </w:t>
      </w:r>
    </w:p>
    <w:p w14:paraId="197C5BD0" w14:textId="77777777" w:rsidR="00050656" w:rsidRDefault="009F5B99">
      <w:pPr>
        <w:jc w:val="both"/>
      </w:pPr>
      <w:r>
        <w:tab/>
        <w:t>Pe fondul cauzei, Curtea reţine că în motivarea acţiunii, reclamantul critică rezoluţia respectivă întrucât inspectorul judiciar nu a luat în considerare întreaga sesizare pe care reclamantul a făcut-o (f. 4, f. 32, f. 50-51). De asemenea, în cadrul acţiunii indică faptul că cercetarea penală este incompletă, trebuind să fie administrate probe noi, cum ar  fi audierea unui funcţionari din poliţie, precum şi reaudierea unor martori. Arată că i s-a comunicat că este nesemnată sesizarea formulată şi că ulteri</w:t>
      </w:r>
      <w:r>
        <w:t xml:space="preserve">or i s-a răspuns după ce a insistat în acest sens. </w:t>
      </w:r>
    </w:p>
    <w:p w14:paraId="52DAF6E1" w14:textId="77777777" w:rsidR="00050656" w:rsidRDefault="009F5B99">
      <w:pPr>
        <w:jc w:val="both"/>
      </w:pPr>
      <w:r>
        <w:tab/>
        <w:t>Asupra cauzei, Curtea reţine:</w:t>
      </w:r>
    </w:p>
    <w:p w14:paraId="353DF80C" w14:textId="0D02179E" w:rsidR="00050656" w:rsidRDefault="009F5B99">
      <w:pPr>
        <w:jc w:val="both"/>
      </w:pPr>
      <w:r>
        <w:tab/>
        <w:t xml:space="preserve">În primul rând, nu se poate reproşa pârâtului o pasivitate în soluţionarea sesizării, întrucât rezultă din copia rezoluţiei atacate (f. 60 dosar) că aceasta a fost emisă la data de 27.11.2017 şi vizează o sesizare din data de 16.10.2017 formulată de petent, aşadar sesizarea a fost soluţionată în aproximativ o lună de la primire; prin sesizare petentul a manifestat </w:t>
      </w:r>
      <w:r>
        <w:lastRenderedPageBreak/>
        <w:t xml:space="preserve">nemulţumirea faţă de modul în care au fost emise soluţii de către procurori şi judecători în dosarul penal în care acesta avea calitatea de parte civilă (dosarul nr. ....2013 al DNA). Rezoluţia atacată în acest dosar este emisă de Direcţia Inspecţie pentru Procurori din cadrul autorităţii pârâte. </w:t>
      </w:r>
    </w:p>
    <w:p w14:paraId="2561A3D3" w14:textId="58BE894A" w:rsidR="00050656" w:rsidRDefault="009F5B99">
      <w:pPr>
        <w:ind w:firstLine="708"/>
        <w:jc w:val="both"/>
      </w:pPr>
      <w:r>
        <w:t xml:space="preserve">De asemenea, nu i se poate reproşa o pasivitate pârâtei întrucât la data de 17.02.2022 a recomunicat reclamantului rezoluţia nr. ..../2017 contestată în prezentul litigiu (f. 5 dosar instanţă). </w:t>
      </w:r>
    </w:p>
    <w:p w14:paraId="2DD6A9B9" w14:textId="4821D399" w:rsidR="00050656" w:rsidRDefault="009F5B99">
      <w:pPr>
        <w:jc w:val="both"/>
      </w:pPr>
      <w:r>
        <w:tab/>
        <w:t xml:space="preserve">Pe fondul raportului litigios, Curtea observă că reclamantul nu a adus nicio critică în mod concret rezoluţiei atacate, ci a exprimat nemulţumirea sa faţă de modalitatea de soluţionare a sesizării, făcând trimitere la aspectele menţionate în sesizarea sa şi apreciind că se impune administrarea unor probe noi în cadrul dosarului penal nr. ....2013. </w:t>
      </w:r>
    </w:p>
    <w:p w14:paraId="1F39F068" w14:textId="5094248B" w:rsidR="00050656" w:rsidRDefault="009F5B99">
      <w:pPr>
        <w:jc w:val="both"/>
      </w:pPr>
      <w:r>
        <w:tab/>
        <w:t>Aşa cum rezultă din rezoluţia IJ contestată (f. 60 dosar), reclamantul a formulat o sesizare penală la data de 13.08.2015 pe rolul DNA, fiind înregistrat dosarul penal nr. ....2015. Petentul a formulat plângere penală împotriva mai multor poliţişti, procurori şi judecători. Prin ordonanţa din 18.12.2015 procurorul a dispus începerea urmăririi penale cu privire la infracţiunile de abuz în serviciu, neglijenţă în serviciu, nedenunţarea unor infracţiuni, omisiunea sesizării, reţinerea şi distrugerea de înscri</w:t>
      </w:r>
      <w:r>
        <w:t>suri, fals şi favorizarea infractorului. La data de 25.04.2015 procurorul a dispus clasarea cauzei penale constatând că faptele reclamate nu există. Plângerea formulata de petent la procurorul ierarhic superior a fost respinsă şi, de asemenea, a fost respinsă şi plângerea în faţa instanţei penale împotriva soluţiei procurorului ierarhic superior.</w:t>
      </w:r>
    </w:p>
    <w:p w14:paraId="0CC8833A" w14:textId="73874080" w:rsidR="00050656" w:rsidRDefault="009F5B99">
      <w:pPr>
        <w:ind w:firstLine="708"/>
        <w:jc w:val="both"/>
        <w:rPr>
          <w:rStyle w:val="Fontdeparagrafimplicit1"/>
          <w:i/>
        </w:rPr>
      </w:pPr>
      <w:r>
        <w:t>Aşadar, referitor la activitatea procurorilor împotriva cărora a formulat sesizarea la Inspecţia Judiciară, reclamantul a exprimat nemulţumirea cu privire la modalitatea de soluţionare a dosarului penal nr. ....2015 al DNA, atât din perspectiva activităţii procurorului de caz şi a modalităţii de soluţionare a respectivului dosar, prin pronunţarea soluţiei de clasare a cauzei, cât şi din perspectiva soluţiei pronunţate de prim-procurorul parchetului respectiv, în controlul de legalitate exercitat urmare plân</w:t>
      </w:r>
      <w:r>
        <w:t>gerii petentului împotriva ordonanţei de clasare a cauzei penale.</w:t>
      </w:r>
    </w:p>
    <w:p w14:paraId="035EF974" w14:textId="77777777" w:rsidR="00050656" w:rsidRDefault="009F5B99">
      <w:pPr>
        <w:ind w:firstLine="567"/>
        <w:jc w:val="both"/>
      </w:pPr>
      <w:r>
        <w:t xml:space="preserve">Curtea reţine, în privinţa criticilor părţii reclamante, conform cărora procurorii împotriva cărora a formulat sesizarea au dovedit rea-credinţă şi gravă neglijenţă, că acestea nu sunt întemeiate. </w:t>
      </w:r>
    </w:p>
    <w:p w14:paraId="6D947F26" w14:textId="77777777" w:rsidR="00050656" w:rsidRDefault="009F5B99">
      <w:pPr>
        <w:ind w:firstLine="567"/>
        <w:jc w:val="both"/>
      </w:pPr>
      <w:r>
        <w:t xml:space="preserve">Abaterea disciplinară prevăzută de </w:t>
      </w:r>
      <w:r>
        <w:rPr>
          <w:rStyle w:val="Fontdeparagrafimplicit1"/>
          <w:i/>
        </w:rPr>
        <w:t>art. 99 lit. t)</w:t>
      </w:r>
      <w:r>
        <w:t xml:space="preserve"> din Legea nr. 303/2004 constă în exercitarea funcţiei cu rea credinţă sau gravă neglijenţă.</w:t>
      </w:r>
    </w:p>
    <w:p w14:paraId="74DED4DB" w14:textId="77777777" w:rsidR="00050656" w:rsidRDefault="009F5B99">
      <w:pPr>
        <w:ind w:firstLine="567"/>
        <w:jc w:val="both"/>
      </w:pPr>
      <w:r>
        <w:t xml:space="preserve">Există rea credinţă atunci când magistratul încalcă cu ştiinţă normele de drept material ori procesual, urmărind ori acceptând vătămarea unei persoane. </w:t>
      </w:r>
    </w:p>
    <w:p w14:paraId="2398BFBC" w14:textId="77777777" w:rsidR="00050656" w:rsidRDefault="009F5B99">
      <w:pPr>
        <w:ind w:firstLine="567"/>
        <w:jc w:val="both"/>
      </w:pPr>
      <w:r>
        <w:t>Există gravă neglijenţă atunci când magistratul nesocoteşte din culpă, în mod grav, neîndoielnic şi nescuzabil, normele de drept material ori procesual. Conform jurisprudenţei Înaltei Curţi de Casaţie şi Justiţie (Decizia nr. 130 din 24 aprilie 2017, pct. 8), pentru angajarea răspunderii disciplinare în cazul gravei neglijenţe, trebuie să fie îndeplinite cumulativ următoarele condiţii: în exercitarea funcţiei magistratul să încalce norme de drept material ori procesual; încălcarea normelor să se producă din</w:t>
      </w:r>
      <w:r>
        <w:t xml:space="preserve"> culpă; încălcarea normelor de drept să genereze consecinţe grave, respectiv să aibă caracter evident, neîndoielnic, fără justificare, în vădită contradicţie cu norma legală. Pentru abaterea disciplinară prev. de art. 99 lit. „t" teza II din Legea nr. 303/2004, forma de vinovăţie impusă de lege este neglijenţa gravă (</w:t>
      </w:r>
      <w:r>
        <w:rPr>
          <w:rStyle w:val="Fontdeparagrafimplicit1"/>
          <w:i/>
        </w:rPr>
        <w:t>culpa lata</w:t>
      </w:r>
      <w:r>
        <w:t>), în sensul că şi persoana cel mai puţin avizată, cu un minim de diligentă, ar fi prevăzut rezultatul faptei sale.</w:t>
      </w:r>
    </w:p>
    <w:p w14:paraId="3600519C" w14:textId="77777777" w:rsidR="00050656" w:rsidRDefault="009F5B99">
      <w:pPr>
        <w:ind w:firstLine="567"/>
        <w:jc w:val="both"/>
      </w:pPr>
      <w:r>
        <w:t xml:space="preserve">Invocarea încălcării de către magistrat a unor norme de principiu nu este suficientă pentru declanşarea procedurii de cercetare disciplinară, fiind necesar ca încălcarea să vizeze o normă de drept imperativă, onerativă sau prohibitivă ori să rezide în adoptarea unei decizii în afara oricăror norme de drept sau pe baza unei erori macroscopice, pentru care un observator rezonabil (persoană informată şi de bună credinţă) nu poate găsi o justificare. (Decizia Înaltei Curţi de Casaţie şi Justiţie nr. 292 din 27 </w:t>
      </w:r>
      <w:r>
        <w:t>noiembrie 2017, dosar nr. 955/1/2017).</w:t>
      </w:r>
    </w:p>
    <w:p w14:paraId="45479DFF" w14:textId="77777777" w:rsidR="00050656" w:rsidRDefault="009F5B99">
      <w:pPr>
        <w:ind w:firstLine="567"/>
        <w:jc w:val="both"/>
      </w:pPr>
      <w:r>
        <w:t xml:space="preserve">Rezultă din aspectele prezentate că reaua-credinţă sau grava neglijenţă circumscrie sfera încălcării normelor de drept material sau procesual la acelea de o gravitate deosebită, care au </w:t>
      </w:r>
      <w:r>
        <w:lastRenderedPageBreak/>
        <w:t>consecinţe asupra valabilităţii actelor întocmite de magistrat, a duratei procedurilor sau care produc o vătămare gravă a drepturilor şi intereselor părţilor, precum şi consecinţe ireparabile în căile de atac. Astfel, pot intra în sfera răspunderii disciplinare numai acele încălcări ale normelor de drept material sau procesual care pun în discuţie însăşi valabilitatea actelor întocmite de magistrat şi pentru care nu poate fi găsită o justificare legală, ceea ce însă nu este cazul în speță.</w:t>
      </w:r>
    </w:p>
    <w:p w14:paraId="67850EAF" w14:textId="09CD9BC8" w:rsidR="00050656" w:rsidRDefault="009F5B99">
      <w:pPr>
        <w:ind w:firstLine="567"/>
        <w:jc w:val="both"/>
      </w:pPr>
      <w:r>
        <w:t>În plus, sub aspectul laturii subiective, magistratul care acţionează cu rea-credinţă sau gravă neglijenţă realizează o distorsionare conştientă a dreptului, prin aplicarea greşită a legii, în mod voit, în scopul producerii unei vătămări sau acceptării producerii acesteia. Spre deosebire de buna-credință, care presupune că magistratul acţionează cu grijă faţă de interesul public de înfăptuire a justiţiei, apără interesele legitime ale părților, îşi subordonează comportarea sa exigenţelor ce decurg din îndat</w:t>
      </w:r>
      <w:r>
        <w:t xml:space="preserve">oririle profesionale şi normele deontologice, reaua-credinţă presupune atât intenţia de a manipula legea în mod conştient, cât şi voinţa de a cauza o vătămare a intereselor uneia din părţi. Or, aceste elemente, caracteristice lipsei de onestitate în exercitarea profesiei, nu au fost probate în cauză, aspectele invocate de partea reclamantă constituindu-se în nemulțumiri subiective față de soluția dată de procurori în dosarul nr. </w:t>
      </w:r>
      <w:r>
        <w:rPr>
          <w:rStyle w:val="Fontdeparagrafimplicit1"/>
          <w:u w:val="single"/>
        </w:rPr>
        <w:t>....2015 al DNA</w:t>
      </w:r>
      <w:r>
        <w:t>.</w:t>
      </w:r>
    </w:p>
    <w:p w14:paraId="7691419D" w14:textId="73AFE53C" w:rsidR="00050656" w:rsidRDefault="009F5B99">
      <w:pPr>
        <w:ind w:firstLine="567"/>
        <w:jc w:val="both"/>
      </w:pPr>
      <w:r>
        <w:t>Criticile formulate de partea reclamantă, în cuprinsul sesizării şi, implicit, al acţiunii ţin exclusiv de modul de interpretare a dispoziţiilor legale prin raportare la probatoriul administrat şi situaţia de fapt, aşa cum în mod corect a reţinut pârâta în rezoluţia de clasare, administrarea şi aprecierea probelor constituind un proces intelectiv, de analiză, ce ţine de esenţa actului de cercetare penală care nu poate fi cenzurat decât pe calea controlului ierarhic ori jurisdicţional, neputând face obiectul</w:t>
      </w:r>
      <w:r>
        <w:t xml:space="preserve"> unor verificări de natură administrativă ale Inspecţiei Judiciare. În acest context, nu poate fi reproşat pârâtei neanalizarea susţinerilor reclamantului din plângerea sa; pârâta a analizat şi a motivat soluţia sa, </w:t>
      </w:r>
      <w:r>
        <w:rPr>
          <w:rStyle w:val="Fontdeparagrafimplicit1"/>
          <w:i/>
        </w:rPr>
        <w:t>în limitele competenţei</w:t>
      </w:r>
      <w:r>
        <w:t xml:space="preserve"> sale prevăzute de lege: nici pârâta, nici instanţa de contencios administrativ nu s-ar putea substitui procurorului de caz ori prim procurorului parchetului în soluţionarea dosarului penal nr. ....2015, iar instanţa de faţă nu poate aprecia asupra necesităţii sau nu a adm</w:t>
      </w:r>
      <w:r>
        <w:t xml:space="preserve">inistrării unor probe în cauza penală, precum cele menţionate de reclamant în acţiunea sa; o atare substituire a competenţelor nu este permisă de Constituţie şi de Legile nr. 303/2004 şi nr. 317/2004, care nu au imaginat un mecanism de verificare a indiciilor privind abaterile disciplinare ale magistraților prin încălcarea principiului separaţiei puterilor în stat şi al interdicţiei imixtiunii în actul de justiţie. </w:t>
      </w:r>
      <w:r>
        <w:rPr>
          <w:rStyle w:val="Fontdeparagrafimplicit1"/>
          <w:i/>
        </w:rPr>
        <w:t>A contrario</w:t>
      </w:r>
      <w:r>
        <w:t>, o verificare a abaterilor disciplinare presupus a fi fost comise de procurori în</w:t>
      </w:r>
      <w:r>
        <w:t>tr-o cauză pendinte, ţinând de interpretarea şi aplicarea eronată a dispoziţiilor de drept procesual şi/sau a dispoziţiilor de drept material, poate avea conotaţii puternice de imixtiune a activităţii de Inspecţie Judiciară în actul de justiţie întrucât s-ar ajunge ca un organ non-judiciar cum este Inspecţia să exprime opinii juridice asupra legalităţii şi temeiniciei unei soluţii. Aceeaşi observaţie este valabilă şi în ce priveşte instanţa de faţă, nici aceasta neputând imixtiona în actul de justiţie.</w:t>
      </w:r>
      <w:r>
        <w:rPr>
          <w:rStyle w:val="Fontdeparagrafimplicit1"/>
          <w:b/>
        </w:rPr>
        <w:t xml:space="preserve"> </w:t>
      </w:r>
      <w:r>
        <w:t>Inde</w:t>
      </w:r>
      <w:r>
        <w:t>pendenta magistratului semnifica nu doar o stare de spirit sau o atitudine in exercitarea propriu-zisa a atributiilor judiciare, ci si un statut sau o relatie cu altii, in special cu executivul, concretizata pe conditii sau garantii obiective. Independenta justitiei reprezinta o conditie obligatorie pentru existenta statului de drept si garantia fundamentala a unui proces echitabil. Cum statul detine monopolul asupra serviciului justitiei, acesta are o dubla obligatie: sa ia toate masurile pentru organizare</w:t>
      </w:r>
      <w:r>
        <w:t xml:space="preserve">a sistemului, in asa fel incat sa se asigure independenta magistraţilor, dar, in egala masura, sa ofere garantii efective justitiabililor, ca in situatia concreta in care se semnaleaza o suspiciune de partialitate, sa existe cu adevarat remedii prompte si efective, apte sa inlature si simpla suspiciune rezonabila. </w:t>
      </w:r>
    </w:p>
    <w:p w14:paraId="3D8F0F68" w14:textId="3F57A270" w:rsidR="00050656" w:rsidRDefault="009F5B99">
      <w:pPr>
        <w:ind w:firstLine="567"/>
        <w:jc w:val="both"/>
        <w:rPr>
          <w:rStyle w:val="Fontdeparagrafimplicit1"/>
        </w:rPr>
      </w:pPr>
      <w:r>
        <w:rPr>
          <w:rStyle w:val="Fontdeparagrafimplicit1"/>
          <w:i/>
        </w:rPr>
        <w:t xml:space="preserve">Având în vedere aspectele prezentate, rezultă cu evidenţă că numai prin căile de atac prevăzute de lege reclamantul poate să supună controlului de legalitate, în faţa instanţei penale, soluţiile pronunţate în dosarul penal nr. </w:t>
      </w:r>
      <w:r>
        <w:rPr>
          <w:rStyle w:val="Fontdeparagrafimplicit1"/>
          <w:i/>
          <w:u w:val="single"/>
        </w:rPr>
        <w:t>....2015.</w:t>
      </w:r>
    </w:p>
    <w:p w14:paraId="344EEDDC" w14:textId="77777777" w:rsidR="00050656" w:rsidRDefault="009F5B99">
      <w:pPr>
        <w:ind w:firstLine="567"/>
        <w:jc w:val="both"/>
      </w:pPr>
      <w:r>
        <w:t xml:space="preserve">În concluzie, Curtea constată că în mod corect inspectorul judiciar a dispus clasarea, reținând că nu sunt indicii privind săvârșirea abaterii disciplinare prevăzute de art. 99 lit. t) </w:t>
      </w:r>
      <w:r>
        <w:lastRenderedPageBreak/>
        <w:t xml:space="preserve">din Legea nr. 303/2004. Pentru aceste motive, Curtea va respinge ca nefondată cererea reclamantului privind anularea rezoluţiei de clasare contestată în litigiu. </w:t>
      </w:r>
    </w:p>
    <w:p w14:paraId="5307EC09" w14:textId="77777777" w:rsidR="00050656" w:rsidRDefault="00050656"/>
    <w:p w14:paraId="71F6EA4F" w14:textId="77777777" w:rsidR="00050656" w:rsidRDefault="009F5B99">
      <w:pPr>
        <w:jc w:val="center"/>
      </w:pPr>
      <w:r>
        <w:t>PENTRU ACESTE MOTIVE,</w:t>
      </w:r>
      <w:r>
        <w:br/>
        <w:t>ÎN NUMELE LEGII</w:t>
      </w:r>
    </w:p>
    <w:p w14:paraId="2887DF1F" w14:textId="77777777" w:rsidR="00050656" w:rsidRDefault="009F5B99">
      <w:pPr>
        <w:jc w:val="center"/>
      </w:pPr>
      <w:bookmarkStart w:id="6" w:name="ce_face_curtea"/>
      <w:r>
        <w:t>HOTĂRĂŞTE</w:t>
      </w:r>
      <w:bookmarkEnd w:id="6"/>
    </w:p>
    <w:p w14:paraId="7F877D01" w14:textId="77777777" w:rsidR="00050656" w:rsidRDefault="00050656"/>
    <w:p w14:paraId="0BD379EA" w14:textId="323E3711" w:rsidR="00050656" w:rsidRDefault="009F5B99">
      <w:pPr>
        <w:ind w:firstLine="708"/>
        <w:jc w:val="both"/>
      </w:pPr>
      <w:r>
        <w:t xml:space="preserve">Respinge acţiunea formulată de reclamant NI, domiciliat în Comuna ..., Sat ..., str. ..., nr. .... Judeţ ...., în contradictoriu cu pârâta INSPECŢIA JUDICIARĂ, cu sediul în X, Bd. .. .., nr. ..., ..., ca nefondată. </w:t>
      </w:r>
    </w:p>
    <w:p w14:paraId="4AF8C4DF" w14:textId="77777777" w:rsidR="00050656" w:rsidRDefault="009F5B99">
      <w:pPr>
        <w:ind w:firstLine="708"/>
      </w:pPr>
      <w:r>
        <w:t>Cu recurs în 15 zile de la comunicare.</w:t>
      </w:r>
    </w:p>
    <w:p w14:paraId="44A58810" w14:textId="3ADC9BD1" w:rsidR="00050656" w:rsidRDefault="009F5B99">
      <w:pPr>
        <w:ind w:firstLine="708"/>
      </w:pPr>
      <w:r>
        <w:t>Recursul se depune la Curtea de Apel X.</w:t>
      </w:r>
    </w:p>
    <w:p w14:paraId="1D619A9E" w14:textId="3B37B3AA" w:rsidR="00050656" w:rsidRDefault="009F5B99">
      <w:pPr>
        <w:ind w:firstLine="708"/>
        <w:jc w:val="both"/>
      </w:pPr>
      <w:r>
        <w:t>Pronunţată azi, ...2022, prin punerea soluţiei la dispoziţia părţilor de către grefa instanţei.</w:t>
      </w:r>
    </w:p>
    <w:p w14:paraId="447559D8" w14:textId="77777777" w:rsidR="00050656" w:rsidRDefault="00050656">
      <w:pPr>
        <w:ind w:firstLine="708"/>
        <w:jc w:val="both"/>
      </w:pPr>
    </w:p>
    <w:p w14:paraId="65048105" w14:textId="77777777" w:rsidR="00050656" w:rsidRDefault="009F5B99">
      <w:r>
        <w:t xml:space="preserve">                PREŞEDINTE                                                                   GREFIER                                                                                                                        </w:t>
      </w:r>
    </w:p>
    <w:p w14:paraId="78D67694" w14:textId="6978049D" w:rsidR="00050656" w:rsidRDefault="009F5B99">
      <w:r>
        <w:t xml:space="preserve">                 A0017                                                                                 ....   </w:t>
      </w:r>
    </w:p>
    <w:p w14:paraId="568FFCD5" w14:textId="77777777" w:rsidR="00050656" w:rsidRDefault="00050656">
      <w:pPr>
        <w:jc w:val="both"/>
      </w:pPr>
    </w:p>
    <w:p w14:paraId="6CE354F6" w14:textId="77777777" w:rsidR="00050656" w:rsidRDefault="00050656">
      <w:pPr>
        <w:jc w:val="both"/>
      </w:pPr>
    </w:p>
    <w:p w14:paraId="683F5C8C" w14:textId="77777777" w:rsidR="00050656" w:rsidRDefault="00050656">
      <w:pPr>
        <w:jc w:val="both"/>
      </w:pPr>
    </w:p>
    <w:p w14:paraId="61CE5860" w14:textId="77777777" w:rsidR="00050656" w:rsidRDefault="00050656">
      <w:pPr>
        <w:jc w:val="both"/>
      </w:pPr>
    </w:p>
    <w:p w14:paraId="44213BD5" w14:textId="77777777" w:rsidR="00050656" w:rsidRDefault="00050656">
      <w:pPr>
        <w:jc w:val="both"/>
      </w:pPr>
    </w:p>
    <w:p w14:paraId="4A0135DE" w14:textId="77777777" w:rsidR="00050656" w:rsidRDefault="00050656">
      <w:pPr>
        <w:jc w:val="both"/>
      </w:pPr>
    </w:p>
    <w:p w14:paraId="2B7C572C" w14:textId="77777777" w:rsidR="00050656" w:rsidRDefault="00050656">
      <w:pPr>
        <w:jc w:val="both"/>
      </w:pPr>
    </w:p>
    <w:p w14:paraId="5C28FE70" w14:textId="624B80C5" w:rsidR="00050656" w:rsidRDefault="009F5B99">
      <w:pPr>
        <w:jc w:val="both"/>
      </w:pPr>
      <w:r>
        <w:t>Red. A0017/</w:t>
      </w:r>
      <w:r>
        <w:t>2 ex.</w:t>
      </w:r>
    </w:p>
    <w:p w14:paraId="2BB5E528" w14:textId="77777777" w:rsidR="00050656" w:rsidRDefault="009F5B99">
      <w:pPr>
        <w:jc w:val="both"/>
      </w:pPr>
      <w:r>
        <w:t>Com. 2 ex.</w:t>
      </w:r>
    </w:p>
    <w:p w14:paraId="7C24FA88" w14:textId="77777777" w:rsidR="00050656" w:rsidRDefault="00050656">
      <w:pPr>
        <w:ind w:firstLine="708"/>
        <w:jc w:val="both"/>
      </w:pPr>
    </w:p>
    <w:p w14:paraId="31AC2CCB" w14:textId="77777777" w:rsidR="00050656" w:rsidRDefault="00050656"/>
    <w:sectPr w:rsidR="00050656">
      <w:pgSz w:w="11906" w:h="16838"/>
      <w:pgMar w:top="851" w:right="851" w:bottom="851" w:left="198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characterSpacingControl w:val="doNotCompress"/>
  <w:compa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url" w:val="http://10.1.48.53:80/ecris_cdms/document_upload.aspx?id_document=200000004446983&amp;id_departament=54&amp;id_sesiune=4763998&amp;id_user=862&amp;id_institutie=2&amp;actiune=modifica"/>
  </w:docVars>
  <w:rsids>
    <w:rsidRoot w:val="00050656"/>
    <w:rsid w:val="00050656"/>
    <w:rsid w:val="00244372"/>
    <w:rsid w:val="00307E7B"/>
    <w:rsid w:val="009F5B99"/>
    <w:rsid w:val="00D64D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1A67A"/>
  <w15:docId w15:val="{D43F299E-1434-45BD-908B-8D7B558AE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Titlu11">
    <w:name w:val="Titlu 1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character" w:styleId="Numrdelinie">
    <w:name w:val="line number"/>
    <w:basedOn w:val="Fontdeparagrafimplicit"/>
    <w:semiHidden/>
  </w:style>
  <w:style w:type="character" w:styleId="Hyperlink">
    <w:name w:val="Hyperlink"/>
    <w:rPr>
      <w:color w:val="0000FF"/>
      <w:u w:val="single"/>
    </w:rPr>
  </w:style>
  <w:style w:type="character" w:customStyle="1" w:styleId="Fontdeparagrafimplicit1">
    <w:name w:val="Font de paragraf implicit1"/>
  </w:style>
  <w:style w:type="table" w:styleId="TabelSimple1">
    <w:name w:val="Table Simple 1"/>
    <w:basedOn w:val="Tabel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1">
    <w:name w:val="Tabel Normal1"/>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4</Pages>
  <Words>1925</Words>
  <Characters>11170</Characters>
  <Application>Microsoft Office Word</Application>
  <DocSecurity>0</DocSecurity>
  <Lines>93</Lines>
  <Paragraphs>26</Paragraphs>
  <ScaleCrop>false</ScaleCrop>
  <Manager/>
  <Company/>
  <LinksUpToDate>false</LinksUpToDate>
  <CharactersWithSpaces>13069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Mihaela, PUTINTEI</cp:lastModifiedBy>
  <cp:revision>1</cp:revision>
  <dcterms:created xsi:type="dcterms:W3CDTF">2026-09-03T07:29:00Z</dcterms:created>
  <dcterms:modified xsi:type="dcterms:W3CDTF">2026-09-03T07:30:00Z</dcterms:modified>
  <cp:category/>
  <dc:identifier/>
  <cp:contentStatus/>
  <dc:language/>
  <cp:version/>
</cp:coreProperties>
</file>