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234FD" w:rsidR="00A234FD" w:rsidRDefault="00A234FD">
      <w:pPr>
        <w:rPr>
          <w:rStyle w:val="Fontdeparagrafimplicit"/>
          <w:b/>
          <w:szCs w:val="24"/>
        </w:rPr>
      </w:pPr>
      <w:r w:rsidRPr="00A234FD">
        <w:rPr>
          <w:rStyle w:val="Fontdeparagrafimplicit"/>
          <w:b/>
          <w:szCs w:val="24"/>
        </w:rPr>
        <w:t>HOTĂRÂRE 25</w:t>
      </w:r>
    </w:p>
    <w:p w:rsidR="00001466" w:rsidRDefault="00B96CB1">
      <w:pPr>
        <w:rPr>
          <w:rStyle w:val="Fontdeparagrafimplicit"/>
          <w:color w:val="BFBFBF"/>
          <w:sz w:val="20"/>
        </w:rPr>
      </w:pPr>
      <w:r>
        <w:rPr>
          <w:rStyle w:val="Fontdeparagrafimplicit"/>
          <w:color w:val="BFBFBF"/>
          <w:sz w:val="20"/>
        </w:rPr>
        <w:t>Document finalizat</w:t>
      </w:r>
    </w:p>
    <w:p w:rsidR="00001466" w:rsidRDefault="00B96CB1">
      <w:pPr>
        <w:jc w:val="both"/>
        <w:rPr>
          <w:rStyle w:val="Fontdeparagrafimplicit"/>
          <w:b/>
        </w:rPr>
      </w:pPr>
      <w:r>
        <w:rPr>
          <w:rStyle w:val="Fontdeparagrafimplicit"/>
          <w:b/>
        </w:rPr>
        <w:t>Cod ECLI ECLI:RO:</w:t>
      </w:r>
      <w:r w:rsidR="00A234FD">
        <w:rPr>
          <w:rStyle w:val="Fontdeparagrafimplicit"/>
          <w:b/>
        </w:rPr>
        <w:t>...</w:t>
      </w:r>
      <w:r>
        <w:rPr>
          <w:rStyle w:val="Fontdeparagrafimplicit"/>
          <w:b/>
        </w:rPr>
        <w:t xml:space="preserve">  </w:t>
      </w:r>
    </w:p>
    <w:p w:rsidR="00001466" w:rsidRDefault="00A234FD">
      <w:pPr>
        <w:jc w:val="both"/>
        <w:rPr>
          <w:rStyle w:val="Fontdeparagrafimplicit"/>
          <w:b/>
        </w:rPr>
      </w:pPr>
      <w:r>
        <w:rPr>
          <w:rStyle w:val="Fontdeparagrafimplicit"/>
          <w:b/>
        </w:rPr>
        <w:t>DOSAR NR. ...</w:t>
      </w:r>
      <w:r w:rsidR="00B96CB1">
        <w:rPr>
          <w:rStyle w:val="Fontdeparagrafimplicit"/>
          <w:b/>
        </w:rPr>
        <w:t>/</w:t>
      </w:r>
      <w:r>
        <w:rPr>
          <w:rStyle w:val="Fontdeparagrafimplicit"/>
          <w:b/>
        </w:rPr>
        <w:t>...</w:t>
      </w:r>
      <w:r w:rsidR="00B96CB1">
        <w:rPr>
          <w:rStyle w:val="Fontdeparagrafimplicit"/>
          <w:b/>
        </w:rPr>
        <w:t>/2020</w:t>
      </w:r>
    </w:p>
    <w:p w:rsidR="00001466" w:rsidRDefault="00B96CB1">
      <w:pPr>
        <w:ind w:firstLine="600"/>
        <w:jc w:val="center"/>
        <w:rPr>
          <w:rStyle w:val="Fontdeparagrafimplicit"/>
          <w:b/>
        </w:rPr>
      </w:pPr>
      <w:r>
        <w:rPr>
          <w:rStyle w:val="Fontdeparagrafimplicit"/>
          <w:b/>
        </w:rPr>
        <w:t>R O M Â N I A</w:t>
      </w:r>
    </w:p>
    <w:p w:rsidR="00001466" w:rsidRDefault="00B96CB1">
      <w:pPr>
        <w:ind w:firstLine="600"/>
        <w:jc w:val="center"/>
        <w:rPr>
          <w:rStyle w:val="Fontdeparagrafimplicit"/>
          <w:b/>
        </w:rPr>
      </w:pPr>
      <w:r>
        <w:rPr>
          <w:rStyle w:val="Fontdeparagrafimplicit"/>
          <w:b/>
        </w:rPr>
        <w:t xml:space="preserve">CURTEA DE APEL </w:t>
      </w:r>
      <w:r w:rsidR="00A234FD">
        <w:rPr>
          <w:rStyle w:val="Fontdeparagrafimplicit"/>
          <w:b/>
        </w:rPr>
        <w:t>X</w:t>
      </w:r>
    </w:p>
    <w:p w:rsidR="00001466" w:rsidRDefault="00B96CB1">
      <w:pPr>
        <w:ind w:firstLine="600"/>
        <w:jc w:val="center"/>
        <w:rPr>
          <w:rStyle w:val="Fontdeparagrafimplicit"/>
          <w:b/>
        </w:rPr>
      </w:pPr>
      <w:r>
        <w:rPr>
          <w:rStyle w:val="Fontdeparagrafimplicit"/>
          <w:b/>
        </w:rPr>
        <w:t xml:space="preserve">SECŢIA </w:t>
      </w:r>
      <w:r>
        <w:rPr>
          <w:rStyle w:val="Fontdeparagrafimplicit"/>
          <w:b/>
        </w:rPr>
        <w:t xml:space="preserve">CONTENCIOS ADMINISTRATIV ŞI FISCAL </w:t>
      </w:r>
      <w:bookmarkStart w:name="_GoBack" w:id="0"/>
      <w:bookmarkEnd w:id="0"/>
    </w:p>
    <w:p w:rsidR="00001466" w:rsidRDefault="00001466">
      <w:pPr>
        <w:ind w:firstLine="600"/>
        <w:jc w:val="center"/>
        <w:rPr>
          <w:rStyle w:val="Fontdeparagrafimplicit"/>
          <w:b/>
          <w:i/>
          <w:u w:val="single"/>
        </w:rPr>
      </w:pPr>
    </w:p>
    <w:p w:rsidR="00001466" w:rsidRDefault="00B96CB1">
      <w:pPr>
        <w:ind w:firstLine="600"/>
        <w:jc w:val="center"/>
        <w:rPr>
          <w:rStyle w:val="Fontdeparagrafimplicit"/>
          <w:b/>
          <w:i/>
          <w:u w:val="single"/>
        </w:rPr>
      </w:pPr>
      <w:r>
        <w:rPr>
          <w:rStyle w:val="Fontdeparagrafimplicit"/>
          <w:b/>
          <w:i/>
          <w:u w:val="single"/>
        </w:rPr>
        <w:t>DECIZIA CIVILĂ NR.</w:t>
      </w:r>
      <w:r w:rsidR="00A234FD">
        <w:rPr>
          <w:rStyle w:val="Fontdeparagrafimplicit"/>
          <w:b/>
          <w:i/>
          <w:u w:val="single"/>
        </w:rPr>
        <w:t>...</w:t>
      </w:r>
    </w:p>
    <w:p w:rsidR="00001466" w:rsidRDefault="00B96CB1">
      <w:pPr>
        <w:ind w:firstLine="600"/>
        <w:jc w:val="center"/>
        <w:rPr>
          <w:rStyle w:val="Fontdeparagrafimplicit"/>
          <w:b/>
        </w:rPr>
      </w:pPr>
      <w:r>
        <w:rPr>
          <w:rStyle w:val="Fontdeparagrafimplicit"/>
          <w:b/>
        </w:rPr>
        <w:t xml:space="preserve">Şedinţa publică din data de </w:t>
      </w:r>
      <w:r w:rsidR="00A234FD">
        <w:rPr>
          <w:rStyle w:val="Fontdeparagrafimplicit"/>
          <w:b/>
        </w:rPr>
        <w:t>...</w:t>
      </w:r>
      <w:r>
        <w:rPr>
          <w:rStyle w:val="Fontdeparagrafimplicit"/>
          <w:b/>
        </w:rPr>
        <w:t>2022</w:t>
      </w:r>
    </w:p>
    <w:p w:rsidR="00001466" w:rsidRDefault="00B96CB1">
      <w:pPr>
        <w:ind w:firstLine="600"/>
        <w:jc w:val="center"/>
        <w:rPr>
          <w:rStyle w:val="Fontdeparagrafimplicit"/>
          <w:b/>
        </w:rPr>
      </w:pPr>
      <w:r>
        <w:rPr>
          <w:rStyle w:val="Fontdeparagrafimplicit"/>
          <w:b/>
        </w:rPr>
        <w:t xml:space="preserve">Curtea </w:t>
      </w:r>
      <w:r>
        <w:rPr>
          <w:rStyle w:val="Fontdeparagrafimplicit"/>
          <w:b/>
        </w:rPr>
        <w:t>constituită din:</w:t>
      </w:r>
    </w:p>
    <w:p w:rsidR="00001466" w:rsidRDefault="00B96CB1">
      <w:pPr>
        <w:ind w:firstLine="600"/>
        <w:jc w:val="center"/>
        <w:rPr>
          <w:rStyle w:val="Fontdeparagrafimplicit"/>
          <w:b/>
        </w:rPr>
      </w:pPr>
      <w:r>
        <w:rPr>
          <w:rStyle w:val="Fontdeparagrafimplicit"/>
          <w:b/>
        </w:rPr>
        <w:t xml:space="preserve">PREŞEDINTE: </w:t>
      </w:r>
      <w:r w:rsidR="00A234FD">
        <w:rPr>
          <w:rStyle w:val="Fontdeparagrafimplicit"/>
          <w:b/>
        </w:rPr>
        <w:t>A0012</w:t>
      </w:r>
      <w:r>
        <w:rPr>
          <w:rStyle w:val="Fontdeparagrafimplicit"/>
          <w:b/>
        </w:rPr>
        <w:t xml:space="preserve"> </w:t>
      </w:r>
    </w:p>
    <w:p w:rsidR="00001466" w:rsidRDefault="00B96CB1">
      <w:pPr>
        <w:ind w:firstLine="600"/>
        <w:jc w:val="center"/>
        <w:rPr>
          <w:rStyle w:val="Fontdeparagrafimplicit"/>
          <w:b/>
        </w:rPr>
      </w:pPr>
      <w:r>
        <w:rPr>
          <w:rStyle w:val="Fontdeparagrafimplicit"/>
          <w:b/>
        </w:rPr>
        <w:t xml:space="preserve">JUDECĂTOR: </w:t>
      </w:r>
      <w:r w:rsidR="00A234FD">
        <w:rPr>
          <w:rStyle w:val="Fontdeparagrafimplicit"/>
          <w:b/>
        </w:rPr>
        <w:t>...</w:t>
      </w:r>
    </w:p>
    <w:p w:rsidR="00001466" w:rsidRDefault="00B96CB1">
      <w:pPr>
        <w:ind w:firstLine="600"/>
        <w:jc w:val="center"/>
        <w:rPr>
          <w:rStyle w:val="Fontdeparagrafimplicit"/>
          <w:b/>
        </w:rPr>
      </w:pPr>
      <w:r>
        <w:rPr>
          <w:rStyle w:val="Fontdeparagrafimplicit"/>
          <w:b/>
        </w:rPr>
        <w:t xml:space="preserve">JUDECĂTOR: </w:t>
      </w:r>
      <w:r w:rsidR="00A234FD">
        <w:rPr>
          <w:rStyle w:val="Fontdeparagrafimplicit"/>
          <w:b/>
        </w:rPr>
        <w:t>...</w:t>
      </w:r>
    </w:p>
    <w:p w:rsidR="00001466" w:rsidRDefault="00B96CB1">
      <w:pPr>
        <w:ind w:firstLine="600"/>
        <w:jc w:val="center"/>
        <w:rPr>
          <w:rStyle w:val="Fontdeparagrafimplicit"/>
        </w:rPr>
      </w:pPr>
      <w:r>
        <w:rPr>
          <w:rStyle w:val="Fontdeparagrafimplicit"/>
          <w:b/>
        </w:rPr>
        <w:t xml:space="preserve">GREFIER: </w:t>
      </w:r>
      <w:r w:rsidR="00A234FD">
        <w:rPr>
          <w:rStyle w:val="Fontdeparagrafimplicit"/>
          <w:b/>
        </w:rPr>
        <w:t>...</w:t>
      </w:r>
    </w:p>
    <w:p w:rsidR="00001466" w:rsidRDefault="00001466">
      <w:pPr>
        <w:ind w:right="91" w:firstLine="709"/>
        <w:jc w:val="both"/>
        <w:rPr>
          <w:rStyle w:val="Fontdeparagrafimplicit"/>
        </w:rPr>
      </w:pPr>
    </w:p>
    <w:p w:rsidR="00001466" w:rsidRDefault="00B96CB1">
      <w:pPr>
        <w:ind w:right="91" w:firstLine="709"/>
        <w:jc w:val="both"/>
        <w:rPr>
          <w:rStyle w:val="Fontdeparagrafimplicit"/>
          <w:i/>
        </w:rPr>
      </w:pPr>
      <w:r>
        <w:t xml:space="preserve">Pe rol se află spre soluţionare recursul formulat de recurenta - reclamantă </w:t>
      </w:r>
      <w:r w:rsidR="009029A6">
        <w:rPr>
          <w:rStyle w:val="Fontdeparagrafimplicit"/>
          <w:b/>
        </w:rPr>
        <w:t>R1</w:t>
      </w:r>
      <w:r>
        <w:rPr>
          <w:rStyle w:val="Fontdeparagrafimplicit"/>
          <w:b/>
        </w:rPr>
        <w:t xml:space="preserve"> SRL,</w:t>
      </w:r>
      <w:r>
        <w:t xml:space="preserve"> împotriva sentinţei civil</w:t>
      </w:r>
      <w:r>
        <w:t xml:space="preserve">e nr. </w:t>
      </w:r>
      <w:r w:rsidR="009029A6">
        <w:t>...</w:t>
      </w:r>
      <w:r>
        <w:t>/</w:t>
      </w:r>
      <w:r w:rsidR="009029A6">
        <w:t>...2021</w:t>
      </w:r>
      <w:r>
        <w:t xml:space="preserve"> pronunţată de Tribunalul </w:t>
      </w:r>
      <w:r w:rsidR="00A234FD">
        <w:t>X</w:t>
      </w:r>
      <w:r>
        <w:t xml:space="preserve"> - Secţia </w:t>
      </w:r>
      <w:r>
        <w:t xml:space="preserve">Contencios administrativ şi fiscal, în dosarul nr. </w:t>
      </w:r>
      <w:r w:rsidR="009029A6">
        <w:rPr>
          <w:rStyle w:val="Fontdeparagrafimplicit"/>
          <w:b/>
        </w:rPr>
        <w:t>.../.../2020</w:t>
      </w:r>
      <w:r>
        <w:t xml:space="preserve">, în contradictoriu cu intimatul - pârât </w:t>
      </w:r>
      <w:r>
        <w:rPr>
          <w:rStyle w:val="Fontdeparagrafimplicit"/>
          <w:b/>
        </w:rPr>
        <w:t xml:space="preserve">PRIMARUL </w:t>
      </w:r>
      <w:r w:rsidR="009029A6">
        <w:rPr>
          <w:rStyle w:val="Fontdeparagrafimplicit"/>
          <w:b/>
        </w:rPr>
        <w:t>Y</w:t>
      </w:r>
      <w:r>
        <w:rPr>
          <w:rStyle w:val="Fontdeparagrafimplicit"/>
          <w:b/>
        </w:rPr>
        <w:t xml:space="preserve"> AL MUNICIPIULUI </w:t>
      </w:r>
      <w:r w:rsidR="00A234FD">
        <w:rPr>
          <w:rStyle w:val="Fontdeparagrafimplicit"/>
          <w:b/>
        </w:rPr>
        <w:t>X</w:t>
      </w:r>
      <w:r>
        <w:rPr>
          <w:rStyle w:val="Fontdeparagrafimplicit"/>
          <w:b/>
        </w:rPr>
        <w:t xml:space="preserve">, </w:t>
      </w:r>
      <w:r>
        <w:t xml:space="preserve">având ca obiect </w:t>
      </w:r>
      <w:r>
        <w:rPr>
          <w:rStyle w:val="Fontdeparagrafimplicit"/>
          <w:i/>
        </w:rPr>
        <w:t>obligare emite</w:t>
      </w:r>
      <w:r>
        <w:rPr>
          <w:rStyle w:val="Fontdeparagrafimplicit"/>
          <w:i/>
        </w:rPr>
        <w:t>re act administrativ.</w:t>
      </w:r>
    </w:p>
    <w:p w:rsidR="00001466" w:rsidRDefault="00B96CB1">
      <w:pPr>
        <w:ind w:right="91" w:firstLine="709"/>
        <w:jc w:val="both"/>
      </w:pPr>
      <w:r>
        <w:t xml:space="preserve">Instanţa a reţinut cauza spre soluţionare în şedinţa publică din data de </w:t>
      </w:r>
      <w:r w:rsidR="009029A6">
        <w:t>...</w:t>
      </w:r>
      <w:r>
        <w:t>.2022, datele fiind consemnate în încheierea de şedinţă de la acel termen la care Curtea, având nevoie de timp pentru a delibera, a amânat pronunţarea succe</w:t>
      </w:r>
      <w:r>
        <w:t>siv până la termenul de astăzi.</w:t>
      </w:r>
    </w:p>
    <w:p w:rsidR="00001466" w:rsidRDefault="00001466">
      <w:pPr>
        <w:jc w:val="both"/>
      </w:pPr>
    </w:p>
    <w:p w:rsidR="00001466" w:rsidRDefault="00B96CB1">
      <w:pPr>
        <w:ind w:firstLine="540"/>
        <w:jc w:val="center"/>
        <w:rPr>
          <w:rStyle w:val="Fontdeparagrafimplicit"/>
          <w:b/>
        </w:rPr>
      </w:pPr>
      <w:r>
        <w:rPr>
          <w:rStyle w:val="Fontdeparagrafimplicit"/>
          <w:b/>
        </w:rPr>
        <w:t>CURTEA,</w:t>
      </w:r>
    </w:p>
    <w:p w:rsidR="00001466" w:rsidRDefault="00001466">
      <w:pPr>
        <w:ind w:firstLine="540"/>
        <w:jc w:val="center"/>
        <w:rPr>
          <w:rStyle w:val="Fontdeparagrafimplicit"/>
          <w:b/>
        </w:rPr>
      </w:pPr>
    </w:p>
    <w:p w:rsidR="00001466" w:rsidRDefault="00B96CB1">
      <w:pPr>
        <w:ind w:firstLine="540"/>
        <w:jc w:val="both"/>
        <w:rPr>
          <w:rStyle w:val="Fontdeparagrafimplicit"/>
          <w:i/>
        </w:rPr>
      </w:pPr>
      <w:r>
        <w:rPr>
          <w:rStyle w:val="Fontdeparagrafimplicit"/>
          <w:i/>
        </w:rPr>
        <w:t>Deliberând asupra recursului de faţă, constată următoarele:</w:t>
      </w:r>
    </w:p>
    <w:p w:rsidR="00001466" w:rsidRDefault="00B96CB1">
      <w:pPr>
        <w:ind w:firstLine="540"/>
        <w:jc w:val="both"/>
      </w:pPr>
      <w:r>
        <w:t xml:space="preserve">Prin </w:t>
      </w:r>
      <w:r>
        <w:rPr>
          <w:rStyle w:val="Fontdeparagrafimplicit"/>
          <w:b/>
          <w:i/>
        </w:rPr>
        <w:t xml:space="preserve">sentinţa civilă nr. </w:t>
      </w:r>
      <w:r w:rsidR="009029A6">
        <w:rPr>
          <w:rStyle w:val="Fontdeparagrafimplicit"/>
          <w:b/>
          <w:i/>
        </w:rPr>
        <w:t>...</w:t>
      </w:r>
      <w:r>
        <w:rPr>
          <w:rStyle w:val="Fontdeparagrafimplicit"/>
          <w:b/>
          <w:i/>
        </w:rPr>
        <w:t>/</w:t>
      </w:r>
      <w:r w:rsidR="009029A6">
        <w:rPr>
          <w:rStyle w:val="Fontdeparagrafimplicit"/>
          <w:b/>
          <w:i/>
        </w:rPr>
        <w:t>...2021</w:t>
      </w:r>
      <w:r>
        <w:t xml:space="preserve">, Tribunalul </w:t>
      </w:r>
      <w:r w:rsidR="00A234FD">
        <w:t>X</w:t>
      </w:r>
      <w:r>
        <w:t xml:space="preserve"> – Secţia </w:t>
      </w:r>
      <w:r>
        <w:t xml:space="preserve">Contencios Administrativ şi Fiscal a dispus respingerea cererii de chemare </w:t>
      </w:r>
      <w:r>
        <w:t xml:space="preserve">în judecată </w:t>
      </w:r>
      <w:bookmarkStart w:name="_Hlk141177356" w:id="1"/>
      <w:r>
        <w:t>formulată de reclamanta</w:t>
      </w:r>
      <w:bookmarkEnd w:id="1"/>
      <w:r>
        <w:t xml:space="preserve"> </w:t>
      </w:r>
      <w:r w:rsidR="009029A6">
        <w:t>R1</w:t>
      </w:r>
      <w:r>
        <w:t xml:space="preserve"> SRL în contradictoriu cu Primăria </w:t>
      </w:r>
      <w:r w:rsidR="009029A6">
        <w:t>Y</w:t>
      </w:r>
      <w:r>
        <w:t xml:space="preserve"> </w:t>
      </w:r>
      <w:r w:rsidR="00A234FD">
        <w:t>X</w:t>
      </w:r>
      <w:r>
        <w:t xml:space="preserve"> ca fiind îndreptată împotriva unei persoane fără calitate procesuală pasivă; respingerea cererii de chemare în judecată formulată de reclamantă în </w:t>
      </w:r>
      <w:r>
        <w:t xml:space="preserve">contradictoriu cu pârâtul Primarul </w:t>
      </w:r>
      <w:r w:rsidR="009029A6">
        <w:t>Y</w:t>
      </w:r>
      <w:r>
        <w:t xml:space="preserve"> al Municipiului </w:t>
      </w:r>
      <w:r w:rsidR="00A234FD">
        <w:t>X</w:t>
      </w:r>
      <w:r>
        <w:t xml:space="preserve"> ca neîntemeiată.</w:t>
      </w:r>
    </w:p>
    <w:p w:rsidR="00001466" w:rsidRDefault="00B96CB1">
      <w:pPr>
        <w:ind w:firstLine="709"/>
        <w:jc w:val="both"/>
      </w:pPr>
      <w:r>
        <w:t xml:space="preserve">Împotriva acestei sentinţe civile a declarat </w:t>
      </w:r>
      <w:r>
        <w:rPr>
          <w:rStyle w:val="Fontdeparagrafimplicit"/>
          <w:b/>
          <w:i/>
        </w:rPr>
        <w:t>recurs</w:t>
      </w:r>
      <w:r>
        <w:t xml:space="preserve"> reclamanta </w:t>
      </w:r>
      <w:r w:rsidR="009029A6">
        <w:t>R1</w:t>
      </w:r>
      <w:r>
        <w:t xml:space="preserve"> SRL, prin care a solicitat admiterea recursului, casarea hotărârii atacate şi, în reju</w:t>
      </w:r>
      <w:r>
        <w:t>decare pe fond cauzei, admiterea cererii de chemare în judecată astfel cum a fost formulată, cu cheltuieli de judecată. Pe fondul cererii, a solicitat admiterea probei cu expertiza tehnică în construcţii (urbanism şi amenajarea teritoriului) care să ateste</w:t>
      </w:r>
      <w:r>
        <w:t xml:space="preserve"> îndeplinirea cerinţelor art. 37 alin. (6) din Legea nr. 50/1991 în forma în vigoare, modificată ultima dată prin Legea nr. 7/2020.</w:t>
      </w:r>
    </w:p>
    <w:p w:rsidR="00001466" w:rsidRDefault="00B96CB1">
      <w:pPr>
        <w:ind w:firstLine="709"/>
        <w:jc w:val="both"/>
      </w:pPr>
      <w:r>
        <w:t xml:space="preserve">În motivarea recursului, recurenta-reclamantă a invocat motivele de casare prevăzute de art. 488 alin. (1) pct. 5 raportat </w:t>
      </w:r>
      <w:r>
        <w:t>la art. 175 C.proc.civ şi art. 22 alin. (2) C.proc.civ şi de art. 488 alin. (1) pct. 8 C.proc.civ cu aplicarea Anexei nr. 2 din Legea nr. 350/2001</w:t>
      </w:r>
    </w:p>
    <w:p w:rsidR="00001466" w:rsidRDefault="00B96CB1">
      <w:pPr>
        <w:ind w:firstLine="709"/>
        <w:jc w:val="both"/>
      </w:pPr>
      <w:r>
        <w:t>Recurenta a arătat că, în fapt, prin cererea de chemare în judecată astfel cum a fost completată, a solicitat</w:t>
      </w:r>
      <w:r>
        <w:t xml:space="preserve"> obligarea pârâtului Primarul </w:t>
      </w:r>
      <w:r w:rsidR="009029A6">
        <w:t>Y</w:t>
      </w:r>
      <w:r>
        <w:t xml:space="preserve"> la emiterea Certificatului de atestare/adeverința privind edificarea construcţiei reprezentând terasă acoperită, restaurant, depozitare, grupuri sanitare, situata în </w:t>
      </w:r>
      <w:r w:rsidR="00A234FD">
        <w:t>X</w:t>
      </w:r>
      <w:r>
        <w:t xml:space="preserve">, </w:t>
      </w:r>
      <w:r w:rsidR="00CF2DB9">
        <w:t>...</w:t>
      </w:r>
      <w:r>
        <w:t xml:space="preserve">, B-dul </w:t>
      </w:r>
      <w:r w:rsidR="00CF2DB9">
        <w:t xml:space="preserve">... </w:t>
      </w:r>
      <w:r>
        <w:t>nr. 2, î</w:t>
      </w:r>
      <w:r>
        <w:t>n termen de 30 de zile de la data rămânerii definitive a hotărârii instanței.</w:t>
      </w:r>
    </w:p>
    <w:p w:rsidR="00001466" w:rsidRDefault="00B96CB1">
      <w:pPr>
        <w:ind w:firstLine="709"/>
        <w:jc w:val="both"/>
      </w:pPr>
      <w:r>
        <w:t>În drept, cererea a fost întemeiată pe art. 37 alin. (6) din Legea 50/1991 în forma în vigoare, modificată ultima dată prin Legea nr. 7/2020.</w:t>
      </w:r>
    </w:p>
    <w:p w:rsidR="00001466" w:rsidRDefault="00B96CB1">
      <w:pPr>
        <w:ind w:firstLine="709"/>
        <w:jc w:val="both"/>
      </w:pPr>
      <w:r>
        <w:t>În probațiune, pe lângă înscrisurile</w:t>
      </w:r>
      <w:r>
        <w:t xml:space="preserve"> depuse şi întreaga documentaţie depusă în susţinerea cererii, recurenta a solicitat şi încuviinţarea probei cu expertiza tehnică în construcţii având ca </w:t>
      </w:r>
      <w:r>
        <w:lastRenderedPageBreak/>
        <w:t>obiective „Să se stabilească dacă construcția terasă acoperită, restaurant, depozitare, grupuri sanita</w:t>
      </w:r>
      <w:r>
        <w:t>re pentru care a solicitat eliberarea Certificatului de atestare/adeverința privind edificarea construcţiei, îndeplineşte condiţiile prevăzute de art. 37 alin. (6) din Legea nr. 51/1991, respectiv dacă: respectă cerinţele fundamentale aplicabile privind ca</w:t>
      </w:r>
      <w:r>
        <w:t>litatea în construcţii; respecta dispoziţiilor legale în materie; se încadrează în reglementările de urbanism aprobate; este conforma documentaţiei cadastrale depuse.”</w:t>
      </w:r>
    </w:p>
    <w:p w:rsidR="00001466" w:rsidRDefault="00B96CB1">
      <w:pPr>
        <w:ind w:firstLine="709"/>
        <w:jc w:val="both"/>
      </w:pPr>
      <w:r>
        <w:t>Practic, recurenta a arătat că expertiza judiciară solicitată urma să confirme sau să in</w:t>
      </w:r>
      <w:r>
        <w:t>firme dacă sunt îndeplinite chiar condiţiile tehnice prevăzute de art. 37 alin. (6) din Legea nr. 51/1991, temeiul juridic de drept material care stă la baza emiterii actului administrativ solicitat şi care dincolo de susţinerile părţilor, reprezintă proba</w:t>
      </w:r>
      <w:r>
        <w:t xml:space="preserve"> esenţială în soluţionarea cauzei.</w:t>
      </w:r>
    </w:p>
    <w:p w:rsidR="00001466" w:rsidRDefault="00B96CB1">
      <w:pPr>
        <w:ind w:firstLine="709"/>
        <w:jc w:val="both"/>
      </w:pPr>
      <w:r>
        <w:t>Prin respingerea acestei probe pentru soluţionarea cauzei, instanța a încălcat regulile de procedură a căror nerespectare atrage sancţiunea nulității, respectiv dispoziţiile art. 22 C.proc.civ. - rolul judecătorului în af</w:t>
      </w:r>
      <w:r>
        <w:t>larea adevărului, pronunţând astfel o hotărâre susceptibilă de casare în condiţiile art. 488 pct. 5 C.proc.civ.</w:t>
      </w:r>
    </w:p>
    <w:p w:rsidR="00001466" w:rsidRDefault="00B96CB1">
      <w:pPr>
        <w:ind w:firstLine="709"/>
        <w:jc w:val="both"/>
      </w:pPr>
      <w:r>
        <w:t xml:space="preserve">Recurenta a învederat că instanța fondului nu numai că nu a stăruit în aflarea adevărului prin administrarea tuturor probelor care ar fi condus </w:t>
      </w:r>
      <w:r>
        <w:t>la aflarea adevărului, însă a respins proba cu expertiză cu motivarea simplistă că înscrisurile depuse în susţinerea cauzei sunt suficiente în raport de obiectul cererii de chemare în judecată, pronunțându-se astfel numai pe baza susţinerilor părţilor.</w:t>
      </w:r>
    </w:p>
    <w:p w:rsidR="00001466" w:rsidRDefault="00B96CB1">
      <w:pPr>
        <w:ind w:firstLine="709"/>
        <w:jc w:val="both"/>
      </w:pPr>
      <w:r>
        <w:t>Or,</w:t>
      </w:r>
      <w:r>
        <w:t xml:space="preserve"> raportat la obiectul cererii, care impunea analiza îndeplinirii unor condiţii strict tehnice, instanța nu putea să se pronunţe numai pe baza susţinerilor părţilor, îndeplinirea condiţiilor tehnice pentru eliberarea actului solicitat trebuind să fie analiz</w:t>
      </w:r>
      <w:r>
        <w:t>ate în cadrul unei expertize tehnice, expertiza cerută de însuși textul de lege în baza căruia a solicitat actul administrativ. Respingând expertiza, instanța a fost în imposibilitate de a face o analiză reală şi obiectivă a îndeplinirii condiţiilor cerute</w:t>
      </w:r>
      <w:r>
        <w:t xml:space="preserve"> de art. 37 pentru eliberarea actului solicitat, precum şi a aplicabilității Anexei nr. 2 din Legea nr. 350/2001 privind excepţiile de calcul al indicatorilor urbanistici POT şi CUT, pronunţând astfel o hotărâre greşită.</w:t>
      </w:r>
    </w:p>
    <w:p w:rsidR="00001466" w:rsidRDefault="00B96CB1">
      <w:pPr>
        <w:ind w:firstLine="709"/>
        <w:jc w:val="both"/>
      </w:pPr>
      <w:r>
        <w:t>Recurenta a arătat că nu numai că i</w:t>
      </w:r>
      <w:r>
        <w:t>nstanța s-a pronunțat fără a stabili pe baza de expertiză dacă sunt îndeplinite condiţiile tehnice prevăzute de lege pentru emiterea actului administrativ solicitat, însă a făcut şi o aplicare greşită a normelor de drept material aplicabile, respectiv a ap</w:t>
      </w:r>
      <w:r>
        <w:t>reciat greşit că dispozițiile articolului din Anexa nr. 2 la Legea nr. 350/2001 privind excepţiile de calcul al indicatorilor urbanistici POT şi CUT nu sunt aplicabile în speţă, motiv de casare prevăzut de art. 488 pct. 8 C.proc.civ.</w:t>
      </w:r>
    </w:p>
    <w:p w:rsidR="00001466" w:rsidRDefault="00B96CB1">
      <w:pPr>
        <w:ind w:firstLine="709"/>
        <w:jc w:val="both"/>
      </w:pPr>
      <w:r>
        <w:t xml:space="preserve">În lipsa unei </w:t>
      </w:r>
      <w:r>
        <w:t>expertize judiciare care să analizeze inclusiv respectarea reglementarilor urbanistice, instanța a înlăturat nejustificat aplicabilitatea Anexei nr. 2 la Legea nr. 350/2001 privind excepţiile de calcul al indicatorilor urbanistici POT şi CUT, reţinând în m</w:t>
      </w:r>
      <w:r>
        <w:t>od nejustificat că „terenul în suprafaţă de 288,31 m.p. nu a fost dezmembrat în sensul dispoziţiilor Legii nr. 7/1996, în cuprinsul cărţii funciare înscriindu-se de fapt dreptul de concesiune al reclamantei.”</w:t>
      </w:r>
    </w:p>
    <w:p w:rsidR="00001466" w:rsidRDefault="00B96CB1">
      <w:pPr>
        <w:ind w:firstLine="709"/>
        <w:jc w:val="both"/>
      </w:pPr>
      <w:r>
        <w:t>Or, potrivit art. 23 pct. B din Legea nr. 7/199</w:t>
      </w:r>
      <w:r>
        <w:t>6 şi a art. 12 din Regulamentul aprobat prin Ordinul 700/2014, este permisă înscrierea în cartea funciară şi a dreptului de administrare. „Art. 23 B. partea a II-a, referitoare la înscrierile privind dreptul de proprietate şi alte drepturi reale, care cupr</w:t>
      </w:r>
      <w:r>
        <w:t>inde: [...] d) dreptul de administrare, dreptul de concesiune şi dreptul de folosinţă cu titlu gratuit, corespunzătoare proprietăţii publice;".</w:t>
      </w:r>
    </w:p>
    <w:p w:rsidR="00001466" w:rsidRDefault="00B96CB1">
      <w:pPr>
        <w:ind w:firstLine="709"/>
        <w:jc w:val="both"/>
      </w:pPr>
      <w:r>
        <w:t>Chiar în cuprinsul extrasului de carte funciară, de altfel, în Anexa nr. 1 la Partea I - Date referitoare la ter</w:t>
      </w:r>
      <w:r>
        <w:t xml:space="preserve">en - Observaţii a cărţii funciare </w:t>
      </w:r>
      <w:r w:rsidR="0070538A">
        <w:t>...</w:t>
      </w:r>
      <w:r>
        <w:t xml:space="preserve"> </w:t>
      </w:r>
      <w:r w:rsidR="00A234FD">
        <w:t>X</w:t>
      </w:r>
      <w:r>
        <w:t xml:space="preserve"> </w:t>
      </w:r>
      <w:r w:rsidR="0070538A">
        <w:t>...</w:t>
      </w:r>
      <w:r>
        <w:t xml:space="preserve"> (Anexa nr. îi apare înscris dreptul de concesiune ca fiind un „dezmembrământ”: „Date referitoare la teren: Categorie folosinţă: curţi construcții - suprafaţă 803.298 m.p. - Observaţii: din cadru</w:t>
      </w:r>
      <w:r>
        <w:t>l acestui imobil s-a concesionat terenul de sub construcţiile C1 si C22. în suprafaţa toată de 288 m.p. (suprafaţa afectată de dezmembrământ)."</w:t>
      </w:r>
    </w:p>
    <w:p w:rsidR="00001466" w:rsidRDefault="00B96CB1">
      <w:pPr>
        <w:ind w:firstLine="709"/>
        <w:jc w:val="both"/>
      </w:pPr>
      <w:r>
        <w:lastRenderedPageBreak/>
        <w:t>Prin urmare, a menţionat că atâta vreme cât chiar cartea funciară foloseşte noţiunea de dezmembrământ, iar o exp</w:t>
      </w:r>
      <w:r>
        <w:t>ertiză judiciară care să stabilească contrariul nu a fost încuviințată, concluzia instanţei în sensul că dreptul de administrare înscris în cartea funciară nu este un dezmembrământ în sensul Legii nr. 7/1006 este nefondată.</w:t>
      </w:r>
    </w:p>
    <w:p w:rsidR="00001466" w:rsidRDefault="00B96CB1">
      <w:pPr>
        <w:ind w:firstLine="709"/>
        <w:jc w:val="both"/>
      </w:pPr>
      <w:r>
        <w:t>În consecinţă şi concluzia insta</w:t>
      </w:r>
      <w:r>
        <w:t>nței în sensul că construcţiile pentru care reclamanta solicită emiterea certificatului de atestare/adeverință prevăzută de art. 37 alin. (6) respectă reglementările de urbanism aprobate este, de asemenea, nefondată şi contravine înscrisurilor depuse în su</w:t>
      </w:r>
      <w:r>
        <w:t xml:space="preserve">sţinerea cererii, întocmite de profesionişti în materie de urbanism, cadastru şi carte funciară, respectiv concluziilor Memoriului tehnic privind încadrarea în reglementările de urbanism aprobate a obiectivului întocmit de arhitect urbanist </w:t>
      </w:r>
      <w:r w:rsidR="0070538A">
        <w:t>...</w:t>
      </w:r>
      <w:r>
        <w:t xml:space="preserve"> </w:t>
      </w:r>
      <w:r>
        <w:t xml:space="preserve">şi ale Memoriului Tehnic general întocmit de Biroul Individual de Arhitectură </w:t>
      </w:r>
      <w:r w:rsidR="005961F9">
        <w:t>...</w:t>
      </w:r>
      <w:r>
        <w:t>.</w:t>
      </w:r>
    </w:p>
    <w:p w:rsidR="00001466" w:rsidRDefault="00B96CB1">
      <w:pPr>
        <w:ind w:firstLine="709"/>
        <w:jc w:val="both"/>
      </w:pPr>
      <w:r>
        <w:t>Astfel, prin memoriul Tehnic „</w:t>
      </w:r>
      <w:r w:rsidR="00CC2DF5">
        <w:t>...</w:t>
      </w:r>
      <w:r>
        <w:t xml:space="preserve">”, s-a stabilit pe baza analizei actelor puse la dispoziţie, a extrasului CF şi a documentaţiei cadastrale avizate de </w:t>
      </w:r>
      <w:r>
        <w:t xml:space="preserve">OCPI ca „suprafaţă totală conform măsurătorilor vizate de Oficiul de cadastru este de 288,31 m.p. suprafaţă de teren dezmembrată din parcela nr. </w:t>
      </w:r>
      <w:r w:rsidR="00CC2DF5">
        <w:t>....</w:t>
      </w:r>
      <w:r>
        <w:t xml:space="preserve"> în suprafaţă de 802.208 m.p. conform acte, extras CF şi documentaţiei cadastrale vizate de OCPI” şi că „</w:t>
      </w:r>
      <w:r>
        <w:t xml:space="preserve">Suprafaţa de teren concesionată face parte din terenul intravilan în suprafaţă de 803.309 m.p., conform actelor de proprietate (803.298 m.p., conform măsurătorilor cadastrale) situat în Municipiul </w:t>
      </w:r>
      <w:r w:rsidR="00A234FD">
        <w:t>X</w:t>
      </w:r>
      <w:r>
        <w:t xml:space="preserve">, Bdul. </w:t>
      </w:r>
      <w:r w:rsidR="00CC2DF5">
        <w:t>...</w:t>
      </w:r>
      <w:r>
        <w:t xml:space="preserve"> nr. 2, </w:t>
      </w:r>
      <w:r w:rsidR="00CC2DF5">
        <w:t>...</w:t>
      </w:r>
      <w:r>
        <w:t xml:space="preserve">, nr. cad. </w:t>
      </w:r>
      <w:r w:rsidR="00CC2DF5">
        <w:t>...</w:t>
      </w:r>
      <w:r>
        <w:t xml:space="preserve">, C.F. </w:t>
      </w:r>
      <w:r w:rsidR="00CC2DF5">
        <w:t>...</w:t>
      </w:r>
      <w:r>
        <w:t xml:space="preserve"> </w:t>
      </w:r>
      <w:r w:rsidR="00A234FD">
        <w:t>X</w:t>
      </w:r>
      <w:r>
        <w:t xml:space="preserve">, </w:t>
      </w:r>
      <w:r w:rsidR="00CC2DF5">
        <w:t>...</w:t>
      </w:r>
      <w:r>
        <w:t>”.</w:t>
      </w:r>
    </w:p>
    <w:p w:rsidR="00001466" w:rsidRDefault="00B96CB1">
      <w:pPr>
        <w:ind w:firstLine="709"/>
        <w:jc w:val="both"/>
      </w:pPr>
      <w:r>
        <w:t>În ceea ce priveşte regimul juridic, s-a stabilit că „Imobilul în cauză - terasă, restaurant, spaţii de depozitare, se încadrează conform RLU aferent PUG, art. 1 - utilizări admise cu condiţii, în subzona funcţională V</w:t>
      </w:r>
      <w:r>
        <w:t>1a, respectiv alimentaţie publică, comerţ şi grupuri sanitare”.</w:t>
      </w:r>
    </w:p>
    <w:p w:rsidR="00001466" w:rsidRDefault="00B96CB1">
      <w:pPr>
        <w:ind w:firstLine="709"/>
        <w:jc w:val="both"/>
      </w:pPr>
      <w:r>
        <w:t>Din punct de vedere al regimului tehnic, s-a stabilit că „Potrivit RLU aferent PUG art. 1 „se admit construcţii pentru expoziţii, activități culturale (spaţii pentru spectacole şi biblioteci i</w:t>
      </w:r>
      <w:r>
        <w:t>n aer liber, pavilioane cu utilizare flexibila sau cu diferite tematici), activități sportive, alimentaţie publică şi comerţ, limitate la arealele deja existente conform proiectului iniţial şi care funcţionează în acest scop. Se admit noi clădiri pentru cu</w:t>
      </w:r>
      <w:r>
        <w:t>ltură, sport, recreere şi anexe cu condiţia ca suprafaţa acestora, însumată la suprafaţa construită existentă şi menţinută, la cea a circulaţiilor de toate categoriile şi a platformelor mineralizate, să nu depășească 15% din suprafaţa totală a parcului - c</w:t>
      </w:r>
      <w:r>
        <w:t>lădirile şi amenajările pentru diferite activități din parcurile şi grădinile publice se admit, cu condiţia de a nu avea separări fizice care să impună interdicţia liberei circulaţii.”</w:t>
      </w:r>
    </w:p>
    <w:p w:rsidR="00001466" w:rsidRDefault="00B96CB1">
      <w:pPr>
        <w:ind w:firstLine="709"/>
        <w:jc w:val="both"/>
      </w:pPr>
      <w:r>
        <w:t>La secţiunea Indicatori urbanistici: s-a reținut că POT existent, rapor</w:t>
      </w:r>
      <w:r>
        <w:t>tat la parcela dezmembrată, în suprafaţă de 288,31 m.p. este de 100%, CUT existent este de 1.30</w:t>
      </w:r>
    </w:p>
    <w:p w:rsidR="00001466" w:rsidRDefault="00B96CB1">
      <w:pPr>
        <w:ind w:firstLine="709"/>
        <w:jc w:val="both"/>
      </w:pPr>
      <w:r>
        <w:t>Însă, în conformitate cu prevederile legii urbanismului nr. 350/2001, anexa nr. 2 – „excepţii de la calculul indicatorilor urbanistici POT şi CUT - dacă o const</w:t>
      </w:r>
      <w:r>
        <w:t>rucţie este edificată pe o parte dintr-un teren dezmembrată dintr-un teren deja construit indicatorii urbanistici se calculează în raport cu ansamblul terenului iniţial, adăugându-se suprafaţa planșeelor existente la cele ale noii construcţii.” În situaţia</w:t>
      </w:r>
      <w:r>
        <w:t xml:space="preserve"> de faţă, având în vedere că imobilul în cauză a rezultat în urma dezmembrării (conform acte şi extras CF), indicatorii urbanistici rezultați, luând în calcul construcţiile existente sunt: POT = 0,24%, iar CUT = 0,0024.</w:t>
      </w:r>
    </w:p>
    <w:p w:rsidR="00001466" w:rsidRDefault="00B96CB1">
      <w:pPr>
        <w:ind w:firstLine="709"/>
        <w:jc w:val="both"/>
      </w:pPr>
      <w:r>
        <w:t>Recurenta a arătat că din consideren</w:t>
      </w:r>
      <w:r>
        <w:t xml:space="preserve">tele descrise mai sus rezultă că obiectivul analizat se încadrează în reglementările urbanistice aprobate, respectiv PUG al Municipiului </w:t>
      </w:r>
      <w:r w:rsidR="00A234FD">
        <w:t>X</w:t>
      </w:r>
      <w:r>
        <w:t xml:space="preserve"> şi RLU aferent acestuia şi sunt îndeplinite condiţiile urbanistice pentru ca beneficiarul să solicite certifi</w:t>
      </w:r>
      <w:r>
        <w:t>cate de edificare pentru obiectivul construit în anul 1985 (grupul sanitar suprateran) şi construcţiile supraterane construite în anul 1999.</w:t>
      </w:r>
    </w:p>
    <w:p w:rsidR="00001466" w:rsidRDefault="00B96CB1">
      <w:pPr>
        <w:ind w:firstLine="709"/>
        <w:jc w:val="both"/>
      </w:pPr>
      <w:r>
        <w:t>Or, instanţa a înlăturat concluziile acestor specialişti, prin acelaşi argument nefondat, potrivit căruia că nu s-a</w:t>
      </w:r>
      <w:r>
        <w:t>r aplica în speţă excepţia prevăzută de Anexa nr. 2 din Legea 350/2001, privind calculul indicatorilor urbanistici POT si CUT.</w:t>
      </w:r>
    </w:p>
    <w:p w:rsidR="00001466" w:rsidRDefault="00B96CB1">
      <w:pPr>
        <w:ind w:firstLine="709"/>
        <w:jc w:val="both"/>
      </w:pPr>
      <w:r>
        <w:t>În concluzie, considerând că concluziile unor profesionişti în domeniu în ceea priveşte îndeplinirea condiţiilor de urbanism, put</w:t>
      </w:r>
      <w:r>
        <w:t xml:space="preserve">eau fi înlăturate numai în baza unei expertize care să </w:t>
      </w:r>
      <w:r>
        <w:lastRenderedPageBreak/>
        <w:t>constate contrariul şi nu pe baza simplei aprecieri a instanţei, care a făcut o interpretare greşită a dispoziţiilor legale, a solicitat admiterea recursului astfel cum a fost formulat, cu cheltuieli d</w:t>
      </w:r>
      <w:r>
        <w:t>e judecată.</w:t>
      </w:r>
    </w:p>
    <w:p w:rsidR="00001466" w:rsidRDefault="00B96CB1">
      <w:pPr>
        <w:ind w:firstLine="709"/>
        <w:jc w:val="both"/>
      </w:pPr>
      <w:r>
        <w:t>În drept, recurenta a invocat dispoziţiile art. 20 din Legea nr. 554/2004.</w:t>
      </w:r>
    </w:p>
    <w:p w:rsidR="00001466" w:rsidRDefault="00B96CB1">
      <w:pPr>
        <w:ind w:firstLine="709"/>
        <w:jc w:val="both"/>
      </w:pPr>
      <w:r>
        <w:t>În dovedire, a solicitat proba cu înscrisuri şi expertiza tehnică în construcţii.</w:t>
      </w:r>
    </w:p>
    <w:p w:rsidR="00001466" w:rsidRDefault="00B96CB1">
      <w:pPr>
        <w:ind w:firstLine="709"/>
        <w:jc w:val="both"/>
      </w:pPr>
      <w:r>
        <w:t xml:space="preserve">Primarul </w:t>
      </w:r>
      <w:r w:rsidR="009029A6">
        <w:t>Y</w:t>
      </w:r>
      <w:r>
        <w:t xml:space="preserve"> al Municipiului </w:t>
      </w:r>
      <w:r w:rsidR="00A234FD">
        <w:t>X</w:t>
      </w:r>
      <w:r>
        <w:t xml:space="preserve"> a formulat </w:t>
      </w:r>
      <w:r>
        <w:rPr>
          <w:rStyle w:val="Fontdeparagrafimplicit"/>
          <w:b/>
          <w:i/>
        </w:rPr>
        <w:t>întâmpinare</w:t>
      </w:r>
      <w:r>
        <w:t xml:space="preserve"> prin care a soli</w:t>
      </w:r>
      <w:r>
        <w:t>citat respingerea recursului ca nefondat şi menţinerea sentinţei civile ca fiind temeinică şi legală.</w:t>
      </w:r>
    </w:p>
    <w:p w:rsidR="00001466" w:rsidRDefault="00B96CB1">
      <w:pPr>
        <w:ind w:firstLine="709"/>
        <w:jc w:val="both"/>
      </w:pPr>
      <w:r>
        <w:t xml:space="preserve">Relativ la primul motiv de casare întemeiat pe art. 488 alin. (1) pct. 5 din Codul de procedură civilă coroborat art. 22 alin. (5) din Codul de procedură </w:t>
      </w:r>
      <w:r>
        <w:t>civilă.</w:t>
      </w:r>
    </w:p>
    <w:p w:rsidR="00001466" w:rsidRDefault="00B96CB1">
      <w:pPr>
        <w:ind w:firstLine="709"/>
        <w:jc w:val="both"/>
      </w:pPr>
      <w:r>
        <w:t>Conform jurisprudenţei sub imperiul motivului de recurs prevăzut de art. 488 pct. 5 din Codul de procedură civilă, se pot include mai multe neregularităţi de ordin procedural, începând de la nesemnarea cererii de chemare în judecată, nelegala citar</w:t>
      </w:r>
      <w:r>
        <w:t>e a uneia dintre părţi, nesemnarea cererii reconvenţionale, nesocotirea principiilor publicităţii, oralităţii, contradictorialităţii, ipoteza care nu se regăsesc în speţa de faţă.</w:t>
      </w:r>
    </w:p>
    <w:p w:rsidR="00001466" w:rsidRDefault="00B96CB1">
      <w:pPr>
        <w:ind w:firstLine="709"/>
        <w:jc w:val="both"/>
      </w:pPr>
      <w:r>
        <w:t>Lecturând sentinţa atacată, precum şi argumentele prezentate de reclamantă î</w:t>
      </w:r>
      <w:r>
        <w:t xml:space="preserve">n susţinerea cererii judecătorul fondului nu a încălcat norme de procedură de natură să atrage sancţiunea nulităţii. </w:t>
      </w:r>
    </w:p>
    <w:p w:rsidR="00001466" w:rsidRDefault="00B96CB1">
      <w:pPr>
        <w:ind w:firstLine="709"/>
        <w:jc w:val="both"/>
      </w:pPr>
      <w:r>
        <w:t xml:space="preserve">Acest motiv de casare, în esenţă, evocă de fapt prevederile art. 175-176 din Codul de procedură civilă, cu privire la nulitatea, </w:t>
      </w:r>
      <w:r>
        <w:t>condiţionată sau necondiţionată, a actelor de procedură, prevederile art. 178 din Codul de procedură civilă, cu privire la regimul juridic procedural al nulităţii actelor de procedură, şi prevederile art. 179 din Codul de procedură civilă cu privire la efe</w:t>
      </w:r>
      <w:r>
        <w:t>ctele nulităţii.</w:t>
      </w:r>
    </w:p>
    <w:p w:rsidR="00001466" w:rsidRDefault="00B96CB1">
      <w:pPr>
        <w:ind w:firstLine="709"/>
        <w:jc w:val="both"/>
      </w:pPr>
      <w:r>
        <w:t>Intimatul a arătat că respingerea motivată şi pertinentă a administrării probei cu expertiză în speţa de faţă nu poate fi reţinută ca o încălcare a dreptului la apărare şi a incidenţei motivului de casare reprezentat de pct. 5 din Codul de</w:t>
      </w:r>
      <w:r>
        <w:t xml:space="preserve"> procedură civilă.</w:t>
      </w:r>
    </w:p>
    <w:p w:rsidR="00001466" w:rsidRDefault="00B96CB1">
      <w:pPr>
        <w:ind w:firstLine="709"/>
        <w:jc w:val="both"/>
      </w:pPr>
      <w:r>
        <w:t>Judecătorul fondului, în baza art. 255 coroborat cu art. 258 din Codul de procedură civilă a încuviinţat proba cu înscrisuri ca fiind suficientă şi a respins proba cu expertiză în raport de obiectul cauzei.</w:t>
      </w:r>
    </w:p>
    <w:p w:rsidR="00001466" w:rsidRDefault="00B96CB1">
      <w:pPr>
        <w:ind w:firstLine="709"/>
        <w:jc w:val="both"/>
      </w:pPr>
      <w:r>
        <w:t>Prin cererea introductivă se s</w:t>
      </w:r>
      <w:r>
        <w:t xml:space="preserve">olicită în temeiul art. 37 din Legea nr. 50/1991 obligarea pârâtei la emiterea Certificatului de atestare/adeverinţa privind edificarea construcţiei reprezentând terasa acoperită, restaurant, depozitare, grupuri sanitare, situată bd-ul </w:t>
      </w:r>
      <w:r w:rsidR="00C075A0">
        <w:t>...</w:t>
      </w:r>
      <w:r>
        <w:t xml:space="preserve"> nr. 2, </w:t>
      </w:r>
      <w:r w:rsidR="00C075A0">
        <w:t>....</w:t>
      </w:r>
      <w:r>
        <w:t>, în termen de 30 de zile de la data rămânerii definitive a hotărârii.</w:t>
      </w:r>
    </w:p>
    <w:p w:rsidR="00001466" w:rsidRDefault="00B96CB1">
      <w:pPr>
        <w:ind w:firstLine="709"/>
        <w:jc w:val="both"/>
      </w:pPr>
      <w:r>
        <w:t>Recurenta-reclamantă pare să uite regimul juridic al terenului pe care a realizat construcţia fără a deţine autorizaţie de construire, informaţie care rezultă chiar din cuprinsul</w:t>
      </w:r>
      <w:r>
        <w:t xml:space="preserve"> actului de informare, certificatul de urbanism nr. 308/34.410 din 04.04.2019.</w:t>
      </w:r>
    </w:p>
    <w:p w:rsidR="00001466" w:rsidRDefault="00B96CB1">
      <w:pPr>
        <w:ind w:firstLine="709"/>
        <w:jc w:val="both"/>
      </w:pPr>
      <w:r>
        <w:t xml:space="preserve">Intimatul a arătat că Bd-ul </w:t>
      </w:r>
      <w:r w:rsidR="00C075A0">
        <w:t>...</w:t>
      </w:r>
      <w:r>
        <w:t xml:space="preserve"> nr. 2, </w:t>
      </w:r>
      <w:r w:rsidR="00C075A0">
        <w:t>....</w:t>
      </w:r>
      <w:r>
        <w:t xml:space="preserve">, </w:t>
      </w:r>
      <w:r w:rsidR="00A234FD">
        <w:t>X</w:t>
      </w:r>
      <w:r>
        <w:t xml:space="preserve"> conform PUG-ului Municipiului </w:t>
      </w:r>
      <w:r w:rsidR="00A234FD">
        <w:t>X</w:t>
      </w:r>
      <w:r>
        <w:t xml:space="preserve"> se încadrează în zona V1a zona verde-parcuri, squaruri, grădini.</w:t>
      </w:r>
    </w:p>
    <w:p w:rsidR="00001466" w:rsidRDefault="00B96CB1">
      <w:pPr>
        <w:ind w:firstLine="709"/>
        <w:jc w:val="both"/>
      </w:pPr>
      <w:r>
        <w:t>Exper</w:t>
      </w:r>
      <w:r>
        <w:t>tiza tehnică care ar fi fost dispună în cauză nu ar fi putut schimba regimul juridic al terenul pe care societatea recurentă a construit în mod nelegal.</w:t>
      </w:r>
    </w:p>
    <w:p w:rsidR="00001466" w:rsidRDefault="00B96CB1">
      <w:pPr>
        <w:ind w:firstLine="709"/>
        <w:jc w:val="both"/>
      </w:pPr>
      <w:r>
        <w:t xml:space="preserve">Intimatul a învederat faptul că lucrările de construire sunt realizate pe un teren proprietate publică </w:t>
      </w:r>
      <w:r>
        <w:t xml:space="preserve">fiind incidente şi prevederile art. 61 din Ordinul 839/2009, conform cărora pe terenurile aparţinând domeniului public persoanele fizice sau juridice pot realiza, în interes privat, numai construcții cu caracter provizoriu, autorizate în condiţiile Legii, </w:t>
      </w:r>
      <w:r>
        <w:t>pe amplasamente stabilite în baza reglementărilor documentaţiilor urbanistice aprobate.</w:t>
      </w:r>
    </w:p>
    <w:p w:rsidR="00001466" w:rsidRDefault="00B96CB1">
      <w:pPr>
        <w:ind w:firstLine="709"/>
        <w:jc w:val="both"/>
      </w:pPr>
      <w:r>
        <w:t>După expirarea provizoratului, autorităţile competente putând solicită demolarea construcţiilor aflate pe domeniul publică, întrucât nu mai există actul de autorizare.</w:t>
      </w:r>
    </w:p>
    <w:p w:rsidR="00001466" w:rsidRDefault="00B96CB1">
      <w:pPr>
        <w:ind w:firstLine="709"/>
        <w:jc w:val="both"/>
      </w:pPr>
      <w:r>
        <w:t>Legiuitorul prevede în art. 43 alin. (5) din Ordinul nr. 839/2009 faptul că în situaţia emiterii autorizaţiei de construire pentru construcţii cu caracter provizoriu este obligatorie specificarea termenului pentru care se acordă provizoratul, precum şi con</w:t>
      </w:r>
      <w:r>
        <w:t xml:space="preserve">secinţele şi măsurile care decurg din depăşirea acestui termen. </w:t>
      </w:r>
    </w:p>
    <w:p w:rsidR="00001466" w:rsidRDefault="00B96CB1">
      <w:pPr>
        <w:ind w:firstLine="709"/>
        <w:jc w:val="both"/>
      </w:pPr>
      <w:r>
        <w:lastRenderedPageBreak/>
        <w:t>Recurenta nu poate ignora regimul juridic al terenului pe care a realizat construcţia întrucât îl cunoştea încă din momentul încheierii contractului de concesiune, din anul 2016, regimul juri</w:t>
      </w:r>
      <w:r>
        <w:t>dic fiind menționat în mod expres atât în cuprinsul contractului, cât şi în certificatul de urbanism emis pentru imobil la solicitarea acesteia.</w:t>
      </w:r>
    </w:p>
    <w:p w:rsidR="00001466" w:rsidRDefault="00B96CB1">
      <w:pPr>
        <w:ind w:firstLine="709"/>
        <w:jc w:val="both"/>
      </w:pPr>
      <w:r>
        <w:t>Astfel, a arăta că proba cu expertiza tehnică nu era pertinentă şi utilă în soluţionarea cauzei având în vedere</w:t>
      </w:r>
      <w:r>
        <w:t xml:space="preserve"> obiectul cauzei prin raportare la regimul juridic al terenului pe care există construcţia realizată în mod nelegal. </w:t>
      </w:r>
    </w:p>
    <w:p w:rsidR="00001466" w:rsidRDefault="00B96CB1">
      <w:pPr>
        <w:ind w:firstLine="709"/>
        <w:jc w:val="both"/>
      </w:pPr>
      <w:r>
        <w:t>În consecinţă, din actele depuse de recurenta-reclamantă la faza fondului rezultă regimul juridic al terenului pe care a construit, respec</w:t>
      </w:r>
      <w:r>
        <w:t xml:space="preserve">tiv din contractul de concesiune, fapt pentru care administrarea probei cu expertiza indiferent de obiectivele fixate nu ar fi putut susţine pretenţia societăţii existând un impediment imposibil de înlăturat şi anume proprietatea publică, Parcul </w:t>
      </w:r>
      <w:r w:rsidR="000C0991">
        <w:t>...</w:t>
      </w:r>
      <w:r>
        <w:t>.</w:t>
      </w:r>
    </w:p>
    <w:p w:rsidR="00001466" w:rsidRDefault="00B96CB1">
      <w:pPr>
        <w:ind w:firstLine="709"/>
        <w:jc w:val="both"/>
      </w:pPr>
      <w:r>
        <w:t>Conform art. 136 din Constituţia României proprietatea publică este garantată şi ocrotită prin lege si aparţine statului sau unităţilor administrativ-teritoriale. „(4) Bunurile proprietate publică sunt inalienabile. în condiţiile legii organice, ele pot</w:t>
      </w:r>
      <w:r>
        <w:t xml:space="preserve"> fi date în administrare regiilor autonome ori instituţiilor publice sau pot fi concesionate ori închiriate; de asemenea, ele pot fi date în folosinţă gratuită instituţiilor de utilitate publică.”</w:t>
      </w:r>
    </w:p>
    <w:p w:rsidR="00001466" w:rsidRDefault="00B96CB1">
      <w:pPr>
        <w:ind w:firstLine="709"/>
        <w:jc w:val="both"/>
      </w:pPr>
      <w:r>
        <w:t>Având în vedere argumentele prezentate, intimatul a înveder</w:t>
      </w:r>
      <w:r>
        <w:t>at că nu se poate reţine o încălcare a rolului activ al judecătorului în aflarea adevărului în situaţia în care din înscrisuri rezultă netemeinicia pretenţiei societăţii.</w:t>
      </w:r>
    </w:p>
    <w:p w:rsidR="00001466" w:rsidRDefault="00B96CB1">
      <w:pPr>
        <w:ind w:firstLine="709"/>
        <w:jc w:val="both"/>
      </w:pPr>
      <w:r>
        <w:t>Contrar susţinerii recurentei, judecătorul fondului la raportat la înscrisurile depus</w:t>
      </w:r>
      <w:r>
        <w:t>e la fondul cauzei şi nu pe simplele susţineri ale părţilor litigante.</w:t>
      </w:r>
    </w:p>
    <w:p w:rsidR="00001466" w:rsidRDefault="00B96CB1">
      <w:pPr>
        <w:ind w:firstLine="709"/>
        <w:jc w:val="both"/>
      </w:pPr>
      <w:r>
        <w:t>Raportat la motivul de casare prevăzut de art. 488 pct. 8 din Codul de procedură civilă, în primul rând, a arătat că reluarea argumentelor de la fond şi simpla nemulţumire a recurenţilo</w:t>
      </w:r>
      <w:r>
        <w:t xml:space="preserve">r-reclamanţi nu reprezintă veritabile critice de nelegalitate ale sentinţei civile nr. </w:t>
      </w:r>
      <w:r w:rsidR="009029A6">
        <w:t>...</w:t>
      </w:r>
      <w:r>
        <w:t>2021, fapt pentru care nu intervine casarea sentinţei atacate. Recursul trebuie să vizeze motive de nelegalitate a sentinţei civile.</w:t>
      </w:r>
    </w:p>
    <w:p w:rsidR="00001466" w:rsidRDefault="00B96CB1">
      <w:pPr>
        <w:ind w:firstLine="709"/>
        <w:jc w:val="both"/>
      </w:pPr>
      <w:r>
        <w:t>În speţa de faţă nu sunt inciden</w:t>
      </w:r>
      <w:r>
        <w:t>te prevederile art. 2 lit. i) din Legea nr.554/2004 din legea contenciosului administrativ, neexistând un refuz nejustificat din partea pârâtului.</w:t>
      </w:r>
    </w:p>
    <w:p w:rsidR="00001466" w:rsidRDefault="00B96CB1">
      <w:pPr>
        <w:ind w:firstLine="709"/>
        <w:jc w:val="both"/>
      </w:pPr>
      <w:r>
        <w:t>Potrivit textului normativ precizat, prin refuz nejustificat de a soluţiona o cerere se înţelege exprimarea e</w:t>
      </w:r>
      <w:r>
        <w:t>xplicită, cu exces de putere, a voinţei de a nu rezolva cererea unei persoane. Excesul de putere este definit, la rândul său, de art. 2 alin. (1) lit. n) ca fiind exercitarea dreptului de apreciere al autorităţilor publice prin încălcarea limitelor compete</w:t>
      </w:r>
      <w:r>
        <w:t>nţei prevăzute de lege sau prin încălcarea drepturilor şi libertăţilor cetăţenilor.</w:t>
      </w:r>
    </w:p>
    <w:p w:rsidR="00001466" w:rsidRDefault="00B96CB1">
      <w:pPr>
        <w:ind w:firstLine="709"/>
        <w:jc w:val="both"/>
      </w:pPr>
      <w:r>
        <w:t xml:space="preserve">Recurenta a realizat lucrări de construire în mod nelegal pe domeniul public, în Parcul </w:t>
      </w:r>
      <w:r w:rsidR="000C0991">
        <w:t>...</w:t>
      </w:r>
      <w:r>
        <w:t xml:space="preserve"> încercând prin demersul său judiciar să obţină intabularea construcţiei </w:t>
      </w:r>
      <w:r>
        <w:t>şi obţinerea dreptului de proprietate asupra acesteia deşi nu deţine în proprietate terenul pe care lucrările de construire ilegale s-au realizat.</w:t>
      </w:r>
    </w:p>
    <w:p w:rsidR="00001466" w:rsidRDefault="00B96CB1">
      <w:pPr>
        <w:ind w:firstLine="709"/>
        <w:jc w:val="both"/>
      </w:pPr>
      <w:r>
        <w:t xml:space="preserve">În cazul concret dedus judecăţii nu se poate considera că refuzul pârâtului de a emite documentul solicitat, </w:t>
      </w:r>
      <w:r>
        <w:t xml:space="preserve">respectiv eliberarea certificatului de edificare a construcţiile: Terasă acoperită, Restaurant, Depozitare, Grupuri Sanitare aflate în Parcul </w:t>
      </w:r>
      <w:r w:rsidR="004A7A1C">
        <w:t>...</w:t>
      </w:r>
      <w:r>
        <w:t>, este nejustificat.</w:t>
      </w:r>
    </w:p>
    <w:p w:rsidR="00001466" w:rsidRDefault="00B96CB1">
      <w:pPr>
        <w:ind w:firstLine="709"/>
        <w:jc w:val="both"/>
      </w:pPr>
      <w:r>
        <w:t>Recurenta-reclamanta nu este îndreptăţită la obţinerea unui certificat de edificar</w:t>
      </w:r>
      <w:r>
        <w:t xml:space="preserve">e a construcţiei realizate fără autorizaţie de construire pe terenul din Bd-ul </w:t>
      </w:r>
      <w:r w:rsidR="004A7A1C">
        <w:t>...</w:t>
      </w:r>
      <w:r>
        <w:t xml:space="preserve"> nr. 2, </w:t>
      </w:r>
      <w:r>
        <w:t xml:space="preserve">, </w:t>
      </w:r>
      <w:r w:rsidR="00A234FD">
        <w:t>X</w:t>
      </w:r>
      <w:r>
        <w:t>.</w:t>
      </w:r>
    </w:p>
    <w:p w:rsidR="00001466" w:rsidRDefault="00B96CB1">
      <w:pPr>
        <w:ind w:firstLine="709"/>
        <w:jc w:val="both"/>
      </w:pPr>
      <w:r>
        <w:t>Legiuitorul a reglementat în art. 37 alin. (6) din Legea nr. 50/1991 condiţiile cumulative care trebuie îndeplinite pentru emiterea certi</w:t>
      </w:r>
      <w:r>
        <w:t>ficatului de atestare, actul solicitat de societatea reclamantă şi anume existenţa unei expertize tehnice cu privire /a respectarea cerinţelor fundamentale aplicabile privind: calitatea în construcţii; inclusiv cu încadrarea în reglementările de urbanism a</w:t>
      </w:r>
      <w:r>
        <w:t>probate, care să confirme situația actuală a construcţiilor şi respectarea dispoziţiilor în materie si a unei documentaţii cadastrale.</w:t>
      </w:r>
    </w:p>
    <w:p w:rsidR="00001466" w:rsidRDefault="00B96CB1">
      <w:pPr>
        <w:ind w:firstLine="709"/>
        <w:jc w:val="both"/>
      </w:pPr>
      <w:r>
        <w:lastRenderedPageBreak/>
        <w:t>Intimatul a arătat că are de a face cu o constru</w:t>
      </w:r>
      <w:r w:rsidR="004A7A1C">
        <w:t>cţie ilegală situată în Parcul ...</w:t>
      </w:r>
      <w:r>
        <w:t>, domeniul public al municipiul</w:t>
      </w:r>
      <w:r>
        <w:t xml:space="preserve">ui </w:t>
      </w:r>
      <w:r w:rsidR="00A234FD">
        <w:t>X</w:t>
      </w:r>
      <w:r>
        <w:t>.</w:t>
      </w:r>
    </w:p>
    <w:p w:rsidR="00001466" w:rsidRDefault="00B96CB1">
      <w:pPr>
        <w:ind w:firstLine="709"/>
        <w:jc w:val="both"/>
      </w:pPr>
      <w:r>
        <w:t xml:space="preserve">Totodată, din punct de vedere urbanistic, imobilul din Bd-ul </w:t>
      </w:r>
      <w:r w:rsidR="000C0991">
        <w:t>...</w:t>
      </w:r>
      <w:r>
        <w:t xml:space="preserve"> nr. 2 potrivit Regulamentului local aferent PUG-ului Municipiului </w:t>
      </w:r>
      <w:r w:rsidR="00A234FD">
        <w:t>X</w:t>
      </w:r>
      <w:r w:rsidR="000C0991">
        <w:t xml:space="preserve"> aprobat prin HC</w:t>
      </w:r>
      <w:r>
        <w:t xml:space="preserve"> nr. </w:t>
      </w:r>
      <w:r w:rsidR="000C0991">
        <w:t>...</w:t>
      </w:r>
      <w:r>
        <w:t>/200 a cărui valabilitate a fost succesiv prelungită prin diverse h</w:t>
      </w:r>
      <w:r>
        <w:t>otărâri, este inclus în zona V1a - parcuri, grădini, scuaruri, fâşii plantate publice, având următorii indici urbanistici reglementaţi:(i) procent de ocupare a terenului -POT max. 15% cu construcții, platforme, circulaţii carosabile pietonale = maxim 15 %,</w:t>
      </w:r>
      <w:r>
        <w:t xml:space="preserve"> (ii) coeficient de utilizare a terenului CUT max. = 0,2 mp. ADC/ mp. Teren.</w:t>
      </w:r>
    </w:p>
    <w:p w:rsidR="00001466" w:rsidRDefault="00B96CB1">
      <w:pPr>
        <w:ind w:firstLine="709"/>
        <w:jc w:val="both"/>
      </w:pPr>
      <w:r>
        <w:t>Or, în speţa de faţă, pentru terenul în suprafaţă de 288, 31 mp POT existent este de 100%, iar CUT-ul de 1.3 fiind astfel depăşite valorile indicilor urbanistici aprobaţi pentru s</w:t>
      </w:r>
      <w:r>
        <w:t>ubzona V1a.</w:t>
      </w:r>
    </w:p>
    <w:p w:rsidR="00001466" w:rsidRDefault="00B96CB1">
      <w:pPr>
        <w:ind w:firstLine="709"/>
        <w:jc w:val="both"/>
      </w:pPr>
      <w:r>
        <w:t>Pentru terenul în suprafaţă de 288,31 mp concesionaţi, se puteau executa doar 43.25 mp de platforme circulaţii şi construcții, iar în cazul în care construcţia ar fi fost de P+2E suprafaţa desfășurată 57,66mp (19,22 mp suprafaţa construită la s</w:t>
      </w:r>
      <w:r>
        <w:t>ol).</w:t>
      </w:r>
    </w:p>
    <w:p w:rsidR="00001466" w:rsidRDefault="00B96CB1">
      <w:pPr>
        <w:ind w:firstLine="709"/>
        <w:jc w:val="both"/>
      </w:pPr>
      <w:r>
        <w:t xml:space="preserve">Astfel, pentru construirea unei suprafeţe de 28831mn trebuie concesionaţi 1922 mp din Parcul </w:t>
      </w:r>
      <w:r w:rsidR="000C0991">
        <w:t>...</w:t>
      </w:r>
      <w:r>
        <w:t>, or potrivit contractului de concesiune, suprafaţa concesionată este de 288 mp. Chiar din Memoriul General Tehnic depus de către recurenta-reclama</w:t>
      </w:r>
      <w:r>
        <w:t>ntă în susţinerea cererii rezultă că aria construită este de 288,31 mp.</w:t>
      </w:r>
    </w:p>
    <w:p w:rsidR="00001466" w:rsidRDefault="00B96CB1">
      <w:pPr>
        <w:ind w:firstLine="709"/>
        <w:jc w:val="both"/>
      </w:pPr>
      <w:r>
        <w:t>În mod corect, s-a reţinut că terenul în suprafaţă de 288,31 mp nu a fost dezmembrat în sensul dispoziţiilor Legii nr. 7/1996 în cuprinsul cărţii funciare înscriindu-se de fapt dreptul</w:t>
      </w:r>
      <w:r>
        <w:t xml:space="preserve"> de concesiune al recurentei.</w:t>
      </w:r>
    </w:p>
    <w:p w:rsidR="00001466" w:rsidRDefault="00B96CB1">
      <w:pPr>
        <w:ind w:firstLine="709"/>
        <w:jc w:val="both"/>
      </w:pPr>
      <w:r>
        <w:t xml:space="preserve">În mod corect, judecătorul fondului a reţinut că în cuprinsul cărţii funciare pot fi intabulate doar dreptul de proprietate publică şi drepturile reale corespunzătoare acestuia conform art. 12 din Ordinul nr.700/2014 privind </w:t>
      </w:r>
      <w:r>
        <w:t>aprobarea Regulamentului de avizare, recepţie şi înscriere în evidenţele de cadastru şi carte funciară, emis de Agenţia Naţională de Cadastru şi Publicitate Imobiliară,</w:t>
      </w:r>
    </w:p>
    <w:p w:rsidR="00001466" w:rsidRDefault="00B96CB1">
      <w:pPr>
        <w:ind w:firstLine="709"/>
        <w:jc w:val="both"/>
      </w:pPr>
      <w:r>
        <w:t>În art. 555 alin. (2) din Codul civil stabileşte că dreptul de proprietate privată poat</w:t>
      </w:r>
      <w:r>
        <w:t>e fi dezmembrat, iar în enumerarea drepturilor reale făcută de art. 551 sunt enumerate aceste dezmembrăminte, respectiv: dreptul de superficie, dreptul de uzufruct, dreptul de uz, dreptul de abitaţie şi dreptul de servitute.</w:t>
      </w:r>
    </w:p>
    <w:p w:rsidR="00001466" w:rsidRDefault="00B96CB1">
      <w:pPr>
        <w:ind w:firstLine="709"/>
        <w:jc w:val="both"/>
      </w:pPr>
      <w:r>
        <w:t>În cuprinsul pct. 4.2.2. „înscr</w:t>
      </w:r>
      <w:r>
        <w:t>ierea dezmembrămintelor dreptului de proprietate” din cadrul Ordinului menţionat anterior nu se face referire la dreptul de proprietate publică şi posibilitatea dezmembrării acestuia.</w:t>
      </w:r>
    </w:p>
    <w:p w:rsidR="00001466" w:rsidRDefault="00B96CB1">
      <w:pPr>
        <w:ind w:firstLine="709"/>
        <w:jc w:val="both"/>
      </w:pPr>
      <w:r>
        <w:t>Mai mult, conform art. 861 din Codul civil, bunurile proprietate publică</w:t>
      </w:r>
      <w:r>
        <w:t xml:space="preserve"> sunt inalienabile, imprescriptibile şi insesizabile. Astfel, posibilitatea dezmembrării unor atribute ale dreptului de proprietate publică prin constituirea unor drepturi reale de sine stătătoare opozabile titularului lor, în speţă municipiului </w:t>
      </w:r>
      <w:r w:rsidR="00A234FD">
        <w:t>X</w:t>
      </w:r>
      <w:r>
        <w:t xml:space="preserve"> </w:t>
      </w:r>
      <w:r>
        <w:t>este exclusă de caracterul inalienabil.</w:t>
      </w:r>
    </w:p>
    <w:p w:rsidR="00001466" w:rsidRDefault="00B96CB1">
      <w:pPr>
        <w:ind w:firstLine="709"/>
        <w:jc w:val="both"/>
      </w:pPr>
      <w:r>
        <w:t>Aceeaşi concluzie rezultă şi din prevederile art. 862 alin. (1) din Codul Civil, legiuitorul precizând că orice limitare a dreptului de proprietate publică prin asemănare cu prevederile aplicabile dreptului de propri</w:t>
      </w:r>
      <w:r>
        <w:t>etate privată este posibilă numai când aceasta este compatibilă cu uzul ori interesul public, condiţie neîndeplinită în speţa de faţă.</w:t>
      </w:r>
    </w:p>
    <w:p w:rsidR="00001466" w:rsidRDefault="00B96CB1">
      <w:pPr>
        <w:ind w:firstLine="709"/>
        <w:jc w:val="both"/>
      </w:pPr>
      <w:r>
        <w:t>În consecinţă, în mod judicios a reţinut judecătorul fondului că articolul din cadrul anexei nr. 23 la Legea nr. 350/2001</w:t>
      </w:r>
      <w:r>
        <w:t xml:space="preserve"> privind amenajarea teritoriului şi urbanismul nu este incident în speţa de faţă.</w:t>
      </w:r>
    </w:p>
    <w:p w:rsidR="00001466" w:rsidRDefault="00B96CB1">
      <w:pPr>
        <w:ind w:firstLine="709"/>
        <w:jc w:val="both"/>
      </w:pPr>
      <w:r>
        <w:t>Intimatul a arătat că terenul în suprafaţă de 288,31 mp nu a fost dezmembrat în sensul dispoziţiilor Legii nr. 7/1996 în cuprinsul cărţii funciare înscriindu-se, de fapt, dre</w:t>
      </w:r>
      <w:r>
        <w:t>ptul de concesiune al reclamantei, aspect reţinut în mod corect de către judecătorul fondului.</w:t>
      </w:r>
    </w:p>
    <w:p w:rsidR="00001466" w:rsidRDefault="00B96CB1">
      <w:pPr>
        <w:ind w:firstLine="709"/>
        <w:jc w:val="both"/>
      </w:pPr>
      <w:r>
        <w:t>În consecinţă, nu se poate reţine că construcţia realizată fără autorizaţie de construire, respectiv Terasă acoperită restaurant, spaţii de depozitare şi grupuri</w:t>
      </w:r>
      <w:r>
        <w:t xml:space="preserve"> sanitare se încadrează, din </w:t>
      </w:r>
      <w:r>
        <w:lastRenderedPageBreak/>
        <w:t>punct de vedere a reglementărilor urbanistice, pentru zona V1a pentru a fi posibilă emiterea actului dorit de către reclamantă.</w:t>
      </w:r>
    </w:p>
    <w:p w:rsidR="00001466" w:rsidRDefault="00B96CB1">
      <w:pPr>
        <w:ind w:firstLine="709"/>
        <w:jc w:val="both"/>
      </w:pPr>
      <w:r>
        <w:t>Pretenţia recurente-reclamante este contrară atât art. 37 alin. (6) din Legea nr. 50/1991, preveder</w:t>
      </w:r>
      <w:r>
        <w:t xml:space="preserve">ilor art. 136 din Constituţia României ,dar şi reglementărilor urbanistice cuprinse în PUG-ului Municipiului </w:t>
      </w:r>
      <w:r w:rsidR="00A234FD">
        <w:t>X</w:t>
      </w:r>
      <w:r>
        <w:t xml:space="preserve"> privind subzona V1a unde se încadrează imobilul din Bd-ul </w:t>
      </w:r>
      <w:r w:rsidR="000C0991">
        <w:t>...</w:t>
      </w:r>
      <w:r>
        <w:t xml:space="preserve"> nr. 2, </w:t>
      </w:r>
      <w:r w:rsidR="00D44E60">
        <w:t>...</w:t>
      </w:r>
      <w:r>
        <w:t xml:space="preserve">, </w:t>
      </w:r>
      <w:r w:rsidR="00A234FD">
        <w:t>X</w:t>
      </w:r>
      <w:r>
        <w:t>.</w:t>
      </w:r>
    </w:p>
    <w:p w:rsidR="00001466" w:rsidRDefault="00B96CB1">
      <w:pPr>
        <w:ind w:firstLine="709"/>
        <w:jc w:val="both"/>
      </w:pPr>
      <w:r>
        <w:t xml:space="preserve">Având în vedere argumentele de fapt şi </w:t>
      </w:r>
      <w:r>
        <w:t>de drept expuse, intimatul a solicitat respingerea recursului ca nefondat şi menţinerea sentinţei civile atacate ca fiind temeinică şi legală.</w:t>
      </w:r>
    </w:p>
    <w:p w:rsidR="00001466" w:rsidRDefault="00B96CB1">
      <w:pPr>
        <w:ind w:firstLine="709"/>
        <w:jc w:val="both"/>
      </w:pPr>
      <w:r>
        <w:t>Totodată, a solicitat obligarea recurentei-reclamante la plata cheltuielilor de judecată, onorariul avocaţial.</w:t>
      </w:r>
    </w:p>
    <w:p w:rsidR="00001466" w:rsidRDefault="00B96CB1">
      <w:pPr>
        <w:ind w:firstLine="709"/>
        <w:jc w:val="both"/>
      </w:pPr>
      <w:r>
        <w:t>In</w:t>
      </w:r>
      <w:r>
        <w:t>timatul a solicitat admiterea probei cu înscrisuri.</w:t>
      </w:r>
    </w:p>
    <w:p w:rsidR="00001466" w:rsidRDefault="00B96CB1">
      <w:pPr>
        <w:ind w:firstLine="709"/>
        <w:jc w:val="both"/>
      </w:pPr>
      <w:r>
        <w:t>În drept, intimatul a invocat dispoziţiile art. 205 Codul de procedură civilă şi prevederile Legii nr. 50/1991, Legii nr. 350/2001, Codului civil.</w:t>
      </w:r>
    </w:p>
    <w:p w:rsidR="00001466" w:rsidRDefault="00B96CB1">
      <w:pPr>
        <w:ind w:firstLine="709"/>
        <w:jc w:val="both"/>
        <w:rPr>
          <w:rStyle w:val="Fontdeparagrafimplicit"/>
          <w:b/>
          <w:i/>
        </w:rPr>
      </w:pPr>
      <w:r>
        <w:rPr>
          <w:rStyle w:val="Fontdeparagrafimplicit"/>
          <w:b/>
          <w:i/>
        </w:rPr>
        <w:t>Asupra recursului formulat, constatând că este competentă</w:t>
      </w:r>
      <w:r>
        <w:rPr>
          <w:rStyle w:val="Fontdeparagrafimplicit"/>
          <w:b/>
          <w:i/>
        </w:rPr>
        <w:t xml:space="preserve"> să procedeze la soluționare în condițiile art. 483 alin. (4) C.proc.civ. rap. la art. 10 alin. (2) din Legea nr. 554/2004, Curtea, analizând sentința civilă recurată, reține următoarele:</w:t>
      </w:r>
    </w:p>
    <w:p w:rsidR="00001466" w:rsidRDefault="00B96CB1">
      <w:pPr>
        <w:ind w:firstLine="709"/>
        <w:jc w:val="both"/>
      </w:pPr>
      <w:r>
        <w:t>Art. 488 alin. (1) C.proc.civ prevede: „(1) Casarea unor hotărâri se</w:t>
      </w:r>
      <w:r>
        <w:t xml:space="preserve"> poate cere numai pentru următoarele motive de nelegalitate: (…); </w:t>
      </w:r>
      <w:r>
        <w:rPr>
          <w:rStyle w:val="Fontdeparagrafimplicit"/>
          <w:b/>
        </w:rPr>
        <w:t xml:space="preserve">5. </w:t>
      </w:r>
      <w:r>
        <w:rPr>
          <w:rStyle w:val="Fontdeparagrafimplicit"/>
          <w:b/>
          <w:i/>
        </w:rPr>
        <w:t>c</w:t>
      </w:r>
      <w:r>
        <w:rPr>
          <w:rStyle w:val="Fontdeparagrafimplicit"/>
          <w:i/>
        </w:rPr>
        <w:t xml:space="preserve">ând, prin hotărârea dată, instanţa a încălcat regulile de procedură a căror nerespectare atrage sancţiunea nulităţii; </w:t>
      </w:r>
      <w:r>
        <w:t xml:space="preserve">(...) </w:t>
      </w:r>
      <w:r>
        <w:rPr>
          <w:rStyle w:val="Fontdeparagrafimplicit"/>
          <w:b/>
        </w:rPr>
        <w:t>8.</w:t>
      </w:r>
      <w:r>
        <w:t xml:space="preserve"> </w:t>
      </w:r>
      <w:r>
        <w:rPr>
          <w:rStyle w:val="Fontdeparagrafimplicit"/>
          <w:i/>
        </w:rPr>
        <w:t>când hotărârea a fost dată cu încălcarea sau aplicarea greș</w:t>
      </w:r>
      <w:r>
        <w:rPr>
          <w:rStyle w:val="Fontdeparagrafimplicit"/>
          <w:i/>
        </w:rPr>
        <w:t>ită a normelor de drept material</w:t>
      </w:r>
      <w:r>
        <w:t>.”; totodată, potrivit art. 483 C.proc.civ. „(3) Recursul urmărește să supună Înaltei Curți de Casație și Justiție examinarea, în condițiile legii, a conformității hotărârii atacate cu regulile de drept aplicabile . (4) În c</w:t>
      </w:r>
      <w:r>
        <w:t>azurile anume prevăzute de lege, recursul se soluționează de către instanța ierarhic superioară celei care a pronunțat hotărârea atacată. Dispozițiile alin. (3) se aplică în mod corespunzător .” De asemenea, potrivit art. 486 alin. (1) lit. d) Codul de pro</w:t>
      </w:r>
      <w:r>
        <w:t>cedură civilă, „Cererea de recurs va cuprinde următoarele mențiuni: (…) d) motivele de nelegalitate pe care se întemeiază recursul și dezvoltarea lor sau, după caz, mențiunea că motivele vor fi depuse printr-un memoriu separat; (…)”.</w:t>
      </w:r>
    </w:p>
    <w:p w:rsidR="00001466" w:rsidRDefault="00B96CB1">
      <w:pPr>
        <w:ind w:firstLine="709"/>
        <w:jc w:val="both"/>
      </w:pPr>
      <w:r>
        <w:t>Din interpretarea disp</w:t>
      </w:r>
      <w:r>
        <w:t>ozițiilor citate în precedent, Curtea reține că recursul reprezintă acea cale extraordinară de atac prin care hotărârea atacată este supusă controlului judiciar prin prisma conformității sale cu regulile de drept aplicabile, ceea ce implică recunoașterea p</w:t>
      </w:r>
      <w:r>
        <w:t>osibilității părții interesate de a o critica doar pentru motive de nelegalitate, iar nu și de netemeinicie.</w:t>
      </w:r>
    </w:p>
    <w:p w:rsidR="00001466" w:rsidRDefault="00B96CB1">
      <w:pPr>
        <w:ind w:firstLine="709"/>
        <w:jc w:val="both"/>
        <w:rPr>
          <w:rStyle w:val="Fontdeparagrafimplicit"/>
          <w:b/>
          <w:i/>
        </w:rPr>
      </w:pPr>
      <w:r>
        <w:rPr>
          <w:rStyle w:val="Fontdeparagrafimplicit"/>
          <w:b/>
          <w:i/>
        </w:rPr>
        <w:t>Recursul este nefondat.</w:t>
      </w:r>
    </w:p>
    <w:p w:rsidR="00001466" w:rsidRDefault="00B96CB1">
      <w:pPr>
        <w:ind w:firstLine="709"/>
        <w:jc w:val="both"/>
      </w:pPr>
      <w:r>
        <w:t xml:space="preserve">Referitor la motivul de casare prevăzut de </w:t>
      </w:r>
      <w:r>
        <w:rPr>
          <w:rStyle w:val="Fontdeparagrafimplicit"/>
          <w:b/>
          <w:i/>
        </w:rPr>
        <w:t>art. 488 alin. (1) pct. 5 C.proc.civ.</w:t>
      </w:r>
      <w:r>
        <w:t xml:space="preserve"> - ,,când, prin hotărârea dată, instanţa a </w:t>
      </w:r>
      <w:r>
        <w:t>încălcat regulile de procedură a căror nerespectare atrage sancţiunea nulităţii” – Curtea reţine următoarele considerente:</w:t>
      </w:r>
    </w:p>
    <w:p w:rsidR="00001466" w:rsidRDefault="00B96CB1">
      <w:pPr>
        <w:ind w:firstLine="708"/>
        <w:jc w:val="both"/>
      </w:pPr>
      <w:r>
        <w:t xml:space="preserve">În considerarea motivului de casare, recurenta-reclamantă </w:t>
      </w:r>
      <w:r w:rsidR="009029A6">
        <w:t>R1</w:t>
      </w:r>
      <w:r>
        <w:t xml:space="preserve"> SRL a susţinut că nu s-au respectat dispoziţiile art. 22 C.</w:t>
      </w:r>
      <w:r>
        <w:t>proc.civ, întrucât instanţa de fond a respins proba cu expertiza tehnică în construcţii, proba esenţială pentru soluţionarea cauzei.</w:t>
      </w:r>
    </w:p>
    <w:p w:rsidR="00001466" w:rsidRDefault="00B96CB1">
      <w:pPr>
        <w:ind w:firstLine="708"/>
        <w:jc w:val="both"/>
      </w:pPr>
      <w:r>
        <w:t xml:space="preserve">În analizarea acestui caz de casare, Curtea arată că potrivit art. 258 alin. (1) şi art. 255 alin. (1) C.proc.civ, probele </w:t>
      </w:r>
      <w:r>
        <w:t>se pot încuviinţa numai dacă pot conduce la soluţionarea cauzei. În acelaşi timp, astfel cum rezultă din dispoziţiile art. 330 alin. (1) C.proc.civ, expertiza se încuviinţează atunci când, pentru lămurirea unor împrejurări de fapt, instanţa consideră neces</w:t>
      </w:r>
      <w:r>
        <w:t>ar să cunoască părerea unor specialişti.</w:t>
      </w:r>
    </w:p>
    <w:p w:rsidR="00001466" w:rsidRDefault="00B96CB1">
      <w:pPr>
        <w:ind w:firstLine="708"/>
        <w:jc w:val="both"/>
      </w:pPr>
      <w:r>
        <w:t>Din analiza dispoziţiilor legale invocate, Curtea reţine că admiterea sau respingerea unei probe este lăsată la latitudinea judecătorului atunci când acesta consideră necesar, nefiind o obligaţie stabilită în sarcin</w:t>
      </w:r>
      <w:r>
        <w:t>a acestuia.</w:t>
      </w:r>
    </w:p>
    <w:p w:rsidR="00001466" w:rsidRDefault="00B96CB1">
      <w:pPr>
        <w:ind w:firstLine="708"/>
        <w:jc w:val="both"/>
      </w:pPr>
      <w:r>
        <w:lastRenderedPageBreak/>
        <w:t>Or, tribunalul a respins proba cu expertiză pe motiv că înscrisurile depuse la dosar sunt suficiente, în raport de obiectul cererii de chemare în judecată, respectiv obligarea pârâtei la emiterea certificatului de atestare/adeverinţa privind ed</w:t>
      </w:r>
      <w:r>
        <w:t>ificare construcţie.</w:t>
      </w:r>
    </w:p>
    <w:p w:rsidR="00001466" w:rsidRDefault="00B96CB1">
      <w:pPr>
        <w:ind w:firstLine="708"/>
        <w:jc w:val="both"/>
      </w:pPr>
      <w:r>
        <w:t>Reiese astfel că tribunalul a apreciat asupra utilităţii administrării probei solicitate de către reclamantă, constând în expertiza tehnică în construcţii. O astfel de apreciere justificată asupra probei necesare în cauză este obligato</w:t>
      </w:r>
      <w:r>
        <w:t>rie în virtutea rolului activ al judecătorului; magistratul nu este obligat a încuviinţa toate probele solicitate de părţi, ci are, dimpotrivă, îndatorirea de a urmări doar administrarea probelor utile, concludente şi pertinente, cu înlăturarea celor căror</w:t>
      </w:r>
      <w:r>
        <w:t>a le lipsesc aceste caractere. Or, în cauză, se poate observa că instanța a apreciat ca aspectele propuse spre expertizare puteau fi verificate şi prin analizarea înscrisurilor ataşate la dosar, aprecierea judecătorului de primă instanţă asupra pertinenţei</w:t>
      </w:r>
      <w:r>
        <w:t xml:space="preserve"> probei solicitate de către reclamanta fiind corectă şi motivată.</w:t>
      </w:r>
    </w:p>
    <w:p w:rsidR="00001466" w:rsidRDefault="00B96CB1">
      <w:pPr>
        <w:ind w:firstLine="708"/>
        <w:jc w:val="both"/>
      </w:pPr>
      <w:r>
        <w:t xml:space="preserve">În consecinţă, Curtea constată că prima instanţă nu a încălcat prevederile art. 22 al. 2 C.pr.civ., aprecierile asupra utilităţii probei fiind corecte. În sarcina instanţei de judecată este </w:t>
      </w:r>
      <w:r>
        <w:t>instituită obligaţia de a examina concludenţa fiecărei probe propuse de parte întrucât, prin coroborarea dispoziţiilor art. 255 alin. (1) şi ale art. 258 alin. (1) C.pr.civ., trebuie admise numai probele care sunt apte să conducă la soluţionarea procesului</w:t>
      </w:r>
      <w:r>
        <w:t>.</w:t>
      </w:r>
    </w:p>
    <w:p w:rsidR="00001466" w:rsidRDefault="00B96CB1">
      <w:pPr>
        <w:ind w:firstLine="708"/>
        <w:jc w:val="both"/>
      </w:pPr>
      <w:r>
        <w:t>Prin urmare, neadministrarea probei cu expertiza tehnică nu echivalează cu încălcarea rolului activ al judecătorului prevăzut de art. 22 alin. (2) C.proc.civ., ci este expresia aprecierii corecte a judecătorului asupra utilităţii acestei probe.</w:t>
      </w:r>
    </w:p>
    <w:p w:rsidR="00001466" w:rsidRDefault="00B96CB1">
      <w:pPr>
        <w:ind w:firstLine="708"/>
        <w:jc w:val="both"/>
      </w:pPr>
      <w:r>
        <w:t>Pe cale d</w:t>
      </w:r>
      <w:r>
        <w:t>e consecinţă, Curtea va reţine caracterul nefondat al acestui motiv de casare.</w:t>
      </w:r>
    </w:p>
    <w:p w:rsidR="00001466" w:rsidRDefault="00B96CB1">
      <w:pPr>
        <w:ind w:firstLine="708"/>
        <w:jc w:val="both"/>
      </w:pPr>
      <w:r>
        <w:t xml:space="preserve">Referitor la motivul de casare prevăzut de dispozițiile </w:t>
      </w:r>
      <w:r>
        <w:rPr>
          <w:rStyle w:val="Fontdeparagrafimplicit"/>
          <w:b/>
          <w:i/>
        </w:rPr>
        <w:t>art. 488 alin. (1) pct. 8 C.proc,civ.,</w:t>
      </w:r>
      <w:r>
        <w:t xml:space="preserve"> invocat de recurenta-reclamantă, acesta vizează încălcarea legii de drept substanţial (material), încălcare ce poate îmbrăca mai multe aspecte: aplicarea unui text de lege străin situației de fapt, respectiv a unui act normativ care nu este incident în sp</w:t>
      </w:r>
      <w:r>
        <w:t>eţă; extinderea normei juridice dincolo de ipotezele la care se aplică ori restrângerea nejustificată a aplicării prevederilor acesteia (de exemplu, aplicarea unor norme de drept comun pentru situații pentru care există o normă specială, aplicarea unei nor</w:t>
      </w:r>
      <w:r>
        <w:t>me speciale, prin analogie, la situaţii ce nu cad sub incidenţa ei etc.); textului de lege corespunzător situaţiei de fapt s-a dat o interpretare greşită, inclusiv în cazul în care norma juridică este obscură şi, deci, susceptibilă de interpretare, dar int</w:t>
      </w:r>
      <w:r>
        <w:t>erpretarea dată în speță nu este justă.</w:t>
      </w:r>
    </w:p>
    <w:p w:rsidR="00001466" w:rsidRDefault="00B96CB1">
      <w:pPr>
        <w:ind w:firstLine="708"/>
        <w:jc w:val="both"/>
      </w:pPr>
      <w:r>
        <w:t>Aşadar, textul are în vedere situaţiile în care instanţa recurge la textele de lege ce sunt de natură să ducă la soluţionarea cauzei, dar fie le încalcă, în litera sau spiritul lor, fie le aplică greşit, interpretare</w:t>
      </w:r>
      <w:r>
        <w:t>a pe care le-o dă fiind prea întinsă sau prea restrânsă ori cu totul eronată.</w:t>
      </w:r>
    </w:p>
    <w:p w:rsidR="00001466" w:rsidRDefault="00B96CB1">
      <w:pPr>
        <w:ind w:firstLine="540"/>
        <w:jc w:val="both"/>
      </w:pPr>
      <w:r>
        <w:t>Curtea nu poate cenzura situația de fapt stabilită de către instanța de fond, ci, plecând în mod obligatoriu de la aceasta, are de verificat dacă instanța de fond a interpretat ș</w:t>
      </w:r>
      <w:r>
        <w:t xml:space="preserve">i aplicat corect dispozițiile de drept material incidente în cauză, în contextul în care recurenta-reclamantă a invocat și argumentat motivul prevăzut de art. 488 alin. 1 pct. 8 din Codul de procedură civilă. </w:t>
      </w:r>
    </w:p>
    <w:p w:rsidR="00001466" w:rsidRDefault="00B96CB1">
      <w:pPr>
        <w:ind w:firstLine="708"/>
        <w:jc w:val="both"/>
      </w:pPr>
      <w:r>
        <w:t>În susţinerea motivului de casare, recurenta-r</w:t>
      </w:r>
      <w:r>
        <w:t>eclamantă a susţinut că instanţa de fond a apreciat în mod greşit că dispoziţiile Anexei nr. 2 la Legea nr. 350/2001 privind excepţiile de calcul al indicatorilor urbanistici POT şi CUT nu sunt aplicabile în cauză, reţinând în mod nejustificat că terenul î</w:t>
      </w:r>
      <w:r>
        <w:t>n suprafaţă de 288,31 mp nu a fost dezmembrat în sensul dispoziţiilor Legii nr. 7/1996, în cuprinsul cărţii funciare înscriindu-se de fapt dreptul de concesiune al reclamantei.</w:t>
      </w:r>
    </w:p>
    <w:p w:rsidR="00001466" w:rsidRDefault="00B96CB1">
      <w:pPr>
        <w:ind w:firstLine="708"/>
        <w:jc w:val="both"/>
      </w:pPr>
      <w:r>
        <w:t>Curtea reține că în cauză prima instanță nu a încălcat dispozițiile legale de d</w:t>
      </w:r>
      <w:r>
        <w:t>rept material, iar sentința pronunțată este legală.</w:t>
      </w:r>
    </w:p>
    <w:p w:rsidR="00001466" w:rsidRDefault="00B96CB1">
      <w:pPr>
        <w:ind w:firstLine="708"/>
        <w:jc w:val="both"/>
      </w:pPr>
      <w:r>
        <w:t>Indicatorii urbanistici maximali prevăzuţi de RLU aferent PUG aprobat pentru subzona funcţională V1a sunt POT max=15% şi CUT max=0,2.</w:t>
      </w:r>
    </w:p>
    <w:p w:rsidR="00001466" w:rsidRDefault="00B96CB1">
      <w:pPr>
        <w:ind w:firstLine="708"/>
        <w:jc w:val="both"/>
      </w:pPr>
      <w:r>
        <w:t>Din înscrisurile dosarului rezultă că pentru terenul concesionat în su</w:t>
      </w:r>
      <w:r>
        <w:t xml:space="preserve">prafaţă de 288,31 mp POT existent este de 100%, iar CUT-ul de 1.3, fiind astfel depăşite valorile indicilor </w:t>
      </w:r>
      <w:r>
        <w:lastRenderedPageBreak/>
        <w:t>urbanistici aprobaţi pentru subzona V1a, iar din Memoriul General Tehnic depus de către recurenta-reclamantă în susţinerea cererii rezultă că aria c</w:t>
      </w:r>
      <w:r>
        <w:t>onstruită este de 288,31 mp.</w:t>
      </w:r>
    </w:p>
    <w:p w:rsidR="00001466" w:rsidRDefault="00B96CB1">
      <w:pPr>
        <w:ind w:firstLine="708"/>
        <w:jc w:val="both"/>
      </w:pPr>
      <w:r>
        <w:t>Cu privire la incidenţa dispoziţiilor Anexei nr. 2 la Legea nr. 350/2001 privind excepţiile de calcul al indicatorilor urbanistici POT şi CUT, Curtea reţine, cum în mod judicios a apreciat şi instanţa de fond, că nu sunt aplica</w:t>
      </w:r>
      <w:r>
        <w:t>bile în speţă, întrucât terenul în suprafaţă de 288,31 mp nu a fost dezmembrat în sensul Legii nr. 7/1996.</w:t>
      </w:r>
    </w:p>
    <w:p w:rsidR="00001466" w:rsidRDefault="00B96CB1">
      <w:pPr>
        <w:ind w:firstLine="708"/>
        <w:jc w:val="both"/>
      </w:pPr>
      <w:r>
        <w:t>Potrivit dispoziţiilor Anexei nr. 2 la Legea nr. 350/2001 „Excepţii de calcul al indicatorilor urbanistici POT şi CUT:</w:t>
      </w:r>
    </w:p>
    <w:p w:rsidR="00001466" w:rsidRDefault="00B96CB1">
      <w:pPr>
        <w:ind w:firstLine="708"/>
        <w:jc w:val="both"/>
      </w:pPr>
      <w:r>
        <w:t>- dacă o construcţie nouă este</w:t>
      </w:r>
      <w:r>
        <w:t xml:space="preserve"> edificată pe un teren care conţine o clădire care nu este destinată demolării, indicatorii urbanistici (POT şi CUT) se calculează adăugându-se suprafaţa planşeelor existente la cele ale construcţiilor noi;</w:t>
      </w:r>
    </w:p>
    <w:p w:rsidR="00001466" w:rsidRDefault="00B96CB1">
      <w:pPr>
        <w:ind w:firstLine="708"/>
        <w:jc w:val="both"/>
      </w:pPr>
      <w:r>
        <w:t xml:space="preserve">- dacă o construcţie este edificată </w:t>
      </w:r>
      <w:r>
        <w:rPr>
          <w:rStyle w:val="Fontdeparagrafimplicit"/>
          <w:b/>
          <w:i/>
        </w:rPr>
        <w:t>pe o parte de</w:t>
      </w:r>
      <w:r>
        <w:rPr>
          <w:rStyle w:val="Fontdeparagrafimplicit"/>
          <w:b/>
          <w:i/>
        </w:rPr>
        <w:t xml:space="preserve"> teren dezmembrată dintr-un teren deja construit</w:t>
      </w:r>
      <w:r>
        <w:t>, indicatorii urbanistici se calculează în raport cu ansamblul terenului iniţial, adăugându-se suprafaţa planşeelor existente la cele ale noii construcţii.”</w:t>
      </w:r>
    </w:p>
    <w:p w:rsidR="00001466" w:rsidRDefault="00B96CB1">
      <w:pPr>
        <w:ind w:firstLine="708"/>
        <w:jc w:val="both"/>
      </w:pPr>
      <w:r>
        <w:t xml:space="preserve">Cum în mod corect a apreciat instanţa de fond, din </w:t>
      </w:r>
      <w:r>
        <w:t>cuprinsul art. 12 din Regulamentul de avizare, recepţie şi înscriere în evidenţele de cadastru şi carte funciară, aprobat prin Ordinul nr. 700/2014, rezultă că:</w:t>
      </w:r>
    </w:p>
    <w:p w:rsidR="00001466" w:rsidRDefault="00B96CB1">
      <w:pPr>
        <w:ind w:firstLine="708"/>
        <w:jc w:val="both"/>
        <w:rPr>
          <w:rStyle w:val="Fontdeparagrafimplicit"/>
          <w:i/>
        </w:rPr>
      </w:pPr>
      <w:r>
        <w:rPr>
          <w:rStyle w:val="Fontdeparagrafimplicit"/>
          <w:i/>
        </w:rPr>
        <w:t xml:space="preserve">„(1) Intabularea este înscrierea cu caracter definitiv a unui drept real imobiliar în cartea </w:t>
      </w:r>
      <w:r>
        <w:rPr>
          <w:rStyle w:val="Fontdeparagrafimplicit"/>
          <w:i/>
        </w:rPr>
        <w:t>funciară.</w:t>
      </w:r>
    </w:p>
    <w:p w:rsidR="00001466" w:rsidRDefault="00B96CB1">
      <w:pPr>
        <w:ind w:firstLine="708"/>
        <w:jc w:val="both"/>
        <w:rPr>
          <w:rStyle w:val="Fontdeparagrafimplicit"/>
          <w:i/>
        </w:rPr>
      </w:pPr>
      <w:r>
        <w:rPr>
          <w:rStyle w:val="Fontdeparagrafimplicit"/>
          <w:i/>
        </w:rPr>
        <w:t>(2) Pot fi intabulate în cartea funciară următoarele drepturi reale imobiliare: dreptul de proprietate și dezmembrămintele acestuia, drepturile reale corespunzătoare dreptului de proprietate publică, drepturile reale de garanție.</w:t>
      </w:r>
    </w:p>
    <w:p w:rsidR="00001466" w:rsidRDefault="00B96CB1">
      <w:pPr>
        <w:ind w:firstLine="708"/>
        <w:jc w:val="both"/>
        <w:rPr>
          <w:rStyle w:val="Fontdeparagrafimplicit"/>
          <w:i/>
        </w:rPr>
      </w:pPr>
      <w:r>
        <w:rPr>
          <w:rStyle w:val="Fontdeparagrafimplicit"/>
          <w:i/>
        </w:rPr>
        <w:t>(3) Dezmembrămin</w:t>
      </w:r>
      <w:r>
        <w:rPr>
          <w:rStyle w:val="Fontdeparagrafimplicit"/>
          <w:i/>
        </w:rPr>
        <w:t>tele dreptului de proprietate privată sunt: dreptul de superficie, dreptul de uzufruct, dreptul de uz, abitația și dreptul de servitute.</w:t>
      </w:r>
    </w:p>
    <w:p w:rsidR="00001466" w:rsidRDefault="00B96CB1">
      <w:pPr>
        <w:ind w:firstLine="708"/>
        <w:jc w:val="both"/>
        <w:rPr>
          <w:rStyle w:val="Fontdeparagrafimplicit"/>
          <w:i/>
        </w:rPr>
      </w:pPr>
      <w:r>
        <w:rPr>
          <w:rStyle w:val="Fontdeparagrafimplicit"/>
          <w:i/>
        </w:rPr>
        <w:t>(4) Drepturile reale corespunzătoare dreptului de proprietate publică sunt: dreptul de administrare, dreptul de concesi</w:t>
      </w:r>
      <w:r>
        <w:rPr>
          <w:rStyle w:val="Fontdeparagrafimplicit"/>
          <w:i/>
        </w:rPr>
        <w:t>une și dreptul de folosință cu titlu gratuit.”</w:t>
      </w:r>
    </w:p>
    <w:p w:rsidR="00001466" w:rsidRDefault="00B96CB1">
      <w:pPr>
        <w:ind w:firstLine="708"/>
        <w:jc w:val="both"/>
      </w:pPr>
      <w:r>
        <w:t xml:space="preserve">Astfel, Curtea reţine că recurenta-reclamantă deţine un drept de concesiune asupra terenului de 288,31 mp conform contractului de concesiune încheiat între aceasta şi Municipiul </w:t>
      </w:r>
      <w:r w:rsidR="00A234FD">
        <w:t>X</w:t>
      </w:r>
      <w:r>
        <w:t xml:space="preserve"> (f. 13 – 18), şi nu u</w:t>
      </w:r>
      <w:r>
        <w:t>n dezmembrământ.</w:t>
      </w:r>
    </w:p>
    <w:p w:rsidR="00001466" w:rsidRDefault="00B96CB1">
      <w:pPr>
        <w:ind w:firstLine="708"/>
        <w:jc w:val="both"/>
      </w:pPr>
      <w:r>
        <w:t>Curtea reţine că excepţiile de calcul de la indicatorii urbanistici fac referire la dezmembrământ, ce reprezintă separarea atributelor componente ale dreptului de proprietate, fiind specific dreptului de proprietate privată conform art. 55</w:t>
      </w:r>
      <w:r>
        <w:t>5 alin. (1) din Codul civil: „În condiţiile legii, dreptul de proprietate privată este susceptibil de modalităţi şi dezmembrăminte, după caz.”</w:t>
      </w:r>
    </w:p>
    <w:p w:rsidR="00001466" w:rsidRDefault="00B96CB1">
      <w:pPr>
        <w:ind w:firstLine="708"/>
        <w:jc w:val="both"/>
      </w:pPr>
      <w:r>
        <w:t>Or, în cazul dreptului de proprietate publică (cum este cazul în speţa de faţă), dezmembrămintele proprietăţii nu</w:t>
      </w:r>
      <w:r>
        <w:t xml:space="preserve"> îşi găsesc aplicaţie, întrucât potrivit art. 136 alin. (4) din Constituţie, bunurile proprietate publică sunt inalienabile şi că, în condiţiile legii organice, aceste bunuri pot fi date în administrarea regiilor autonome ori instituţiilor publice, pot fi </w:t>
      </w:r>
      <w:r>
        <w:t>concesionate sau închiriate ori pot fi date în folosinţă gratuită instituţiilor de utilitate publică.</w:t>
      </w:r>
    </w:p>
    <w:p w:rsidR="00001466" w:rsidRDefault="00B96CB1">
      <w:pPr>
        <w:ind w:firstLine="708"/>
        <w:jc w:val="both"/>
      </w:pPr>
      <w:r>
        <w:t>Pe cale de consecinţă, în mod corect a reţinut instanţa de fond că dispoziţiile Anexei nr. 2 la Legea nr. 350/2001 nu sunt aplicabile în situaţia reclaman</w:t>
      </w:r>
      <w:r>
        <w:t>tei, aceasta având înscris în cartea funciară dreptul de concesiune, şi nu un dezmembrământ.</w:t>
      </w:r>
    </w:p>
    <w:p w:rsidR="00001466" w:rsidRDefault="00B96CB1">
      <w:pPr>
        <w:ind w:firstLine="708"/>
        <w:jc w:val="both"/>
      </w:pPr>
      <w:r>
        <w:t>Potrivit art. 12 din Regulamentul amintit, dreptul de concesiune este un drept real corespunzător dreptului de proprietate publică.</w:t>
      </w:r>
    </w:p>
    <w:p w:rsidR="00001466" w:rsidRDefault="00B96CB1">
      <w:pPr>
        <w:ind w:firstLine="708"/>
        <w:jc w:val="both"/>
      </w:pPr>
      <w:r>
        <w:t xml:space="preserve">Astfel, pentru a-i fi eliberat </w:t>
      </w:r>
      <w:r>
        <w:t>certificatul de atestare a edificării construcţiei, în situaţia în care nu are autorizaţie de construire (cum este cazul în cauză) este necesară şi respectarea reglementărilor de urbanism (art. 37 alin. (6) din Legea nr. 50/1991, astfel cum a fost modifica</w:t>
      </w:r>
      <w:r>
        <w:t>t prin Legea nr. 7/2020).</w:t>
      </w:r>
    </w:p>
    <w:p w:rsidR="00001466" w:rsidRDefault="00B96CB1">
      <w:pPr>
        <w:ind w:firstLine="708"/>
        <w:jc w:val="both"/>
      </w:pPr>
      <w:r>
        <w:t xml:space="preserve">Prin urmare, în mod corect a reţinut instanţa de fond faptul că nu se poate reține un refuz nejustificat de soluționare a cererii în sensul dispozițiilor art. 2 alin. 1 lit. (i) din Legea nr. </w:t>
      </w:r>
      <w:r>
        <w:lastRenderedPageBreak/>
        <w:t>554/2004, câtă vreme construcţiile pen</w:t>
      </w:r>
      <w:r>
        <w:t>tru care recurenta-reclamantă solicită emiterea certificatului de atestare/adeverinţa de atestare a edificării construcţiei prevăzută de art. 37 alin. (6) din Legea nr. 50/1991 nu respectă reglementările de urbanism aprobate.</w:t>
      </w:r>
    </w:p>
    <w:p w:rsidR="00001466" w:rsidRDefault="00B96CB1">
      <w:pPr>
        <w:ind w:firstLine="708"/>
        <w:jc w:val="both"/>
      </w:pPr>
      <w:r>
        <w:t xml:space="preserve">Aşa fiind, Curtea constată că </w:t>
      </w:r>
      <w:r>
        <w:t>susţinerile şi criticile recurentei sunt neîntemeiate, iar hotărârea instanţei de fond este legală, fiind dată cu aplicarea corectă a normelor de drept procesual şi material, nefiind incidente motivele de recurs reglementate de art. 488 pct. 5 şi 8 C.proc.</w:t>
      </w:r>
      <w:r>
        <w:t>civ.</w:t>
      </w:r>
    </w:p>
    <w:p w:rsidR="00001466" w:rsidRDefault="00B96CB1">
      <w:pPr>
        <w:ind w:firstLine="708"/>
        <w:jc w:val="both"/>
      </w:pPr>
      <w:r>
        <w:t>Pe cale de consecinţă, în temeiul art. 20 din Legea nr. 554/2004 coroborat cu art. 496 alin. (1) C.proc.civ, Curtea va respinge recursul ca nefondat.</w:t>
      </w:r>
    </w:p>
    <w:p w:rsidR="00001466" w:rsidRDefault="00001466">
      <w:pPr>
        <w:ind w:firstLine="708"/>
        <w:jc w:val="both"/>
      </w:pPr>
    </w:p>
    <w:p w:rsidR="00001466" w:rsidRDefault="00B96CB1">
      <w:pPr>
        <w:jc w:val="center"/>
        <w:rPr>
          <w:rStyle w:val="Fontdeparagrafimplicit"/>
          <w:b/>
        </w:rPr>
      </w:pPr>
      <w:r>
        <w:rPr>
          <w:rStyle w:val="Fontdeparagrafimplicit"/>
          <w:b/>
        </w:rPr>
        <w:t>PENTRU ACESTE MOTIVE,</w:t>
      </w:r>
    </w:p>
    <w:p w:rsidR="00001466" w:rsidRDefault="00B96CB1">
      <w:pPr>
        <w:jc w:val="center"/>
        <w:rPr>
          <w:rStyle w:val="Fontdeparagrafimplicit"/>
          <w:b/>
        </w:rPr>
      </w:pPr>
      <w:r>
        <w:rPr>
          <w:rStyle w:val="Fontdeparagrafimplicit"/>
          <w:b/>
        </w:rPr>
        <w:t>ÎN NUMELE LEGII,</w:t>
      </w:r>
    </w:p>
    <w:p w:rsidR="00001466" w:rsidRDefault="00B96CB1">
      <w:pPr>
        <w:jc w:val="center"/>
        <w:rPr>
          <w:rStyle w:val="Fontdeparagrafimplicit"/>
          <w:b/>
        </w:rPr>
      </w:pPr>
      <w:r>
        <w:rPr>
          <w:rStyle w:val="Fontdeparagrafimplicit"/>
          <w:b/>
        </w:rPr>
        <w:t>DECIDE:</w:t>
      </w:r>
    </w:p>
    <w:p w:rsidR="00001466" w:rsidRDefault="00001466">
      <w:pPr>
        <w:jc w:val="center"/>
        <w:rPr>
          <w:rStyle w:val="Fontdeparagrafimplicit"/>
          <w:b/>
        </w:rPr>
      </w:pPr>
    </w:p>
    <w:p w:rsidR="00001466" w:rsidRDefault="00B96CB1">
      <w:pPr>
        <w:tabs>
          <w:tab w:val="left" w:pos="840"/>
        </w:tabs>
        <w:jc w:val="both"/>
      </w:pPr>
      <w:r>
        <w:rPr>
          <w:rStyle w:val="Fontdeparagrafimplicit"/>
          <w:b/>
        </w:rPr>
        <w:tab/>
      </w:r>
      <w:r>
        <w:t xml:space="preserve">Respinge recursul formulat de </w:t>
      </w:r>
      <w:r>
        <w:rPr>
          <w:rStyle w:val="Fontdeparagrafimplicit"/>
          <w:b/>
        </w:rPr>
        <w:t xml:space="preserve">recurenta - </w:t>
      </w:r>
      <w:r>
        <w:rPr>
          <w:rStyle w:val="Fontdeparagrafimplicit"/>
          <w:b/>
        </w:rPr>
        <w:t xml:space="preserve">reclamantă </w:t>
      </w:r>
      <w:r w:rsidR="009029A6">
        <w:rPr>
          <w:rStyle w:val="Fontdeparagrafimplicit"/>
          <w:b/>
        </w:rPr>
        <w:t>R1</w:t>
      </w:r>
      <w:r>
        <w:rPr>
          <w:rStyle w:val="Fontdeparagrafimplicit"/>
          <w:b/>
        </w:rPr>
        <w:t xml:space="preserve"> SRL</w:t>
      </w:r>
      <w:r>
        <w:t xml:space="preserve">, cu sediul ales la Cab. Av. </w:t>
      </w:r>
      <w:r w:rsidR="00AB70B0">
        <w:t>...</w:t>
      </w:r>
      <w:r>
        <w:t xml:space="preserve"> în </w:t>
      </w:r>
      <w:r w:rsidR="00AB70B0">
        <w:t>...</w:t>
      </w:r>
      <w:r>
        <w:t xml:space="preserve">, împotriva sentinţei civile nr. </w:t>
      </w:r>
      <w:r w:rsidR="009029A6">
        <w:t>...</w:t>
      </w:r>
      <w:r>
        <w:t>/</w:t>
      </w:r>
      <w:r w:rsidR="009029A6">
        <w:t>...2021</w:t>
      </w:r>
      <w:r>
        <w:t xml:space="preserve"> pronunţată de Tribunalul </w:t>
      </w:r>
      <w:r w:rsidR="00A234FD">
        <w:t>X</w:t>
      </w:r>
      <w:r>
        <w:t xml:space="preserve"> - Secţia </w:t>
      </w:r>
      <w:r>
        <w:t xml:space="preserve">Contencios administrativ şi fiscal, în dosarul nr. </w:t>
      </w:r>
      <w:r w:rsidR="009029A6">
        <w:t>.../.../2020</w:t>
      </w:r>
      <w:r>
        <w:t xml:space="preserve">, în contradictoriu cu </w:t>
      </w:r>
      <w:r>
        <w:rPr>
          <w:rStyle w:val="Fontdeparagrafimplicit"/>
          <w:b/>
        </w:rPr>
        <w:t xml:space="preserve">intimatul - pârât PRIMARUL </w:t>
      </w:r>
      <w:r w:rsidR="009029A6">
        <w:rPr>
          <w:rStyle w:val="Fontdeparagrafimplicit"/>
          <w:b/>
        </w:rPr>
        <w:t>Y</w:t>
      </w:r>
      <w:r>
        <w:rPr>
          <w:rStyle w:val="Fontdeparagrafimplicit"/>
          <w:b/>
        </w:rPr>
        <w:t xml:space="preserve"> AL MUNICIPIULUI </w:t>
      </w:r>
      <w:r w:rsidR="00A234FD">
        <w:rPr>
          <w:rStyle w:val="Fontdeparagrafimplicit"/>
          <w:b/>
        </w:rPr>
        <w:t>X</w:t>
      </w:r>
      <w:r>
        <w:t xml:space="preserve">, cu sediul ales la CA </w:t>
      </w:r>
      <w:r w:rsidR="000E7929">
        <w:t>...</w:t>
      </w:r>
      <w:r>
        <w:t xml:space="preserve"> </w:t>
      </w:r>
      <w:r>
        <w:t xml:space="preserve">în </w:t>
      </w:r>
      <w:r w:rsidR="000E7929">
        <w:t>...</w:t>
      </w:r>
      <w:r>
        <w:t xml:space="preserve">, ca nefondat. </w:t>
      </w:r>
    </w:p>
    <w:p w:rsidR="00001466" w:rsidRDefault="00B96CB1">
      <w:pPr>
        <w:tabs>
          <w:tab w:val="left" w:pos="840"/>
        </w:tabs>
      </w:pPr>
      <w:r>
        <w:tab/>
        <w:t xml:space="preserve">Definitivă. </w:t>
      </w:r>
    </w:p>
    <w:p w:rsidR="00001466" w:rsidRDefault="00B96CB1">
      <w:pPr>
        <w:tabs>
          <w:tab w:val="left" w:pos="840"/>
        </w:tabs>
      </w:pPr>
      <w:r>
        <w:tab/>
        <w:t xml:space="preserve">Pronunţată azi, </w:t>
      </w:r>
      <w:r w:rsidR="00AB70B0">
        <w:t>...</w:t>
      </w:r>
      <w:r>
        <w:t>.2022, în cond. art. 402 teza finală C.proc.civ.</w:t>
      </w:r>
    </w:p>
    <w:p w:rsidR="00001466" w:rsidRDefault="00001466">
      <w:pPr>
        <w:rPr>
          <w:rStyle w:val="Fontdeparagrafimplicit"/>
          <w:b/>
        </w:rPr>
      </w:pPr>
    </w:p>
    <w:p w:rsidR="00001466" w:rsidRDefault="00B96CB1">
      <w:pPr>
        <w:tabs>
          <w:tab w:val="left" w:pos="1200"/>
          <w:tab w:val="left" w:pos="3180"/>
          <w:tab w:val="left" w:pos="6345"/>
        </w:tabs>
        <w:rPr>
          <w:rStyle w:val="Fontdeparagrafimplicit"/>
          <w:b/>
        </w:rPr>
      </w:pPr>
      <w:r>
        <w:rPr>
          <w:rStyle w:val="Fontdeparagrafimplicit"/>
          <w:b/>
        </w:rPr>
        <w:t xml:space="preserve">               PREŞEDINTE,</w:t>
      </w:r>
      <w:r>
        <w:rPr>
          <w:rStyle w:val="Fontdeparagrafimplicit"/>
          <w:b/>
        </w:rPr>
        <w:tab/>
        <w:t xml:space="preserve">               JUDECĂTOR,                       JUDECĂTOR,</w:t>
      </w:r>
    </w:p>
    <w:p w:rsidR="00001466" w:rsidRDefault="00B96CB1">
      <w:pPr>
        <w:tabs>
          <w:tab w:val="left" w:pos="1200"/>
          <w:tab w:val="left" w:pos="3180"/>
          <w:tab w:val="left" w:pos="6345"/>
        </w:tabs>
        <w:rPr>
          <w:rStyle w:val="Fontdeparagrafimplicit"/>
          <w:b/>
        </w:rPr>
      </w:pPr>
      <w:r>
        <w:t xml:space="preserve">    </w:t>
      </w:r>
      <w:r w:rsidR="000E7929">
        <w:t xml:space="preserve">               </w:t>
      </w:r>
      <w:r>
        <w:t xml:space="preserve">  </w:t>
      </w:r>
      <w:r w:rsidR="000E7929">
        <w:t>A0012                                                   ....                                     ...</w:t>
      </w:r>
    </w:p>
    <w:p w:rsidR="00001466" w:rsidRDefault="00001466">
      <w:pPr>
        <w:jc w:val="both"/>
        <w:rPr>
          <w:rStyle w:val="Fontdeparagrafimplicit"/>
        </w:rPr>
      </w:pPr>
    </w:p>
    <w:p w:rsidR="00001466" w:rsidRDefault="00001466">
      <w:pPr>
        <w:jc w:val="both"/>
        <w:rPr>
          <w:rStyle w:val="Fontdeparagrafimplicit"/>
        </w:rPr>
      </w:pPr>
    </w:p>
    <w:p w:rsidR="00001466" w:rsidRDefault="00001466">
      <w:pPr>
        <w:jc w:val="both"/>
        <w:rPr>
          <w:rStyle w:val="Fontdeparagrafimplicit"/>
        </w:rPr>
      </w:pPr>
    </w:p>
    <w:p w:rsidR="00001466" w:rsidRDefault="00001466">
      <w:pPr>
        <w:jc w:val="both"/>
        <w:rPr>
          <w:rStyle w:val="Fontdeparagrafimplicit"/>
        </w:rPr>
      </w:pPr>
    </w:p>
    <w:p w:rsidR="00001466" w:rsidRDefault="00B96CB1">
      <w:pPr>
        <w:rPr>
          <w:rStyle w:val="Fontdeparagrafimplicit"/>
          <w:b/>
        </w:rPr>
      </w:pPr>
      <w:r>
        <w:t xml:space="preserve">                                                                                                                                </w:t>
      </w:r>
      <w:r>
        <w:rPr>
          <w:rStyle w:val="Fontdeparagrafimplicit"/>
          <w:b/>
        </w:rPr>
        <w:t>GREFIER,</w:t>
      </w:r>
    </w:p>
    <w:p w:rsidR="00001466" w:rsidP="000E7929" w:rsidRDefault="000E7929">
      <w:pPr>
        <w:jc w:val="center"/>
      </w:pPr>
      <w:r>
        <w:t xml:space="preserve">                                                                                                                      </w:t>
      </w:r>
      <w:r w:rsidR="00B96CB1">
        <w:t xml:space="preserve"> </w:t>
      </w:r>
      <w:r>
        <w:t>...</w:t>
      </w:r>
    </w:p>
    <w:p w:rsidR="00001466" w:rsidRDefault="00001466">
      <w:pPr>
        <w:rPr>
          <w:rStyle w:val="Fontdeparagrafimplicit"/>
          <w:lang w:val="en-US"/>
        </w:rPr>
      </w:pPr>
    </w:p>
    <w:p w:rsidR="00001466" w:rsidRDefault="00001466">
      <w:pPr>
        <w:rPr>
          <w:rStyle w:val="Fontdeparagrafimplicit"/>
          <w:lang w:val="en-US"/>
        </w:rPr>
      </w:pPr>
    </w:p>
    <w:p w:rsidR="00001466" w:rsidRDefault="00B96CB1">
      <w:pPr>
        <w:jc w:val="both"/>
        <w:rPr>
          <w:rStyle w:val="Fontdeparagrafimplicit"/>
          <w:i/>
          <w:sz w:val="18"/>
        </w:rPr>
      </w:pPr>
      <w:r>
        <w:rPr>
          <w:rStyle w:val="Fontdeparagrafimplicit"/>
          <w:i/>
          <w:sz w:val="18"/>
        </w:rPr>
        <w:t xml:space="preserve">Red. jud. </w:t>
      </w:r>
      <w:r w:rsidR="00A75E66">
        <w:rPr>
          <w:rStyle w:val="Fontdeparagrafimplicit"/>
          <w:i/>
          <w:sz w:val="18"/>
        </w:rPr>
        <w:t>A0012</w:t>
      </w:r>
      <w:r>
        <w:rPr>
          <w:rStyle w:val="Fontdeparagrafimplicit"/>
          <w:i/>
          <w:sz w:val="18"/>
        </w:rPr>
        <w:t>/ 2+2 ex</w:t>
      </w:r>
    </w:p>
    <w:p w:rsidR="00001466" w:rsidRDefault="00B96CB1">
      <w:pPr>
        <w:jc w:val="both"/>
        <w:rPr>
          <w:rStyle w:val="Fontdeparagrafimplicit"/>
          <w:i/>
          <w:sz w:val="18"/>
        </w:rPr>
      </w:pPr>
      <w:r>
        <w:rPr>
          <w:rStyle w:val="Fontdeparagrafimplicit"/>
          <w:i/>
          <w:sz w:val="18"/>
        </w:rPr>
        <w:t xml:space="preserve">Jud.fond </w:t>
      </w:r>
      <w:r w:rsidR="00A75E66">
        <w:rPr>
          <w:rStyle w:val="Fontdeparagrafimplicit"/>
          <w:i/>
          <w:sz w:val="18"/>
        </w:rPr>
        <w:t>...</w:t>
      </w:r>
      <w:r>
        <w:rPr>
          <w:rStyle w:val="Fontdeparagrafimplicit"/>
          <w:i/>
          <w:sz w:val="18"/>
        </w:rPr>
        <w:t xml:space="preserve"> – Tribunalul </w:t>
      </w:r>
      <w:r w:rsidR="00A234FD">
        <w:rPr>
          <w:rStyle w:val="Fontdeparagrafimplicit"/>
          <w:i/>
          <w:sz w:val="18"/>
        </w:rPr>
        <w:t>X</w:t>
      </w:r>
      <w:r>
        <w:rPr>
          <w:rStyle w:val="Fontdeparagrafimplicit"/>
          <w:i/>
          <w:sz w:val="18"/>
        </w:rPr>
        <w:t xml:space="preserve"> Secţia </w:t>
      </w:r>
      <w:r>
        <w:rPr>
          <w:rStyle w:val="Fontdeparagrafimplicit"/>
          <w:i/>
          <w:sz w:val="18"/>
        </w:rPr>
        <w:t>CAF</w:t>
      </w:r>
    </w:p>
    <w:p w:rsidR="00001466" w:rsidRDefault="00B96CB1">
      <w:pPr>
        <w:jc w:val="both"/>
        <w:rPr>
          <w:rStyle w:val="Fontdeparagrafimplicit"/>
          <w:i/>
          <w:sz w:val="18"/>
        </w:rPr>
      </w:pPr>
      <w:r>
        <w:rPr>
          <w:rStyle w:val="Fontdeparagrafimplicit"/>
          <w:i/>
          <w:sz w:val="18"/>
        </w:rPr>
        <w:t xml:space="preserve">Lucrate 2 com. la data de </w:t>
      </w:r>
    </w:p>
    <w:p w:rsidR="00001466" w:rsidRDefault="00001466">
      <w:pPr>
        <w:rPr>
          <w:rStyle w:val="Fontdeparagrafimplicit"/>
        </w:rPr>
      </w:pPr>
    </w:p>
    <w:sectPr w:rsidR="00001466">
      <w:footerReference w:type="default" r:id="rId7"/>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96CB1">
      <w:r>
        <w:separator/>
      </w:r>
    </w:p>
  </w:endnote>
  <w:endnote w:type="continuationSeparator" w:id="0">
    <w:p w:rsidR="00000000" w:rsidRDefault="00B9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466" w:rsidRDefault="00B96CB1">
    <w:pPr>
      <w:pStyle w:val="Subsol"/>
      <w:jc w:val="center"/>
    </w:pPr>
    <w:r>
      <w:fldChar w:fldCharType="begin"/>
    </w:r>
    <w:r>
      <w:instrText>PAGE   \* MERGEFORMAT</w:instrText>
    </w:r>
    <w:r>
      <w:fldChar w:fldCharType="separate"/>
    </w:r>
    <w:r w:rsidR="00877C4E">
      <w:rPr>
        <w:noProof/>
      </w:rPr>
      <w:t>1</w:t>
    </w:r>
    <w:r>
      <w:fldChar w:fldCharType="end"/>
    </w:r>
  </w:p>
  <w:p w:rsidR="00001466" w:rsidRDefault="00001466">
    <w:pPr>
      <w:pStyle w:val="Subs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96CB1">
      <w:r>
        <w:separator/>
      </w:r>
    </w:p>
  </w:footnote>
  <w:footnote w:type="continuationSeparator" w:id="0">
    <w:p w:rsidR="00000000" w:rsidRDefault="00B96C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869CC"/>
    <w:multiLevelType w:val="multilevel"/>
    <w:tmpl w:val="39C6ACC0"/>
    <w:lvl w:ilvl="0">
      <w:start w:val="1"/>
      <w:numFmt w:val="low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538C6FA2"/>
    <w:multiLevelType w:val="hybridMultilevel"/>
    <w:tmpl w:val="F0ACB30E"/>
    <w:lvl w:ilvl="0" w:tplc="694E942F">
      <w:numFmt w:val="bullet"/>
      <w:lvlText w:val="-"/>
      <w:lvlJc w:val="left"/>
      <w:pPr>
        <w:ind w:left="1069" w:hanging="360"/>
      </w:pPr>
      <w:rPr>
        <w:rFonts w:ascii="Times New Roman" w:hAnsi="Times New Roman"/>
      </w:rPr>
    </w:lvl>
    <w:lvl w:ilvl="1" w:tplc="2F25EC63">
      <w:start w:val="1"/>
      <w:numFmt w:val="bullet"/>
      <w:lvlText w:val="o"/>
      <w:lvlJc w:val="left"/>
      <w:pPr>
        <w:ind w:left="1789" w:hanging="360"/>
      </w:pPr>
      <w:rPr>
        <w:rFonts w:ascii="Courier New" w:hAnsi="Courier New"/>
      </w:rPr>
    </w:lvl>
    <w:lvl w:ilvl="2" w:tplc="0C6B95E4">
      <w:start w:val="1"/>
      <w:numFmt w:val="bullet"/>
      <w:lvlText w:val=""/>
      <w:lvlJc w:val="left"/>
      <w:pPr>
        <w:ind w:left="2509" w:hanging="360"/>
      </w:pPr>
      <w:rPr>
        <w:rFonts w:ascii="Wingdings" w:hAnsi="Wingdings"/>
      </w:rPr>
    </w:lvl>
    <w:lvl w:ilvl="3" w:tplc="4ADEE0D4">
      <w:start w:val="1"/>
      <w:numFmt w:val="bullet"/>
      <w:lvlText w:val=""/>
      <w:lvlJc w:val="left"/>
      <w:pPr>
        <w:ind w:left="3229" w:hanging="360"/>
      </w:pPr>
      <w:rPr>
        <w:rFonts w:ascii="Symbol" w:hAnsi="Symbol"/>
      </w:rPr>
    </w:lvl>
    <w:lvl w:ilvl="4" w:tplc="30E8420A">
      <w:start w:val="1"/>
      <w:numFmt w:val="bullet"/>
      <w:lvlText w:val="o"/>
      <w:lvlJc w:val="left"/>
      <w:pPr>
        <w:ind w:left="3949" w:hanging="360"/>
      </w:pPr>
      <w:rPr>
        <w:rFonts w:ascii="Courier New" w:hAnsi="Courier New"/>
      </w:rPr>
    </w:lvl>
    <w:lvl w:ilvl="5" w:tplc="3EC4EE49">
      <w:start w:val="1"/>
      <w:numFmt w:val="bullet"/>
      <w:lvlText w:val=""/>
      <w:lvlJc w:val="left"/>
      <w:pPr>
        <w:ind w:left="4669" w:hanging="360"/>
      </w:pPr>
      <w:rPr>
        <w:rFonts w:ascii="Wingdings" w:hAnsi="Wingdings"/>
      </w:rPr>
    </w:lvl>
    <w:lvl w:ilvl="6" w:tplc="757FF8B2">
      <w:start w:val="1"/>
      <w:numFmt w:val="bullet"/>
      <w:lvlText w:val=""/>
      <w:lvlJc w:val="left"/>
      <w:pPr>
        <w:ind w:left="5389" w:hanging="360"/>
      </w:pPr>
      <w:rPr>
        <w:rFonts w:ascii="Symbol" w:hAnsi="Symbol"/>
      </w:rPr>
    </w:lvl>
    <w:lvl w:ilvl="7" w:tplc="2D206827">
      <w:start w:val="1"/>
      <w:numFmt w:val="bullet"/>
      <w:lvlText w:val="o"/>
      <w:lvlJc w:val="left"/>
      <w:pPr>
        <w:ind w:left="6109" w:hanging="360"/>
      </w:pPr>
      <w:rPr>
        <w:rFonts w:ascii="Courier New" w:hAnsi="Courier New"/>
      </w:rPr>
    </w:lvl>
    <w:lvl w:ilvl="8" w:tplc="492A94E2">
      <w:start w:val="1"/>
      <w:numFmt w:val="bullet"/>
      <w:lvlText w:val=""/>
      <w:lvlJc w:val="left"/>
      <w:pPr>
        <w:ind w:left="6829"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url" w:val="http://10.1.48.53:80/ecris_cdms/document_upload.aspx?id_document=200000004495954&amp;id_departament=58&amp;id_sesiune=5202966&amp;id_user=933&amp;id_institutie=2&amp;actiune=modifica"/>
  </w:docVars>
  <w:rsids>
    <w:rsidRoot w:val="00001466"/>
    <w:rsid w:val="00001466"/>
    <w:rsid w:val="00063931"/>
    <w:rsid w:val="000C0991"/>
    <w:rsid w:val="000E7929"/>
    <w:rsid w:val="00135779"/>
    <w:rsid w:val="00184C5B"/>
    <w:rsid w:val="003C0826"/>
    <w:rsid w:val="004A7A1C"/>
    <w:rsid w:val="00591D7F"/>
    <w:rsid w:val="005961F9"/>
    <w:rsid w:val="0070538A"/>
    <w:rsid w:val="007209FF"/>
    <w:rsid w:val="00787A79"/>
    <w:rsid w:val="00877C4E"/>
    <w:rsid w:val="009029A6"/>
    <w:rsid w:val="00A234FD"/>
    <w:rsid w:val="00A75E66"/>
    <w:rsid w:val="00A766EA"/>
    <w:rsid w:val="00A951C8"/>
    <w:rsid w:val="00AB70B0"/>
    <w:rsid w:val="00B96CB1"/>
    <w:rsid w:val="00C075A0"/>
    <w:rsid w:val="00CC2DF5"/>
    <w:rsid w:val="00CF2DB9"/>
    <w:rsid w:val="00D44E60"/>
    <w:rsid w:val="00DC08A4"/>
    <w:rsid w:val="00E3241F"/>
    <w:rsid w:val="00EA664C"/>
    <w:rsid w:val="00F673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7DCED"/>
  <w15:docId w15:val="{8762896F-D036-44DC-BC28-5DE472FD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paragraph" w:customStyle="1" w:styleId="Listparagraf">
    <w:name w:val="Listă paragraf"/>
    <w:basedOn w:val="Normal"/>
    <w:qFormat/>
    <w:pPr>
      <w:ind w:left="720" w:firstLine="709"/>
      <w:contextualSpacing/>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40</ap:TotalTime>
  <ap:Pages>10</ap:Pages>
  <ap:Words>5538</ap:Words>
  <ap:Characters>32124</ap:Characters>
  <ap:Application>Microsoft Office Word</ap:Application>
  <ap:DocSecurity>0</ap:DocSecurity>
  <ap:Lines>267</ap:Lines>
  <ap:Paragraphs>75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37587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