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B04476" w14:paraId="22A093B3" w14:textId="19B51ABA">
      <w:r>
        <w:t>Cod ECLI    ECLI:RO:</w:t>
      </w:r>
      <w:r w:rsidR="00CF318B">
        <w:t>..............................                                                    Hotărârea 18</w:t>
      </w:r>
    </w:p>
    <w:p w:rsidR="00B04476" w14:paraId="054EFEE4" w14:textId="19FF7491">
      <w:r>
        <w:t xml:space="preserve">Dosar nr. </w:t>
      </w:r>
      <w:r w:rsidR="00CF318B">
        <w:t>....</w:t>
      </w:r>
      <w:r>
        <w:t>/</w:t>
      </w:r>
      <w:r w:rsidR="00CF318B">
        <w:t>...</w:t>
      </w:r>
      <w:r>
        <w:t>/2018</w:t>
      </w:r>
    </w:p>
    <w:p w:rsidR="00B04476" w14:paraId="42952188" w14:textId="77777777">
      <w:pPr>
        <w:jc w:val="center"/>
      </w:pPr>
      <w:r>
        <w:t>R O M Â N I A</w:t>
      </w:r>
    </w:p>
    <w:p w:rsidR="00B04476" w14:paraId="6E343ACA" w14:textId="77777777">
      <w:pPr>
        <w:jc w:val="center"/>
      </w:pPr>
    </w:p>
    <w:p w:rsidR="00B04476" w14:paraId="64C05629" w14:textId="7B31050D">
      <w:pPr>
        <w:jc w:val="center"/>
      </w:pPr>
      <w:r>
        <w:t xml:space="preserve">CURTEA DE APEL </w:t>
      </w:r>
      <w:r w:rsidR="00E364BA">
        <w:t>...............</w:t>
      </w:r>
    </w:p>
    <w:p w:rsidR="00B04476" w14:paraId="41B6499F" w14:textId="77777777">
      <w:pPr>
        <w:jc w:val="center"/>
        <w:rPr>
          <w:rStyle w:val="Fontdeparagrafimplicit"/>
          <w:lang w:val="en-US"/>
        </w:rPr>
      </w:pPr>
      <w:r>
        <w:t>SECŢIA CONTENCIOS ADMINISTRATIV SI FISCAL</w:t>
      </w:r>
    </w:p>
    <w:p w:rsidR="00B04476" w14:paraId="093333BA" w14:textId="77777777">
      <w:pPr>
        <w:rPr>
          <w:rStyle w:val="Fontdeparagrafimplicit"/>
        </w:rPr>
      </w:pPr>
    </w:p>
    <w:p w:rsidR="00B04476" w14:paraId="0C542DAE" w14:textId="6EF7CA7A">
      <w:pPr>
        <w:jc w:val="center"/>
        <w:rPr>
          <w:rStyle w:val="Fontdeparagrafimplicit"/>
          <w:b/>
        </w:rPr>
      </w:pPr>
      <w:r>
        <w:rPr>
          <w:rStyle w:val="Fontdeparagrafimplicit"/>
        </w:rPr>
      </w:r>
      <w:bookmarkStart w:name="tip_incheiere" w:id="0"/>
      <w:r>
        <w:rPr>
          <w:rStyle w:val="Fontdeparagrafimplicit"/>
          <w:b/>
        </w:rPr>
      </w:r>
      <w:r>
        <w:rPr>
          <w:rStyle w:val="Fontdeparagrafimplicit"/>
        </w:rPr>
      </w:r>
      <w:r>
        <w:rPr>
          <w:rStyle w:val="Fontdeparagrafimplicit"/>
          <w:b/>
        </w:rPr>
        <w:t>DECIZIE</w:t>
      </w:r>
      <w:r>
        <w:rPr>
          <w:rStyle w:val="Fontdeparagrafimplicit"/>
        </w:rPr>
      </w:r>
      <w:bookmarkEnd w:id="0"/>
      <w:r>
        <w:rPr>
          <w:rStyle w:val="Fontdeparagrafimplicit"/>
          <w:b/>
        </w:rPr>
        <w:t xml:space="preserve"> Nr. </w:t>
      </w:r>
      <w:r w:rsidR="00E364BA">
        <w:rPr>
          <w:rStyle w:val="Fontdeparagrafimplicit"/>
          <w:b/>
        </w:rPr>
        <w:t>.....</w:t>
      </w:r>
      <w:r>
        <w:rPr>
          <w:rStyle w:val="Fontdeparagrafimplicit"/>
          <w:b/>
        </w:rPr>
        <w:t>/</w:t>
      </w:r>
      <w:r w:rsidR="00E364BA">
        <w:rPr>
          <w:rStyle w:val="Fontdeparagrafimplicit"/>
          <w:b/>
        </w:rPr>
        <w:t>.....</w:t>
      </w:r>
    </w:p>
    <w:p w:rsidR="00B04476" w14:paraId="14692E27" w14:textId="173F66CD">
      <w:pPr>
        <w:jc w:val="center"/>
      </w:pPr>
      <w:r>
        <w:t>Şedinţa </w:t>
      </w:r>
      <w:bookmarkStart w:name="tip_sedinta" w:id="1"/>
      <w:r>
        <w:t>publică</w:t>
      </w:r>
      <w:bookmarkEnd w:id="1"/>
      <w:r>
        <w:t xml:space="preserve"> de la </w:t>
      </w:r>
      <w:r w:rsidR="00E364BA">
        <w:t>...............</w:t>
      </w:r>
      <w:r>
        <w:t xml:space="preserve"> </w:t>
      </w:r>
    </w:p>
    <w:p w:rsidR="00B04476" w14:paraId="221C3BA7" w14:textId="77777777">
      <w:pPr>
        <w:jc w:val="center"/>
      </w:pPr>
      <w:r>
        <w:t>Completul constituit din:</w:t>
      </w:r>
    </w:p>
    <w:p w:rsidR="00B04476" w14:paraId="302932F6" w14:textId="5E7BECB8">
      <w:pPr>
        <w:jc w:val="center"/>
      </w:pPr>
      <w:r>
        <w:t xml:space="preserve">PREŞEDINTE </w:t>
      </w:r>
      <w:r w:rsidR="00E364BA">
        <w:t>...............</w:t>
      </w:r>
    </w:p>
    <w:p w:rsidR="00B04476" w14:paraId="3794D12C" w14:textId="7BFEB5AB">
      <w:pPr>
        <w:jc w:val="center"/>
      </w:pPr>
      <w:r>
        <w:t xml:space="preserve">Judecător </w:t>
      </w:r>
      <w:r w:rsidR="00E364BA">
        <w:t>...............</w:t>
      </w:r>
    </w:p>
    <w:p w:rsidR="00B04476" w14:paraId="63295B9A" w14:textId="5D2ED2D8">
      <w:pPr>
        <w:jc w:val="center"/>
      </w:pPr>
      <w:r>
        <w:t xml:space="preserve">Judecător </w:t>
      </w:r>
      <w:r w:rsidR="00E364BA">
        <w:t>A0001</w:t>
      </w:r>
    </w:p>
    <w:p w:rsidR="00B04476" w14:paraId="44ABFBE3" w14:textId="395BA4F9">
      <w:pPr>
        <w:jc w:val="center"/>
      </w:pPr>
      <w:r>
        <w:t xml:space="preserve">Grefier </w:t>
      </w:r>
      <w:r w:rsidR="00E364BA">
        <w:t>...............</w:t>
      </w:r>
    </w:p>
    <w:p w:rsidR="00B04476" w14:paraId="14EAFE3F" w14:textId="77777777">
      <w:pPr>
        <w:jc w:val="center"/>
      </w:pPr>
    </w:p>
    <w:p w:rsidR="00B04476" w14:paraId="16287501" w14:textId="0BC01FE4">
      <w:pPr>
        <w:ind w:firstLine="708"/>
        <w:jc w:val="both"/>
      </w:pPr>
      <w:r>
        <w:t xml:space="preserve">Pe rol, judecarea recursului formulat de pârâta </w:t>
      </w:r>
      <w:r>
        <w:rPr>
          <w:rStyle w:val="Fontdeparagrafimplicit"/>
          <w:b/>
        </w:rPr>
        <w:t xml:space="preserve">Casa Judeţeană de Pensii </w:t>
      </w:r>
      <w:r w:rsidR="00E364BA">
        <w:rPr>
          <w:rStyle w:val="Fontdeparagrafimplicit"/>
          <w:b/>
        </w:rPr>
        <w:t>...A...</w:t>
      </w:r>
      <w:r>
        <w:t xml:space="preserve">, în contradictoriu cu intimaţii </w:t>
      </w:r>
      <w:bookmarkStart w:name="_Hlk236601963" w:id="2"/>
      <w:r>
        <w:t xml:space="preserve">reclamanţi </w:t>
      </w:r>
      <w:r w:rsidR="00E364BA">
        <w:rPr>
          <w:rStyle w:val="Fontdeparagrafimplicit"/>
          <w:b/>
        </w:rPr>
        <w:t>...R.1...</w:t>
      </w:r>
      <w:r>
        <w:rPr>
          <w:rStyle w:val="Fontdeparagrafimplicit"/>
          <w:b/>
        </w:rPr>
        <w:t xml:space="preserve"> şi </w:t>
      </w:r>
      <w:r w:rsidR="00E364BA">
        <w:rPr>
          <w:rStyle w:val="Fontdeparagrafimplicit"/>
          <w:b/>
        </w:rPr>
        <w:t>...R.2...</w:t>
      </w:r>
      <w:bookmarkEnd w:id="2"/>
      <w:r>
        <w:t xml:space="preserve">, împotriva încheierii din data de </w:t>
      </w:r>
      <w:r w:rsidR="00E364BA">
        <w:t>..................</w:t>
      </w:r>
      <w:r>
        <w:t xml:space="preserve">, pronunţată de Tribunalul </w:t>
      </w:r>
      <w:r w:rsidR="00E364BA">
        <w:t>...A...</w:t>
      </w:r>
      <w:r>
        <w:t xml:space="preserve"> - Secţia de Contencios Administrativ şi Fiscal, în dosarul nr. </w:t>
      </w:r>
      <w:r w:rsidR="00E364BA">
        <w:t>..x../.../2016</w:t>
      </w:r>
      <w:r>
        <w:t>.</w:t>
      </w:r>
    </w:p>
    <w:p w:rsidR="00B04476" w14:paraId="291D7118" w14:textId="77777777">
      <w:pPr>
        <w:ind w:firstLine="708"/>
        <w:jc w:val="both"/>
      </w:pPr>
      <w:r>
        <w:t xml:space="preserve">La apelul nominal făcut în şedinţa </w:t>
      </w:r>
      <w:bookmarkStart w:name="tip_sedinta_copie_1" w:id="3"/>
      <w:r>
        <w:t>publică</w:t>
      </w:r>
      <w:bookmarkEnd w:id="3"/>
      <w:r>
        <w:t xml:space="preserve"> au lipsit părţile.</w:t>
      </w:r>
    </w:p>
    <w:p w:rsidR="00B04476" w14:paraId="6988755E" w14:textId="77777777">
      <w:pPr>
        <w:ind w:firstLine="708"/>
        <w:jc w:val="both"/>
      </w:pPr>
      <w:r>
        <w:t xml:space="preserve">Procedura de citare este </w:t>
      </w:r>
      <w:bookmarkStart w:name="tip_procedura" w:id="4"/>
      <w:r>
        <w:t>legal</w:t>
      </w:r>
      <w:bookmarkEnd w:id="4"/>
      <w:r>
        <w:t xml:space="preserve"> îndeplinită.</w:t>
      </w:r>
    </w:p>
    <w:p w:rsidR="00B04476" w14:paraId="330B7436" w14:textId="77777777">
      <w:pPr>
        <w:ind w:firstLine="708"/>
        <w:jc w:val="both"/>
      </w:pPr>
      <w:r>
        <w:t xml:space="preserve">S-a făcut </w:t>
      </w:r>
      <w:r>
        <w:t>referatul</w:t>
      </w:r>
      <w:r>
        <w:t xml:space="preserve"> cauzei, de către </w:t>
      </w:r>
      <w:r>
        <w:t>grefier</w:t>
      </w:r>
      <w:r>
        <w:t xml:space="preserve">ul de şedinţă, învederându-se </w:t>
      </w:r>
      <w:r>
        <w:rPr>
          <w:rStyle w:val="Fontdeparagrafimplicit"/>
          <w:color w:val="000000"/>
        </w:rPr>
        <w:t xml:space="preserve">obiectul cauzei, stadiul judecăţii şi modalitatea de îndeplinire a procedurii de citare, precum şi faptul </w:t>
      </w:r>
      <w:r>
        <w:t>că recursul a fost declarat şi motivat în termenul procedural, recurenta pârâtă a solicitat judecarea cauzei în lipsă, iar intimaţii reclamanţi au depus întâmpinare, după care;</w:t>
      </w:r>
    </w:p>
    <w:p w:rsidR="00B04476" w14:paraId="59760605" w14:textId="77777777">
      <w:pPr>
        <w:ind w:firstLine="708"/>
        <w:jc w:val="both"/>
      </w:pPr>
      <w:r>
        <w:t>Constatând că nu mai sunt cereri din partea părţilor şi că recurenta pârâtă a solicitat judecarea cauzei în lipsă, instanţa reţine cauza spre soluţionare.</w:t>
      </w:r>
    </w:p>
    <w:p w:rsidR="00B04476" w14:paraId="1FD1D5D2" w14:textId="77777777">
      <w:pPr>
        <w:ind w:firstLine="708"/>
        <w:jc w:val="both"/>
      </w:pPr>
    </w:p>
    <w:p w:rsidR="00B04476" w14:paraId="50049143" w14:textId="77777777">
      <w:pPr>
        <w:jc w:val="center"/>
        <w:rPr>
          <w:rStyle w:val="Fontdeparagrafimplicit"/>
          <w:b/>
        </w:rPr>
      </w:pPr>
      <w:r>
        <w:rPr>
          <w:rStyle w:val="Fontdeparagrafimplicit"/>
          <w:b/>
        </w:rPr>
        <w:t>C U R T E A</w:t>
      </w:r>
    </w:p>
    <w:p w:rsidR="00B04476" w14:paraId="5A45851D" w14:textId="77777777">
      <w:pPr>
        <w:ind w:firstLine="708"/>
        <w:jc w:val="both"/>
      </w:pPr>
      <w:r>
        <w:t>Asupra recursului de faţă;</w:t>
      </w:r>
    </w:p>
    <w:p w:rsidR="00B04476" w14:paraId="38109834" w14:textId="4DB109F7">
      <w:pPr>
        <w:ind w:firstLine="708"/>
        <w:jc w:val="both"/>
      </w:pPr>
      <w:r>
        <w:rPr>
          <w:rStyle w:val="Fontdeparagrafimplicit"/>
          <w:b/>
        </w:rPr>
        <w:t xml:space="preserve">Prin încheierea din data de </w:t>
      </w:r>
      <w:r w:rsidR="00E364BA">
        <w:rPr>
          <w:rStyle w:val="Fontdeparagrafimplicit"/>
          <w:b/>
        </w:rPr>
        <w:t>..................</w:t>
      </w:r>
      <w:r>
        <w:rPr>
          <w:rStyle w:val="Fontdeparagrafimplicit"/>
          <w:b/>
        </w:rPr>
        <w:t xml:space="preserve">, pronunţată de Tribunalul </w:t>
      </w:r>
      <w:r w:rsidR="00E364BA">
        <w:rPr>
          <w:rStyle w:val="Fontdeparagrafimplicit"/>
          <w:b/>
        </w:rPr>
        <w:t>...A...</w:t>
      </w:r>
      <w:r>
        <w:rPr>
          <w:rStyle w:val="Fontdeparagrafimplicit"/>
          <w:b/>
        </w:rPr>
        <w:t xml:space="preserve"> - Secţia de Contencios Administrativ şi Fiscal, în dosarul nr. </w:t>
      </w:r>
      <w:r w:rsidR="00E364BA">
        <w:rPr>
          <w:rStyle w:val="Fontdeparagrafimplicit"/>
          <w:b/>
        </w:rPr>
        <w:t>..x../.../2016</w:t>
      </w:r>
      <w:r>
        <w:rPr>
          <w:rStyle w:val="Fontdeparagrafimplicit"/>
          <w:b/>
        </w:rPr>
        <w:t>,</w:t>
      </w:r>
      <w:r>
        <w:t xml:space="preserve"> a fost admisă cererea privind lămurirea dispozitivului sentinţei civile nr. </w:t>
      </w:r>
      <w:r w:rsidR="00E364BA">
        <w:t>.... din .................</w:t>
      </w:r>
      <w:r>
        <w:t xml:space="preserve"> pronunţată de Tribunalul </w:t>
      </w:r>
      <w:r w:rsidR="00E364BA">
        <w:t>...A...</w:t>
      </w:r>
      <w:r>
        <w:t xml:space="preserve"> în dosarul nr. </w:t>
      </w:r>
      <w:r w:rsidR="00E364BA">
        <w:t>..x../.../2016</w:t>
      </w:r>
      <w:r>
        <w:t xml:space="preserve"> formulată de reclamanţii </w:t>
      </w:r>
      <w:r w:rsidR="00E364BA">
        <w:t>...R.1...</w:t>
      </w:r>
      <w:r>
        <w:t xml:space="preserve"> şi </w:t>
      </w:r>
      <w:r w:rsidR="00E364BA">
        <w:t>...R.2...</w:t>
      </w:r>
      <w:r>
        <w:t xml:space="preserve">, cu domiciliul procedural ales la Casa Judeţeană de Pensii </w:t>
      </w:r>
      <w:r w:rsidR="00E364BA">
        <w:t>...A...</w:t>
      </w:r>
      <w:r>
        <w:t xml:space="preserve">, cu sediul în </w:t>
      </w:r>
      <w:r w:rsidR="00E364BA">
        <w:t>........................</w:t>
      </w:r>
      <w:r>
        <w:t xml:space="preserve">, împotriva pârâtei Casa Judeţeană de Pensii </w:t>
      </w:r>
      <w:r w:rsidR="00E364BA">
        <w:t>...A...</w:t>
      </w:r>
      <w:r>
        <w:t xml:space="preserve">, cu sediul în </w:t>
      </w:r>
      <w:r w:rsidR="00E364BA">
        <w:t>..............................</w:t>
      </w:r>
      <w:r>
        <w:t>.</w:t>
      </w:r>
    </w:p>
    <w:p w:rsidR="00B04476" w14:paraId="6FABE797" w14:textId="4C573C5C">
      <w:pPr>
        <w:ind w:firstLine="708"/>
        <w:jc w:val="both"/>
      </w:pPr>
      <w:r>
        <w:t xml:space="preserve">A lămurit dispozitivul sentinţei civile nr. </w:t>
      </w:r>
      <w:r w:rsidR="00E364BA">
        <w:t>.... din .................</w:t>
      </w:r>
      <w:r>
        <w:t xml:space="preserve"> pronunţată de Tribunalul </w:t>
      </w:r>
      <w:r w:rsidR="00E364BA">
        <w:t>...A...</w:t>
      </w:r>
      <w:r>
        <w:t xml:space="preserve"> în dosarul nr. </w:t>
      </w:r>
      <w:r w:rsidR="00E364BA">
        <w:t>..x../.../2016</w:t>
      </w:r>
      <w:r>
        <w:t xml:space="preserve"> în sensul că obligă pârâta la plata diferenţelor salariale rezultate dintre nivelul de salarizare în plată de 3519 lei şi nivelul de salarizare, acordat reclamantului </w:t>
      </w:r>
      <w:r w:rsidR="00E364BA">
        <w:t>...R.1...</w:t>
      </w:r>
      <w:r>
        <w:t xml:space="preserve">, de 3070 lei; respectiv dintre nivelul de salarizare în plată de 3328 lei şi nivelul de salarizare, acordat reclamantei </w:t>
      </w:r>
      <w:r w:rsidR="00E364BA">
        <w:t>...R.2...</w:t>
      </w:r>
      <w:r>
        <w:t xml:space="preserve">, de 2956 lei, actualizate cu rata inflaţiei până la data plăţii efective, începând cu data de 25 februarie 2013 şi până la data de 9 aprilie 2015. </w:t>
      </w:r>
    </w:p>
    <w:p w:rsidR="00B04476" w14:paraId="30E090DB" w14:textId="34BF0ADD">
      <w:pPr>
        <w:ind w:firstLine="708"/>
        <w:jc w:val="both"/>
      </w:pPr>
      <w:r>
        <w:rPr>
          <w:rStyle w:val="Fontdeparagrafimplicit"/>
          <w:b/>
        </w:rPr>
        <w:t xml:space="preserve">Împotriva încheierii din data de </w:t>
      </w:r>
      <w:r w:rsidR="00E364BA">
        <w:rPr>
          <w:rStyle w:val="Fontdeparagrafimplicit"/>
          <w:b/>
        </w:rPr>
        <w:t>..................</w:t>
      </w:r>
      <w:r>
        <w:rPr>
          <w:rStyle w:val="Fontdeparagrafimplicit"/>
          <w:b/>
        </w:rPr>
        <w:t xml:space="preserve">, pronunţată de Tribunalul </w:t>
      </w:r>
      <w:r w:rsidR="00E364BA">
        <w:rPr>
          <w:rStyle w:val="Fontdeparagrafimplicit"/>
          <w:b/>
        </w:rPr>
        <w:t>...A...</w:t>
      </w:r>
      <w:r>
        <w:rPr>
          <w:rStyle w:val="Fontdeparagrafimplicit"/>
          <w:b/>
        </w:rPr>
        <w:t xml:space="preserve"> - Secţia de Contencios Administrativ şi Fiscal, în dosarul nr. </w:t>
      </w:r>
      <w:r w:rsidR="00E364BA">
        <w:rPr>
          <w:rStyle w:val="Fontdeparagrafimplicit"/>
          <w:b/>
        </w:rPr>
        <w:t>..x../.../2016</w:t>
      </w:r>
      <w:r>
        <w:rPr>
          <w:rStyle w:val="Fontdeparagrafimplicit"/>
          <w:b/>
        </w:rPr>
        <w:t xml:space="preserve"> </w:t>
      </w:r>
      <w:r>
        <w:t xml:space="preserve">a formulat recurs pârâta Casa Judeţeană de Pensii </w:t>
      </w:r>
      <w:r w:rsidR="00E364BA">
        <w:t>...A...</w:t>
      </w:r>
      <w:r>
        <w:t>.</w:t>
      </w:r>
    </w:p>
    <w:p w:rsidR="00B04476" w14:paraId="3221E4EC" w14:textId="3362AE55">
      <w:pPr>
        <w:ind w:firstLine="708"/>
        <w:jc w:val="both"/>
      </w:pPr>
      <w:r>
        <w:t xml:space="preserve">Recurenta a formulat recurs împotriva încheierii pronunțate de Tribunalul </w:t>
      </w:r>
      <w:r w:rsidR="00E364BA">
        <w:t>...A...</w:t>
      </w:r>
      <w:r>
        <w:t xml:space="preserve"> in dosarul nr. </w:t>
      </w:r>
      <w:r w:rsidR="00E364BA">
        <w:t>..x../.../2016</w:t>
      </w:r>
      <w:r>
        <w:t xml:space="preserve"> în data de 07.11.2017 prin care a fost admisa acțiunea formulata de reclamanții </w:t>
      </w:r>
      <w:r w:rsidR="00E364BA">
        <w:t>...R.1...</w:t>
      </w:r>
      <w:r>
        <w:t xml:space="preserve"> si </w:t>
      </w:r>
      <w:r w:rsidR="00E364BA">
        <w:t>...R.2...</w:t>
      </w:r>
      <w:r>
        <w:t xml:space="preserve">, în sensul ca lămurește dispozitivul sentinței nr. </w:t>
      </w:r>
      <w:r w:rsidR="00E364BA">
        <w:t>....</w:t>
      </w:r>
      <w:r>
        <w:t>/</w:t>
      </w:r>
      <w:r w:rsidR="00E364BA">
        <w:t>..............</w:t>
      </w:r>
      <w:r>
        <w:t xml:space="preserve"> cu privire la acordarea diferențelor salariale rezultate începând cu data de 25.02.2013 până la data de 09.04.2015, avându-se in vedere salariile de 3519 lei, respectiv 3328 lei, sentința nelegala, pentru următoarele motive:</w:t>
      </w:r>
    </w:p>
    <w:p w:rsidR="00B04476" w14:paraId="5957F086" w14:textId="77777777">
      <w:pPr>
        <w:ind w:firstLine="708"/>
        <w:jc w:val="both"/>
      </w:pPr>
      <w:r>
        <w:t>In fapt, reclamanții au raporturi de serviciu cu instituția recurentă, ocupând funcția publica de execuție de consilieri juridici, gradul profesional superior.</w:t>
      </w:r>
    </w:p>
    <w:p w:rsidR="00B04476" w14:paraId="1DB326C3" w14:textId="4C4D02C3">
      <w:pPr>
        <w:ind w:firstLine="708"/>
        <w:jc w:val="both"/>
      </w:pPr>
      <w:r>
        <w:t xml:space="preserve">Urmare susținerii concursului de promovare in grad imediat superior, prin deciziile nr. </w:t>
      </w:r>
      <w:r w:rsidR="00E913B1">
        <w:t>...</w:t>
      </w:r>
      <w:r>
        <w:t xml:space="preserve">/2009 si nr. </w:t>
      </w:r>
      <w:r w:rsidR="00E913B1">
        <w:t>...</w:t>
      </w:r>
      <w:r>
        <w:t>/2009 petenții au fost promovați in funcția publica de consilieri juridici, clasa I, grad profesional superior, echivalentul treptei 3 de salarizare.</w:t>
      </w:r>
    </w:p>
    <w:p w:rsidR="00B04476" w14:paraId="7CE2D7C2" w14:textId="77777777">
      <w:pPr>
        <w:ind w:firstLine="708"/>
        <w:jc w:val="both"/>
      </w:pPr>
      <w:r>
        <w:t>In conformitate cu OUG 83/2014 privind salarizarea personalului plătit din fonduri publice in anul 2015, precum si alte masuri in domeniul cheltuielilor, cu modificările si completările ulterioare, prevede la art. 5 alin. 1 si 3 următoarele: (1) In anul 2015, pentru personalul nou încadrat pe funcții, pentru personalul numit /încadrat in aceeași instituție publica pe funcții de același fel, precum si pentru personalul promovat in funcții sau in grade/trepte, salarizarea se face la nivelul de salarizare in plata pentru funcțiile similare din instituția/autoritatea publica in care acesta este încadrat sau din instituțiile subordonate acestora, in cazul in care nu exista o funcție similara in plata.</w:t>
      </w:r>
    </w:p>
    <w:p w:rsidR="00B04476" w14:paraId="257C3446" w14:textId="77777777">
      <w:pPr>
        <w:ind w:firstLine="708"/>
        <w:jc w:val="both"/>
      </w:pPr>
      <w:r>
        <w:t>(3) In cazul funcționarilor publici nou încadrați sau promovați, nivelul de salarizare in plata pentru funcțiile similare este cel corespunzător treptei 3 de salarizare utilizate in anul 2010."</w:t>
      </w:r>
    </w:p>
    <w:p w:rsidR="00B04476" w14:paraId="28EE3294" w14:textId="77777777">
      <w:pPr>
        <w:ind w:firstLine="708"/>
        <w:jc w:val="both"/>
      </w:pPr>
      <w:r>
        <w:t>Așadar, pentru anul 2015, nivelul de salarizare al funcționarilor publici promovați in grad profesional se efectuează, potrivit dispozițiilor legale imperative in vigoare, la nivelul treptei 3 de salarizare utilizate in anul 2010.</w:t>
      </w:r>
    </w:p>
    <w:p w:rsidR="00B04476" w14:paraId="551726BD" w14:textId="77777777">
      <w:pPr>
        <w:ind w:firstLine="708"/>
        <w:jc w:val="both"/>
      </w:pPr>
      <w:r>
        <w:t>Instituția recurentă a procedat la implementarea si aplicarea acestor dispoziții legale pentru toți funcționarii publici care au promovat in grad profesional, in mod unitar.</w:t>
      </w:r>
    </w:p>
    <w:p w:rsidR="00B04476" w14:paraId="74360BBB" w14:textId="7DC50283">
      <w:pPr>
        <w:ind w:firstLine="708"/>
        <w:jc w:val="both"/>
      </w:pPr>
      <w:r>
        <w:t xml:space="preserve">Nivelul de salarizare stabilit prin deciziile nr. </w:t>
      </w:r>
      <w:r w:rsidR="00E913B1">
        <w:t>...</w:t>
      </w:r>
      <w:r>
        <w:t xml:space="preserve">/2009 si </w:t>
      </w:r>
      <w:r w:rsidR="00E913B1">
        <w:t>...</w:t>
      </w:r>
      <w:r>
        <w:t xml:space="preserve">/2009 a directorului executiv al CJP </w:t>
      </w:r>
      <w:r w:rsidR="00E364BA">
        <w:t>...A...</w:t>
      </w:r>
      <w:r>
        <w:t>, este in perfecta concordanta cu prevederile legale in vigoare la acea data.</w:t>
      </w:r>
    </w:p>
    <w:p w:rsidR="00B04476" w14:paraId="586CF46D" w14:textId="77777777">
      <w:pPr>
        <w:ind w:firstLine="708"/>
        <w:jc w:val="both"/>
      </w:pPr>
      <w:r>
        <w:t>La pct . 1 al art. 1 din Legea nr. 71/2015 a fost completat art. 1 din Ordonanța de urgenta a Guvernului nr. 83/2014, prin introducerea unui nou alineat, alin 5 ind. l. potrivit căruia prin derogare de la prevederile alin. 1 si 2 ale aceluiași articol, personalul din aparatul de lucru al Parlamentului si din celelalte instituții si autorități publice, salarizat la același nivel, precum si personalul din Cadrul Consiliului Concurentei si al Curții de Conturi, inclusiv personalul prevăzut la alt. 5 din aceste instituții, care beneficiază de un cuantum al salariilor de baza si al sporurilor mai mici decât cele stabilite la nivel maxim in cadrul aceleiași instituții sau autorități publice pentru fiecare funcție/grad/ treapta si gradație, va fi salarizat la nivelul maxim daca își desfășoară activitatea in aceleași condiții.</w:t>
      </w:r>
    </w:p>
    <w:p w:rsidR="00B04476" w14:paraId="66E9DE39" w14:textId="77777777">
      <w:pPr>
        <w:ind w:firstLine="708"/>
        <w:jc w:val="both"/>
      </w:pPr>
      <w:r>
        <w:t>Reclamanții susțin cu privire la aceste dispoziții legale ca exista o singura interpretare si anume aceea ca salarizarea la nivel maxim trebuie sa se realizeze pentru toți funcționarii publici din cadrul instituțiilor si autorităților publice, in situația in care își desfășoară activitatea in aceleași condiții.</w:t>
      </w:r>
    </w:p>
    <w:p w:rsidR="00B04476" w14:paraId="34FF2EBD" w14:textId="5C3A7A6A">
      <w:pPr>
        <w:ind w:firstLine="708"/>
        <w:jc w:val="both"/>
      </w:pPr>
      <w:r>
        <w:t xml:space="preserve">A învederat instanței faptul ca nivelul salariului funcționarilor publici este expres prevăzut de acte normative, neputând fi stabilit decât conform acestora. Având in vedere ca salariul petenților este stabilit in conformitate cu prevederile legale in vigoare, in sarcina CJP </w:t>
      </w:r>
      <w:r w:rsidR="00E364BA">
        <w:t>...A...</w:t>
      </w:r>
      <w:r>
        <w:t xml:space="preserve"> nu poate fi reținută nici o culpa cu privire la cuantumul remunerației sale ca funcționar public din aceasta instituție.</w:t>
      </w:r>
    </w:p>
    <w:p w:rsidR="00B04476" w14:paraId="3CB0D011" w14:textId="77777777">
      <w:pPr>
        <w:ind w:firstLine="708"/>
        <w:jc w:val="both"/>
      </w:pPr>
      <w:r>
        <w:t>Salariul petenților este stabilit cu respectarea prevederilor legale in vigoare la data promovării sale in gradul superior si tuturor actelor normative in vigoare ulterior promovării.</w:t>
      </w:r>
    </w:p>
    <w:p w:rsidR="00B04476" w14:paraId="662AF9FC" w14:textId="77777777">
      <w:pPr>
        <w:ind w:firstLine="708"/>
        <w:jc w:val="both"/>
      </w:pPr>
      <w:r>
        <w:t>De altfel legiuitorul a corectat aceste inechități in sistemul de salarizare prin adoptarea OUG nr. 20/08.06.2016 pentru modificarea și completarea Ordonanței de urgență a Guvernului nr. 57/2015 privind salarizarea personalului plătit din fonduri publice în anul 2016, prorogarea unor termene, precum și unele măsuri fiscal-bugetare și pentru modificarea și completarea unor acte normative.</w:t>
      </w:r>
    </w:p>
    <w:p w:rsidR="00B04476" w14:paraId="19C52246" w14:textId="77777777">
      <w:pPr>
        <w:ind w:firstLine="708"/>
        <w:jc w:val="both"/>
      </w:pPr>
      <w:r>
        <w:t>Sub acest aspect a criticat încheierea instanței cu privire la data acordării diferențelor salariale petenților.</w:t>
      </w:r>
    </w:p>
    <w:p w:rsidR="00B04476" w14:paraId="3AC09638" w14:textId="77777777">
      <w:pPr>
        <w:ind w:firstLine="708"/>
        <w:jc w:val="both"/>
      </w:pPr>
      <w:r>
        <w:t>Având in vedere motivele expuse, a solicitat admiterea recursului, iar pe fond respingerea cererii privind lămurirea dispozitivului.</w:t>
      </w:r>
    </w:p>
    <w:p w:rsidR="00B04476" w14:paraId="094FC46E" w14:textId="77777777">
      <w:pPr>
        <w:ind w:firstLine="708"/>
        <w:jc w:val="both"/>
      </w:pPr>
      <w:r>
        <w:t>In drept, recursul a fost întemeiat pe dispozițiile art. 488, pct. 8 CPC.</w:t>
      </w:r>
    </w:p>
    <w:p w:rsidR="00B04476" w14:paraId="542F5A85" w14:textId="77777777">
      <w:pPr>
        <w:ind w:firstLine="708"/>
        <w:jc w:val="both"/>
      </w:pPr>
      <w:r>
        <w:t>A solicitat judecarea cauzei si in lipsa.</w:t>
      </w:r>
    </w:p>
    <w:p w:rsidR="00B04476" w14:paraId="37B080C0" w14:textId="36BD8E7E">
      <w:pPr>
        <w:ind w:firstLine="708"/>
        <w:jc w:val="both"/>
      </w:pPr>
      <w:r>
        <w:t xml:space="preserve">La data de 13.02.2018 intimaţii reclamanţi </w:t>
      </w:r>
      <w:r w:rsidR="00E364BA">
        <w:rPr>
          <w:rStyle w:val="Fontdeparagrafimplicit"/>
          <w:b/>
        </w:rPr>
        <w:t>...R.1...</w:t>
      </w:r>
      <w:r>
        <w:rPr>
          <w:rStyle w:val="Fontdeparagrafimplicit"/>
          <w:b/>
        </w:rPr>
        <w:t xml:space="preserve"> şi </w:t>
      </w:r>
      <w:r w:rsidR="00E364BA">
        <w:rPr>
          <w:rStyle w:val="Fontdeparagrafimplicit"/>
          <w:b/>
        </w:rPr>
        <w:t>...R.2...</w:t>
      </w:r>
      <w:r>
        <w:t xml:space="preserve"> a formulat </w:t>
      </w:r>
      <w:r>
        <w:rPr>
          <w:rStyle w:val="Fontdeparagrafimplicit"/>
          <w:b/>
        </w:rPr>
        <w:t>întâmpinare</w:t>
      </w:r>
      <w:r>
        <w:t xml:space="preserve"> prin care a solicitat respingerea recursului şi menţinerea ca legală şi temeinică a instanţei pronunţate de instanţa de fond.</w:t>
      </w:r>
      <w:r>
        <w:tab/>
      </w:r>
    </w:p>
    <w:p w:rsidR="00B04476" w14:paraId="094816D3" w14:textId="77777777">
      <w:pPr>
        <w:ind w:firstLine="708"/>
        <w:jc w:val="both"/>
        <w:rPr>
          <w:rStyle w:val="Fontdeparagrafimplicit"/>
          <w:b/>
        </w:rPr>
      </w:pPr>
      <w:r>
        <w:rPr>
          <w:rStyle w:val="Fontdeparagrafimplicit"/>
          <w:b/>
        </w:rPr>
        <w:t>Examinând recursul prin prisma motivelor formulate şi dispoziţiilor legale incidente în cauză, Curtea constată următoarele:</w:t>
      </w:r>
    </w:p>
    <w:p w:rsidR="00B04476" w14:paraId="2DA064A9" w14:textId="4605215D">
      <w:pPr>
        <w:pStyle w:val="CharChar1CaracterCaracterCharChar"/>
        <w:jc w:val="both"/>
        <w:rPr>
          <w:rStyle w:val="Fontdeparagrafimplicit"/>
          <w:sz w:val="24"/>
        </w:rPr>
      </w:pPr>
      <w:r>
        <w:rPr>
          <w:rStyle w:val="Fontdeparagrafimplicit"/>
          <w:sz w:val="24"/>
        </w:rPr>
        <w:tab/>
        <w:t>Ansamblul criticilor formulate de către recurentă vizează modul în care instanța de fond a pronunțat sentința inițială nr.</w:t>
      </w:r>
      <w:r w:rsidR="00E913B1">
        <w:rPr>
          <w:rStyle w:val="Fontdeparagrafimplicit"/>
          <w:sz w:val="24"/>
        </w:rPr>
        <w:t>....</w:t>
      </w:r>
      <w:r>
        <w:rPr>
          <w:rStyle w:val="Fontdeparagrafimplicit"/>
          <w:sz w:val="24"/>
        </w:rPr>
        <w:t xml:space="preserve"> din </w:t>
      </w:r>
      <w:r w:rsidR="00E913B1">
        <w:rPr>
          <w:rStyle w:val="Fontdeparagrafimplicit"/>
          <w:sz w:val="24"/>
        </w:rPr>
        <w:t>..............</w:t>
      </w:r>
      <w:r>
        <w:rPr>
          <w:rStyle w:val="Fontdeparagrafimplicit"/>
          <w:sz w:val="24"/>
        </w:rPr>
        <w:t xml:space="preserve"> pronunțată în dosarul nr.</w:t>
      </w:r>
      <w:r w:rsidR="00E364BA">
        <w:rPr>
          <w:rStyle w:val="Fontdeparagrafimplicit"/>
          <w:sz w:val="24"/>
        </w:rPr>
        <w:t>..x../.../2016</w:t>
      </w:r>
      <w:r>
        <w:rPr>
          <w:rStyle w:val="Fontdeparagrafimplicit"/>
          <w:sz w:val="24"/>
        </w:rPr>
        <w:t xml:space="preserve"> al Tribunalului </w:t>
      </w:r>
      <w:r w:rsidR="00E364BA">
        <w:rPr>
          <w:rStyle w:val="Fontdeparagrafimplicit"/>
          <w:sz w:val="24"/>
        </w:rPr>
        <w:t>...A...</w:t>
      </w:r>
      <w:r>
        <w:rPr>
          <w:rStyle w:val="Fontdeparagrafimplicit"/>
          <w:sz w:val="24"/>
        </w:rPr>
        <w:t>, acestea vizând aplicabilitatea actelor normative succesive în materia salarizării precum și data de la care au fost acordate aceste drepturi reclamanților, și nu modul în care instanța de fond a soluționat cererea de lămurire a dispozitivului acestei sentințe.</w:t>
      </w:r>
    </w:p>
    <w:p w:rsidR="00B04476" w14:paraId="7D427039" w14:textId="2D6B7323">
      <w:pPr>
        <w:pStyle w:val="CharChar1CaracterCaracterCharChar"/>
        <w:ind w:firstLine="708"/>
        <w:jc w:val="both"/>
        <w:rPr>
          <w:rStyle w:val="Fontdeparagrafimplicit"/>
          <w:sz w:val="24"/>
        </w:rPr>
      </w:pPr>
      <w:r>
        <w:rPr>
          <w:rStyle w:val="Fontdeparagrafimplicit"/>
          <w:sz w:val="24"/>
        </w:rPr>
        <w:t>Sub acest aspect, curtea constată că cele stabilite în mod irevocabil prin sentința nr.</w:t>
      </w:r>
      <w:r w:rsidR="006912D3">
        <w:rPr>
          <w:rStyle w:val="Fontdeparagrafimplicit"/>
          <w:sz w:val="24"/>
        </w:rPr>
        <w:t>....</w:t>
      </w:r>
      <w:r>
        <w:rPr>
          <w:rStyle w:val="Fontdeparagrafimplicit"/>
          <w:sz w:val="24"/>
        </w:rPr>
        <w:t xml:space="preserve"> din </w:t>
      </w:r>
      <w:r w:rsidR="006912D3">
        <w:rPr>
          <w:rStyle w:val="Fontdeparagrafimplicit"/>
          <w:sz w:val="24"/>
        </w:rPr>
        <w:t>..............</w:t>
      </w:r>
      <w:r>
        <w:rPr>
          <w:rStyle w:val="Fontdeparagrafimplicit"/>
          <w:sz w:val="24"/>
        </w:rPr>
        <w:t xml:space="preserve"> pronunțată în dosarul nr.</w:t>
      </w:r>
      <w:r w:rsidR="00E364BA">
        <w:rPr>
          <w:rStyle w:val="Fontdeparagrafimplicit"/>
          <w:sz w:val="24"/>
        </w:rPr>
        <w:t>..x../.../2016</w:t>
      </w:r>
      <w:r>
        <w:rPr>
          <w:rStyle w:val="Fontdeparagrafimplicit"/>
          <w:sz w:val="24"/>
        </w:rPr>
        <w:t xml:space="preserve"> al Tribunalului </w:t>
      </w:r>
      <w:r w:rsidR="00E364BA">
        <w:rPr>
          <w:rStyle w:val="Fontdeparagrafimplicit"/>
          <w:sz w:val="24"/>
        </w:rPr>
        <w:t>...A...</w:t>
      </w:r>
      <w:r>
        <w:rPr>
          <w:rStyle w:val="Fontdeparagrafimplicit"/>
          <w:sz w:val="24"/>
        </w:rPr>
        <w:t xml:space="preserve"> au intrat în puterea lucrului judecat și nu mai pot fi puse în discuție ulterior, fiind examinat doar modul în care instanța de fond a soluționat cererea de lămurire a dispozitivului acestei sentințe.</w:t>
      </w:r>
    </w:p>
    <w:p w:rsidR="00B04476" w14:paraId="78D829D3" w14:textId="7BF5B2B3">
      <w:pPr>
        <w:pStyle w:val="CharChar1CaracterCaracterCharChar"/>
        <w:ind w:firstLine="708"/>
        <w:jc w:val="both"/>
        <w:rPr>
          <w:rStyle w:val="Fontdeparagrafimplicit"/>
          <w:sz w:val="24"/>
        </w:rPr>
      </w:pPr>
      <w:r>
        <w:rPr>
          <w:rStyle w:val="Fontdeparagrafimplicit"/>
          <w:sz w:val="24"/>
        </w:rPr>
        <w:t xml:space="preserve">În acest sens, se poate observa că soluția pronunțată în cererea de lămurire a dispozitivului este atât legală deoarece au fost avute în vedere dispozițiile art.443 din c.p.c., cât și temeinică în condițiile în care instanța de fond a avut în vedere la soluționarea ei elemente existente la dosar referitoare la aplicabilitatea legislației comunitare în materie, instituția prescripției cât și conținutul adresei nr. </w:t>
      </w:r>
      <w:r w:rsidR="006912D3">
        <w:rPr>
          <w:rStyle w:val="Fontdeparagrafimplicit"/>
          <w:sz w:val="24"/>
        </w:rPr>
        <w:t>.........</w:t>
      </w:r>
      <w:r>
        <w:rPr>
          <w:rStyle w:val="Fontdeparagrafimplicit"/>
          <w:sz w:val="24"/>
        </w:rPr>
        <w:t>/12.05.2016 emisă de pârâtă în ceea ce privește drepturile salariale ale reclamanților și data acordării acestora.</w:t>
      </w:r>
    </w:p>
    <w:p w:rsidR="00B04476" w14:paraId="17C96BE1" w14:textId="77777777">
      <w:pPr>
        <w:pStyle w:val="CharChar1CaracterCaracterCharChar"/>
        <w:ind w:firstLine="708"/>
        <w:jc w:val="both"/>
        <w:rPr>
          <w:rStyle w:val="Fontdeparagrafimplicit"/>
          <w:sz w:val="24"/>
        </w:rPr>
      </w:pPr>
      <w:r>
        <w:rPr>
          <w:rStyle w:val="Fontdeparagrafimplicit"/>
          <w:sz w:val="24"/>
        </w:rPr>
        <w:t>Având în vedere considerațiile expuse anterior din care nu rezultă existența în cauză a motivului de casare prevăzut de art.488 alin.1 pct.8 din c.p.c., în baza art.498 din c.p.c. va fi respins recursul formulat de către pârâtă.</w:t>
      </w:r>
    </w:p>
    <w:p w:rsidR="00B04476" w14:paraId="253C63B1" w14:textId="77777777">
      <w:pPr>
        <w:rPr>
          <w:rStyle w:val="Fontdeparagrafimplicit"/>
          <w:b/>
        </w:rPr>
      </w:pPr>
    </w:p>
    <w:p w:rsidR="00B04476" w14:paraId="18C945AF" w14:textId="77777777">
      <w:pPr>
        <w:jc w:val="center"/>
        <w:rPr>
          <w:rStyle w:val="Fontdeparagrafimplicit"/>
          <w:b/>
        </w:rPr>
      </w:pPr>
      <w:r>
        <w:rPr>
          <w:rStyle w:val="Fontdeparagrafimplicit"/>
          <w:b/>
        </w:rPr>
        <w:t>PENTRU ACESTE MOTIVE,</w:t>
      </w:r>
      <w:r>
        <w:rPr>
          <w:rStyle w:val="Fontdeparagrafimplicit"/>
          <w:b/>
        </w:rPr>
        <w:br/>
        <w:t>ÎN NUMELE LEGII</w:t>
      </w:r>
    </w:p>
    <w:p w:rsidR="00B04476" w14:paraId="7C830FE1" w14:textId="77777777">
      <w:pPr>
        <w:jc w:val="center"/>
        <w:rPr>
          <w:rStyle w:val="Fontdeparagrafimplicit"/>
          <w:b/>
        </w:rPr>
      </w:pPr>
      <w:r>
        <w:rPr>
          <w:rStyle w:val="Fontdeparagrafimplicit"/>
          <w:b/>
        </w:rPr>
        <w:t>D E C I D E</w:t>
      </w:r>
    </w:p>
    <w:p w:rsidR="00B04476" w14:paraId="4B052B9D" w14:textId="77777777">
      <w:pPr>
        <w:jc w:val="center"/>
        <w:rPr>
          <w:rStyle w:val="Fontdeparagrafimplicit"/>
          <w:b/>
        </w:rPr>
      </w:pPr>
    </w:p>
    <w:p w:rsidR="00B04476" w14:paraId="20671010" w14:textId="34B3F4CD">
      <w:pPr>
        <w:ind w:firstLine="708"/>
        <w:jc w:val="both"/>
      </w:pPr>
      <w:r>
        <w:t xml:space="preserve">Respinge recursul formulat de recurenta pârâtă </w:t>
      </w:r>
      <w:r>
        <w:rPr>
          <w:rStyle w:val="Fontdeparagrafimplicit"/>
          <w:b/>
        </w:rPr>
        <w:t xml:space="preserve">Casa Judeţeană de Pensii </w:t>
      </w:r>
      <w:r w:rsidR="00E364BA">
        <w:rPr>
          <w:rStyle w:val="Fontdeparagrafimplicit"/>
          <w:b/>
        </w:rPr>
        <w:t>...A...</w:t>
      </w:r>
      <w:r>
        <w:t xml:space="preserve">, cu sediul în </w:t>
      </w:r>
      <w:r w:rsidR="00E364BA">
        <w:t>.................................</w:t>
      </w:r>
      <w:r>
        <w:t xml:space="preserve">, în contradictoriu cu intimaţii reclamanţi </w:t>
      </w:r>
      <w:r w:rsidR="00E364BA">
        <w:rPr>
          <w:rStyle w:val="Fontdeparagrafimplicit"/>
          <w:b/>
        </w:rPr>
        <w:t>...R.1...</w:t>
      </w:r>
      <w:r>
        <w:rPr>
          <w:rStyle w:val="Fontdeparagrafimplicit"/>
          <w:b/>
        </w:rPr>
        <w:t xml:space="preserve"> şi </w:t>
      </w:r>
      <w:r w:rsidR="00E364BA">
        <w:rPr>
          <w:rStyle w:val="Fontdeparagrafimplicit"/>
          <w:b/>
        </w:rPr>
        <w:t>...R.2...</w:t>
      </w:r>
      <w:r>
        <w:t xml:space="preserve">, ambii cu domiciliul procesual ales la Casa Judeţeană de Pensii, cu sediul în </w:t>
      </w:r>
      <w:r w:rsidR="00E364BA">
        <w:t>.....................................</w:t>
      </w:r>
      <w:r>
        <w:t xml:space="preserve">, împotriva încheierii din data de </w:t>
      </w:r>
      <w:r w:rsidR="00E364BA">
        <w:t>..................</w:t>
      </w:r>
      <w:r>
        <w:t xml:space="preserve">, pronunţată de Tribunalul </w:t>
      </w:r>
      <w:r w:rsidR="00E364BA">
        <w:t>...A...</w:t>
      </w:r>
      <w:r>
        <w:t xml:space="preserve"> - Secţia de Contencios Administrativ şi Fiscal, în dosarul nr. </w:t>
      </w:r>
      <w:r w:rsidR="00E364BA">
        <w:t>..x../.../2016</w:t>
      </w:r>
      <w:r>
        <w:t>.</w:t>
      </w:r>
    </w:p>
    <w:p w:rsidR="00B04476" w14:paraId="2CDFEA1D" w14:textId="77777777">
      <w:r>
        <w:tab/>
        <w:t>Definitivă.</w:t>
      </w:r>
    </w:p>
    <w:p w:rsidR="00B04476" w14:paraId="25252C22" w14:textId="15588C2B">
      <w:pPr>
        <w:ind w:firstLine="708"/>
      </w:pPr>
      <w:r>
        <w:t xml:space="preserve">Pronunţată în şedinţa </w:t>
      </w:r>
      <w:bookmarkStart w:name="tip_sedinta_copie_2" w:id="5"/>
      <w:r>
        <w:t>publică</w:t>
      </w:r>
      <w:bookmarkEnd w:id="5"/>
      <w:r>
        <w:t xml:space="preserve"> de la </w:t>
      </w:r>
      <w:r w:rsidR="00E364BA">
        <w:t>...............</w:t>
      </w:r>
      <w:r>
        <w:t xml:space="preserve">, la sediul Curţii de Apel </w:t>
      </w:r>
      <w:r w:rsidR="00E364BA">
        <w:t>...............</w:t>
      </w:r>
      <w:r>
        <w:t xml:space="preserve">. </w:t>
      </w:r>
    </w:p>
    <w:p w:rsidR="00B04476" w14:paraId="1E1AE6C6" w14:textId="77777777"/>
    <w:p w:rsidR="00B04476" w14:paraId="09140C48" w14:textId="77777777">
      <w:pPr>
        <w:jc w:val="center"/>
        <w:rPr>
          <w:rStyle w:val="Fontdeparagrafimplicit"/>
          <w:b/>
        </w:rPr>
      </w:pPr>
      <w:bookmarkStart w:name="completul_1" w:id="6"/>
      <w:r>
        <w:rPr>
          <w:rStyle w:val="Fontdeparagrafimplicit"/>
          <w:b/>
        </w:rPr>
      </w:r>
      <w:r>
        <w:rPr>
          <w:rStyle w:val="Fontdeparagrafimplicit"/>
        </w:rPr>
      </w:r>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6"/>
        <w:gridCol w:w="3096"/>
      </w:tblGrid>
      <w:tr w14:paraId="56567525" w14:textId="77777777">
        <w:tblPrEx>
          <w:tblW w:w="0" w:type="auto"/>
          <w:tblLook w:val="04A0"/>
        </w:tblPrEx>
        <w:tc>
          <w:tcPr>
            <w:tcW w:w="3096" w:type="dxa"/>
          </w:tcPr>
          <w:p w:rsidR="00B04476" w14:paraId="6127CB2B" w14:textId="77777777">
            <w:pPr>
              <w:jc w:val="center"/>
              <w:rPr>
                <w:rStyle w:val="Fontdeparagrafimplicit"/>
                <w:b/>
              </w:rPr>
            </w:pPr>
            <w:r>
              <w:rPr>
                <w:rStyle w:val="Fontdeparagrafimplicit"/>
                <w:b/>
              </w:rPr>
              <w:t>Preşedinte,</w:t>
            </w:r>
          </w:p>
          <w:p w:rsidR="00B04476" w14:paraId="4EAA267C" w14:textId="3A24562D">
            <w:pPr>
              <w:jc w:val="center"/>
              <w:rPr>
                <w:rStyle w:val="Fontdeparagrafimplicit"/>
                <w:b/>
              </w:rPr>
            </w:pPr>
            <w:r>
              <w:rPr>
                <w:rStyle w:val="Fontdeparagrafimplicit"/>
                <w:b/>
              </w:rPr>
              <w:t>...............</w:t>
            </w:r>
          </w:p>
        </w:tc>
        <w:tc>
          <w:tcPr>
            <w:tcW w:w="3096" w:type="dxa"/>
          </w:tcPr>
          <w:p w:rsidR="00B04476" w14:paraId="7093322B" w14:textId="77777777">
            <w:pPr>
              <w:jc w:val="center"/>
              <w:rPr>
                <w:rStyle w:val="Fontdeparagrafimplicit"/>
                <w:b/>
              </w:rPr>
            </w:pPr>
            <w:r>
              <w:rPr>
                <w:rStyle w:val="Fontdeparagrafimplicit"/>
                <w:b/>
              </w:rPr>
              <w:t>Judecător,</w:t>
            </w:r>
          </w:p>
          <w:p w:rsidR="00B04476" w14:paraId="59F894A1" w14:textId="25E31A73">
            <w:pPr>
              <w:jc w:val="center"/>
              <w:rPr>
                <w:rStyle w:val="Fontdeparagrafimplicit"/>
                <w:b/>
              </w:rPr>
            </w:pPr>
            <w:r>
              <w:rPr>
                <w:rStyle w:val="Fontdeparagrafimplicit"/>
                <w:b/>
              </w:rPr>
              <w:t>...............</w:t>
            </w:r>
          </w:p>
        </w:tc>
        <w:tc>
          <w:tcPr>
            <w:tcW w:w="3096" w:type="dxa"/>
          </w:tcPr>
          <w:p w:rsidR="00B04476" w14:paraId="306ACBD1" w14:textId="77777777">
            <w:pPr>
              <w:jc w:val="center"/>
              <w:rPr>
                <w:rStyle w:val="Fontdeparagrafimplicit"/>
                <w:b/>
              </w:rPr>
            </w:pPr>
            <w:r>
              <w:rPr>
                <w:rStyle w:val="Fontdeparagrafimplicit"/>
                <w:b/>
              </w:rPr>
              <w:t>Judecător,</w:t>
            </w:r>
          </w:p>
          <w:p w:rsidR="00B04476" w14:paraId="0C19D6EA" w14:textId="1BF5E79A">
            <w:pPr>
              <w:jc w:val="center"/>
              <w:rPr>
                <w:rStyle w:val="Fontdeparagrafimplicit"/>
                <w:b/>
              </w:rPr>
            </w:pPr>
            <w:r>
              <w:rPr>
                <w:rStyle w:val="Fontdeparagrafimplicit"/>
                <w:b/>
              </w:rPr>
              <w:t>A0001</w:t>
            </w:r>
          </w:p>
        </w:tc>
      </w:tr>
      <w:tr w14:paraId="28734C75" w14:textId="77777777">
        <w:tblPrEx>
          <w:tblW w:w="0" w:type="auto"/>
          <w:tblLook w:val="04A0"/>
        </w:tblPrEx>
        <w:tc>
          <w:tcPr>
            <w:tcW w:w="3096" w:type="dxa"/>
          </w:tcPr>
          <w:p w:rsidR="00B04476" w14:paraId="4DD8F7BD" w14:textId="77777777">
            <w:pPr>
              <w:jc w:val="center"/>
              <w:rPr>
                <w:rStyle w:val="Fontdeparagrafimplicit"/>
                <w:b/>
              </w:rPr>
            </w:pPr>
          </w:p>
        </w:tc>
        <w:tc>
          <w:tcPr>
            <w:tcW w:w="3096" w:type="dxa"/>
          </w:tcPr>
          <w:p w:rsidR="00B04476" w14:paraId="17A4EBB3" w14:textId="77777777">
            <w:pPr>
              <w:jc w:val="center"/>
              <w:rPr>
                <w:rStyle w:val="Fontdeparagrafimplicit"/>
                <w:b/>
              </w:rPr>
            </w:pPr>
            <w:r>
              <w:rPr>
                <w:rStyle w:val="Fontdeparagrafimplicit"/>
                <w:b/>
              </w:rPr>
              <w:t>Grefier,</w:t>
            </w:r>
          </w:p>
          <w:p w:rsidR="00B04476" w14:paraId="2CF2E3EE" w14:textId="77BE2782">
            <w:pPr>
              <w:jc w:val="center"/>
              <w:rPr>
                <w:rStyle w:val="Fontdeparagrafimplicit"/>
                <w:b/>
              </w:rPr>
            </w:pPr>
            <w:r>
              <w:rPr>
                <w:rStyle w:val="Fontdeparagrafimplicit"/>
                <w:b/>
              </w:rPr>
              <w:t>...............</w:t>
            </w:r>
          </w:p>
        </w:tc>
        <w:tc>
          <w:tcPr>
            <w:tcW w:w="3096" w:type="dxa"/>
          </w:tcPr>
          <w:p w:rsidR="00B04476" w14:paraId="7D1EFA3F" w14:textId="77777777">
            <w:pPr>
              <w:jc w:val="center"/>
              <w:rPr>
                <w:rStyle w:val="Fontdeparagrafimplicit"/>
                <w:b/>
              </w:rPr>
            </w:pPr>
          </w:p>
        </w:tc>
      </w:tr>
    </w:tbl>
    <w:p w:rsidR="00B04476" w14:paraId="6A48EADC" w14:textId="77777777">
      <w:pPr>
        <w:jc w:val="center"/>
        <w:rPr>
          <w:rStyle w:val="Fontdeparagrafimplicit"/>
        </w:rPr>
      </w:pPr>
      <w:r>
        <w:rPr>
          <w:rStyle w:val="Fontdeparagrafimplicit"/>
          <w:b/>
        </w:rPr>
      </w:r>
      <w:bookmarkEnd w:id="6"/>
    </w:p>
    <w:p w:rsidR="00B04476" w14:paraId="0A66E945" w14:textId="77777777">
      <w:pPr>
        <w:jc w:val="center"/>
        <w:rPr>
          <w:rStyle w:val="Fontdeparagrafimplicit"/>
        </w:rPr>
      </w:pPr>
    </w:p>
    <w:p w:rsidR="00B04476" w14:paraId="290FAC66" w14:textId="2BCAF147">
      <w:pPr>
        <w:rPr>
          <w:rStyle w:val="Fontdeparagrafimplicit"/>
          <w:sz w:val="20"/>
        </w:rPr>
      </w:pPr>
      <w:r>
        <w:rPr>
          <w:rStyle w:val="Fontdeparagrafimplicit"/>
          <w:sz w:val="20"/>
        </w:rPr>
        <w:t xml:space="preserve">Red. jud. </w:t>
      </w:r>
      <w:r w:rsidR="00E364BA">
        <w:rPr>
          <w:rStyle w:val="Fontdeparagrafimplicit"/>
          <w:sz w:val="20"/>
        </w:rPr>
        <w:t>A0001</w:t>
      </w:r>
      <w:r>
        <w:rPr>
          <w:rStyle w:val="Fontdeparagrafimplicit"/>
          <w:sz w:val="20"/>
        </w:rPr>
        <w:t>/</w:t>
      </w:r>
      <w:r w:rsidR="00E364BA">
        <w:rPr>
          <w:rStyle w:val="Fontdeparagrafimplicit"/>
          <w:sz w:val="20"/>
        </w:rPr>
        <w:t>.......</w:t>
      </w:r>
    </w:p>
    <w:p w:rsidR="00B04476" w14:paraId="59557E99" w14:textId="3F7A8384">
      <w:pPr>
        <w:rPr>
          <w:rStyle w:val="Fontdeparagrafimplicit"/>
          <w:sz w:val="20"/>
        </w:rPr>
      </w:pPr>
      <w:r>
        <w:rPr>
          <w:rStyle w:val="Fontdeparagrafimplicit"/>
          <w:sz w:val="20"/>
        </w:rPr>
        <w:t>Tehnored.</w:t>
      </w:r>
      <w:r w:rsidR="00E364BA">
        <w:rPr>
          <w:rStyle w:val="Fontdeparagrafimplicit"/>
          <w:sz w:val="20"/>
        </w:rPr>
        <w:t>....</w:t>
      </w:r>
      <w:r>
        <w:rPr>
          <w:rStyle w:val="Fontdeparagrafimplicit"/>
          <w:sz w:val="20"/>
        </w:rPr>
        <w:t>./5 ex.</w:t>
      </w:r>
    </w:p>
    <w:p w:rsidR="00B04476" w14:paraId="3FE6A09A" w14:textId="4D555543">
      <w:pPr>
        <w:rPr>
          <w:rStyle w:val="Fontdeparagrafimplicit"/>
        </w:rPr>
      </w:pPr>
      <w:r>
        <w:rPr>
          <w:rStyle w:val="Fontdeparagrafimplicit"/>
          <w:sz w:val="20"/>
        </w:rPr>
        <w:t xml:space="preserve">Jud.fond. </w:t>
      </w:r>
      <w:r w:rsidR="00E364BA">
        <w:rPr>
          <w:rStyle w:val="Fontdeparagrafimplicit"/>
          <w:sz w:val="20"/>
        </w:rPr>
        <w:t>........</w:t>
      </w:r>
    </w:p>
    <w:sectPr>
      <w:footerReference w:type="default" r:id="rId4"/>
      <w:pgSz w:w="11906" w:h="16838"/>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04476" w14:paraId="49E9D1B5" w14:textId="77777777">
    <w:pPr>
      <w:pStyle w:val="Subsol"/>
      <w:jc w:val="center"/>
    </w:pPr>
    <w:r>
      <w:fldChar w:fldCharType="begin"/>
    </w:r>
    <w:r>
      <w:instrText>PAGE   \* MERGEFORMAT</w:instrText>
    </w:r>
    <w:r>
      <w:fldChar w:fldCharType="separate"/>
    </w:r>
    <w:r>
      <w:t>#</w:t>
    </w:r>
    <w:r>
      <w:fldChar w:fldCharType="end"/>
    </w:r>
  </w:p>
  <w:p w:rsidR="00B04476" w14:paraId="2A1ED92F"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476"/>
    <w:rsid w:val="006912D3"/>
    <w:rsid w:val="00762C75"/>
    <w:rsid w:val="00941B73"/>
    <w:rsid w:val="00B04476"/>
    <w:rsid w:val="00CF318B"/>
    <w:rsid w:val="00E364BA"/>
    <w:rsid w:val="00E913B1"/>
  </w:rsids>
  <w:docVars>
    <w:docVar w:name="url" w:val="http://10.19.48.53:80/ecris_cdms/document_upload.aspx?id_document=5400000001164906&amp;id_departament=5&amp;id_sesiune=1418189&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2EE4E17C"/>
  <w15:docId w15:val="{5A496279-5CA0-4EDB-869F-502DD8737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harChar1CaracterCaracterCharChar">
    <w:name w:val="Char Char1 Caracter Caracter Char Char"/>
    <w:basedOn w:val="Normal"/>
    <w:rPr>
      <w:sz w:val="20"/>
      <w:lang w:val="pl-PL"/>
    </w:r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23</ap:TotalTime>
  <ap:Pages>3</ap:Pages>
  <ap:Words>1551</ap:Words>
  <ap:Characters>8997</ap:Characters>
  <ap:Application>Microsoft Office Word</ap:Application>
  <ap:DocSecurity>0</ap:DocSecurity>
  <ap:Lines>74</ap:Lines>
  <ap:Paragraphs>21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10527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