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904A5E" w:rsidR="00904A5E" w:rsidP="00A766B0">
      <w:pPr>
        <w:ind w:firstLine="993"/>
        <w:rPr>
          <w:b/>
          <w:bCs/>
        </w:rPr>
      </w:pPr>
      <w:r w:rsidRPr="00904A5E">
        <w:rPr>
          <w:b/>
          <w:bCs/>
        </w:rPr>
        <w:t>Hot. 23</w:t>
      </w:r>
    </w:p>
    <w:p w:rsidRPr="00A766B0" w:rsidR="00A766B0" w:rsidP="00A766B0">
      <w:pPr>
        <w:ind w:firstLine="993"/>
      </w:pPr>
      <w:r w:rsidRPr="00A766B0">
        <w:t>Cod ECLI    ECLI:RO:</w:t>
      </w:r>
      <w:r w:rsidR="00904A5E">
        <w:t>..................................</w:t>
      </w:r>
    </w:p>
    <w:p w:rsidRPr="00A766B0" w:rsidR="00A766B0" w:rsidP="00A766B0">
      <w:pPr>
        <w:ind w:firstLine="993"/>
        <w:jc w:val="both"/>
        <w:rPr>
          <w:b/>
        </w:rPr>
      </w:pPr>
    </w:p>
    <w:p w:rsidRPr="00A766B0" w:rsidR="00A766B0" w:rsidP="00A766B0">
      <w:pPr>
        <w:ind w:firstLine="993"/>
        <w:jc w:val="both"/>
        <w:rPr>
          <w:bCs/>
        </w:rPr>
      </w:pPr>
      <w:r w:rsidRPr="00A766B0">
        <w:rPr>
          <w:bCs/>
        </w:rPr>
        <w:t xml:space="preserve">Dosar nr. </w:t>
      </w:r>
      <w:r w:rsidR="00904A5E">
        <w:rPr>
          <w:bCs/>
        </w:rPr>
        <w:t>...........</w:t>
      </w:r>
    </w:p>
    <w:p w:rsidRPr="00A766B0" w:rsidR="00A766B0" w:rsidP="00A766B0">
      <w:pPr>
        <w:tabs>
          <w:tab w:val="left" w:pos="0"/>
        </w:tabs>
        <w:ind w:firstLine="993"/>
        <w:jc w:val="center"/>
        <w:rPr>
          <w:bCs/>
        </w:rPr>
      </w:pPr>
      <w:r w:rsidRPr="00A766B0">
        <w:rPr>
          <w:bCs/>
        </w:rPr>
        <w:t>ROMÂNIA</w:t>
      </w:r>
    </w:p>
    <w:p w:rsidRPr="00A766B0" w:rsidR="00A766B0" w:rsidP="00A766B0">
      <w:pPr>
        <w:tabs>
          <w:tab w:val="left" w:pos="0"/>
        </w:tabs>
        <w:ind w:firstLine="993"/>
        <w:jc w:val="center"/>
        <w:rPr>
          <w:bCs/>
        </w:rPr>
      </w:pPr>
      <w:r w:rsidRPr="00A766B0">
        <w:rPr>
          <w:bCs/>
        </w:rPr>
        <w:t xml:space="preserve">CURTEA DE APEL </w:t>
      </w:r>
      <w:r w:rsidR="00904A5E">
        <w:rPr>
          <w:bCs/>
        </w:rPr>
        <w:t>...........</w:t>
      </w:r>
    </w:p>
    <w:p w:rsidRPr="00A766B0" w:rsidR="00A766B0" w:rsidP="00A766B0">
      <w:pPr>
        <w:tabs>
          <w:tab w:val="left" w:pos="0"/>
        </w:tabs>
        <w:ind w:firstLine="993"/>
        <w:jc w:val="center"/>
        <w:rPr>
          <w:bCs/>
        </w:rPr>
      </w:pPr>
      <w:r w:rsidRPr="00A766B0">
        <w:rPr>
          <w:bCs/>
        </w:rPr>
        <w:t xml:space="preserve">SECŢIA A </w:t>
      </w:r>
      <w:r w:rsidR="00904A5E">
        <w:rPr>
          <w:bCs/>
        </w:rPr>
        <w:t>...........</w:t>
      </w:r>
      <w:r w:rsidRPr="00A766B0">
        <w:rPr>
          <w:bCs/>
        </w:rPr>
        <w:t>CONTENCIOS ADMINISTRATIV ŞI FISCAL</w:t>
      </w:r>
    </w:p>
    <w:p w:rsidRPr="00A766B0" w:rsidR="00A766B0" w:rsidP="00A766B0">
      <w:pPr>
        <w:keepNext/>
        <w:tabs>
          <w:tab w:val="left" w:pos="0"/>
        </w:tabs>
        <w:ind w:firstLine="993"/>
        <w:jc w:val="center"/>
        <w:outlineLvl w:val="1"/>
        <w:rPr>
          <w:b/>
        </w:rPr>
      </w:pPr>
      <w:r w:rsidRPr="00A766B0">
        <w:rPr>
          <w:b/>
        </w:rPr>
        <w:t xml:space="preserve">DECIZIA CIVILĂ NR. </w:t>
      </w:r>
      <w:r w:rsidR="00904A5E">
        <w:rPr>
          <w:b/>
        </w:rPr>
        <w:t>...........</w:t>
      </w:r>
    </w:p>
    <w:p w:rsidRPr="00A766B0" w:rsidR="00A766B0" w:rsidP="00A766B0">
      <w:pPr>
        <w:tabs>
          <w:tab w:val="left" w:pos="0"/>
        </w:tabs>
        <w:ind w:firstLine="993"/>
        <w:jc w:val="center"/>
        <w:rPr>
          <w:b/>
        </w:rPr>
      </w:pPr>
      <w:r w:rsidRPr="00A766B0">
        <w:rPr>
          <w:b/>
        </w:rPr>
        <w:t xml:space="preserve">Şedinţa publică din data de </w:t>
      </w:r>
      <w:r w:rsidR="00904A5E">
        <w:rPr>
          <w:b/>
        </w:rPr>
        <w:t>...........</w:t>
      </w:r>
      <w:r w:rsidRPr="00A766B0">
        <w:rPr>
          <w:b/>
        </w:rPr>
        <w:t>2025</w:t>
      </w:r>
    </w:p>
    <w:p w:rsidRPr="00A766B0" w:rsidR="00A766B0" w:rsidP="00A766B0">
      <w:pPr>
        <w:tabs>
          <w:tab w:val="left" w:pos="0"/>
        </w:tabs>
        <w:ind w:firstLine="993"/>
        <w:jc w:val="center"/>
        <w:rPr>
          <w:bCs/>
        </w:rPr>
      </w:pPr>
      <w:r w:rsidRPr="00A766B0">
        <w:rPr>
          <w:bCs/>
        </w:rPr>
        <w:t>Curtea constituită din:</w:t>
      </w:r>
    </w:p>
    <w:p w:rsidRPr="00A766B0" w:rsidR="00A766B0" w:rsidP="00A766B0">
      <w:pPr>
        <w:ind w:firstLine="993"/>
        <w:jc w:val="center"/>
        <w:rPr>
          <w:bCs/>
        </w:rPr>
      </w:pPr>
      <w:r w:rsidRPr="00A766B0">
        <w:rPr>
          <w:bCs/>
        </w:rPr>
        <w:t xml:space="preserve">Preşedinte: </w:t>
      </w:r>
      <w:r w:rsidR="00904A5E">
        <w:rPr>
          <w:bCs/>
        </w:rPr>
        <w:t>..........................</w:t>
      </w:r>
    </w:p>
    <w:p w:rsidRPr="00A766B0" w:rsidR="00A766B0" w:rsidP="00A766B0">
      <w:pPr>
        <w:ind w:firstLine="993"/>
        <w:jc w:val="center"/>
        <w:rPr>
          <w:bCs/>
        </w:rPr>
      </w:pPr>
      <w:r w:rsidRPr="00A766B0">
        <w:rPr>
          <w:bCs/>
        </w:rPr>
        <w:t xml:space="preserve">Judecător: </w:t>
      </w:r>
      <w:r w:rsidR="00904A5E">
        <w:rPr>
          <w:bCs/>
        </w:rPr>
        <w:t>..........................</w:t>
      </w:r>
    </w:p>
    <w:p w:rsidRPr="00A766B0" w:rsidR="00A766B0" w:rsidP="00A766B0">
      <w:pPr>
        <w:ind w:firstLine="993"/>
        <w:jc w:val="center"/>
        <w:rPr>
          <w:bCs/>
        </w:rPr>
      </w:pPr>
      <w:r w:rsidRPr="00A766B0">
        <w:rPr>
          <w:bCs/>
        </w:rPr>
        <w:t xml:space="preserve">Judecător: </w:t>
      </w:r>
      <w:r w:rsidR="00904A5E">
        <w:rPr>
          <w:bCs/>
        </w:rPr>
        <w:t>A0014</w:t>
      </w:r>
    </w:p>
    <w:p w:rsidRPr="00A766B0" w:rsidR="00A766B0" w:rsidP="00A766B0">
      <w:pPr>
        <w:ind w:firstLine="993"/>
        <w:jc w:val="center"/>
        <w:rPr>
          <w:bCs/>
        </w:rPr>
      </w:pPr>
      <w:r w:rsidRPr="00A766B0">
        <w:rPr>
          <w:bCs/>
        </w:rPr>
        <w:t xml:space="preserve">Grefier: </w:t>
      </w:r>
      <w:r w:rsidR="00904A5E">
        <w:rPr>
          <w:bCs/>
        </w:rPr>
        <w:t>..........................</w:t>
      </w:r>
    </w:p>
    <w:p w:rsidRPr="00A766B0" w:rsidR="00A766B0" w:rsidP="00A766B0">
      <w:pPr>
        <w:ind w:firstLine="993"/>
      </w:pPr>
    </w:p>
    <w:p w:rsidRPr="00A766B0" w:rsidR="00A766B0" w:rsidP="00A766B0">
      <w:pPr>
        <w:ind w:firstLine="993"/>
        <w:jc w:val="both"/>
        <w:rPr>
          <w:rFonts w:eastAsia="Calibri"/>
          <w:lang w:eastAsia="en-US"/>
        </w:rPr>
      </w:pPr>
      <w:r w:rsidRPr="00A766B0">
        <w:rPr>
          <w:rFonts w:eastAsia="Calibri"/>
        </w:rPr>
        <w:t xml:space="preserve">Pe rol se află soluţionarea </w:t>
      </w:r>
      <w:bookmarkStart w:name="_Hlk169013281" w:id="0"/>
      <w:r w:rsidRPr="00A766B0">
        <w:rPr>
          <w:rFonts w:eastAsia="Calibri"/>
        </w:rPr>
        <w:t xml:space="preserve">recursului formulat de </w:t>
      </w:r>
      <w:bookmarkStart w:name="_Hlk164931397" w:id="1"/>
      <w:bookmarkStart w:name="_Hlk164933857" w:id="2"/>
      <w:r w:rsidRPr="00A766B0">
        <w:rPr>
          <w:rFonts w:eastAsia="Calibri"/>
        </w:rPr>
        <w:t>recurenta-</w:t>
      </w:r>
      <w:bookmarkStart w:name="_Hlk164857442" w:id="3"/>
      <w:bookmarkEnd w:id="1"/>
      <w:bookmarkEnd w:id="2"/>
      <w:r w:rsidRPr="00A766B0">
        <w:rPr>
          <w:rFonts w:eastAsia="Calibri"/>
        </w:rPr>
        <w:t xml:space="preserve">pârâtă </w:t>
      </w:r>
      <w:r w:rsidRPr="00A766B0">
        <w:rPr>
          <w:rFonts w:eastAsia="Calibri"/>
          <w:b/>
        </w:rPr>
        <w:t xml:space="preserve">Autoritatea Naţională pentru Cetăţenie </w:t>
      </w:r>
      <w:r w:rsidRPr="00A766B0">
        <w:rPr>
          <w:rFonts w:eastAsia="Calibri"/>
        </w:rPr>
        <w:t>î</w:t>
      </w:r>
      <w:bookmarkEnd w:id="3"/>
      <w:r w:rsidRPr="00A766B0">
        <w:rPr>
          <w:rFonts w:eastAsia="Calibri"/>
        </w:rPr>
        <w:t xml:space="preserve">mpotriva sentinţei civile nr. </w:t>
      </w:r>
      <w:bookmarkStart w:name="_Hlk195616581" w:id="4"/>
      <w:r w:rsidR="00904A5E">
        <w:rPr>
          <w:rFonts w:eastAsia="Calibri"/>
        </w:rPr>
        <w:t>SC1/</w:t>
      </w:r>
      <w:r w:rsidRPr="00A766B0">
        <w:rPr>
          <w:rFonts w:eastAsia="Calibri"/>
        </w:rPr>
        <w:t xml:space="preserve">.2024 pronunţate de Tribunalul </w:t>
      </w:r>
      <w:r w:rsidR="00904A5E">
        <w:rPr>
          <w:rFonts w:eastAsia="Calibri"/>
        </w:rPr>
        <w:t>...........</w:t>
      </w:r>
      <w:r w:rsidRPr="00A766B0">
        <w:rPr>
          <w:rFonts w:eastAsia="Calibri"/>
        </w:rPr>
        <w:t xml:space="preserve">- Secţia a </w:t>
      </w:r>
      <w:r w:rsidR="00904A5E">
        <w:rPr>
          <w:rFonts w:eastAsia="Calibri"/>
        </w:rPr>
        <w:t>..........</w:t>
      </w:r>
      <w:r w:rsidRPr="00A766B0">
        <w:rPr>
          <w:rFonts w:eastAsia="Calibri"/>
        </w:rPr>
        <w:t xml:space="preserve">contencios administrativ şi fiscal, în dosarul nr. </w:t>
      </w:r>
      <w:bookmarkEnd w:id="4"/>
      <w:r w:rsidR="00904A5E">
        <w:rPr>
          <w:rFonts w:eastAsia="Calibri"/>
        </w:rPr>
        <w:t>...........</w:t>
      </w:r>
      <w:r w:rsidRPr="00A766B0">
        <w:rPr>
          <w:rFonts w:eastAsia="Calibri"/>
        </w:rPr>
        <w:t>, în contradictoriu cu intimatul-</w:t>
      </w:r>
      <w:bookmarkEnd w:id="0"/>
      <w:r w:rsidRPr="00A766B0">
        <w:rPr>
          <w:rFonts w:eastAsia="Calibri"/>
        </w:rPr>
        <w:t xml:space="preserve">reclamant </w:t>
      </w:r>
      <w:r w:rsidR="00904A5E">
        <w:rPr>
          <w:rFonts w:eastAsia="Calibri"/>
          <w:b/>
          <w:bCs/>
        </w:rPr>
        <w:t>SIL....</w:t>
      </w:r>
      <w:r w:rsidRPr="00A766B0">
        <w:rPr>
          <w:rFonts w:eastAsia="Calibri"/>
        </w:rPr>
        <w:t>,</w:t>
      </w:r>
      <w:r w:rsidRPr="00A766B0">
        <w:rPr>
          <w:rFonts w:eastAsia="Calibri"/>
          <w:b/>
        </w:rPr>
        <w:t xml:space="preserve"> </w:t>
      </w:r>
      <w:r w:rsidRPr="00A766B0">
        <w:rPr>
          <w:rFonts w:eastAsia="Calibri"/>
        </w:rPr>
        <w:t>având ca obiect „</w:t>
      </w:r>
      <w:r w:rsidRPr="00A766B0">
        <w:rPr>
          <w:rFonts w:eastAsia="Calibri"/>
          <w:i/>
          <w:iCs/>
        </w:rPr>
        <w:t>refuz soluţionare cerere</w:t>
      </w:r>
      <w:r w:rsidRPr="00A766B0">
        <w:rPr>
          <w:rFonts w:eastAsia="Calibri"/>
          <w:iCs/>
        </w:rPr>
        <w:t>”</w:t>
      </w:r>
      <w:r w:rsidRPr="00A766B0">
        <w:rPr>
          <w:rFonts w:eastAsia="Calibri"/>
          <w:i/>
        </w:rPr>
        <w:t>.</w:t>
      </w:r>
      <w:r w:rsidRPr="00A766B0">
        <w:t xml:space="preserve"> </w:t>
      </w:r>
    </w:p>
    <w:p w:rsidRPr="00A766B0" w:rsidR="00A766B0" w:rsidP="00A766B0">
      <w:pPr>
        <w:ind w:firstLine="993"/>
        <w:jc w:val="both"/>
      </w:pPr>
      <w:r w:rsidRPr="00A766B0">
        <w:t>La apelul nominal făcut în şedinţa publică, la prima şi a doua strigare, au lipsit părţile.</w:t>
      </w:r>
    </w:p>
    <w:p w:rsidRPr="00A766B0" w:rsidR="00A766B0" w:rsidP="00A766B0">
      <w:pPr>
        <w:ind w:firstLine="993"/>
        <w:jc w:val="both"/>
      </w:pPr>
      <w:r w:rsidRPr="00A766B0">
        <w:t>Procedura de citare este legal îndeplinită.</w:t>
      </w:r>
    </w:p>
    <w:p w:rsidRPr="00A766B0" w:rsidR="00A766B0" w:rsidP="00A766B0">
      <w:pPr>
        <w:ind w:firstLine="993"/>
        <w:jc w:val="both"/>
      </w:pPr>
      <w:r w:rsidRPr="00A766B0">
        <w:t>S-a făcut referatul cauzei de către grefierul de ședință, conform art. 119 alin. (1) din R.O.I.I.J., prezentând pe scurt modul în care s-a îndeplinit procedura de citare a persoanelor chemate la proces, precum și faptul că prezenta ca</w:t>
      </w:r>
      <w:r w:rsidRPr="00A766B0">
        <w:t>uză se află la prim termen de judecată, iar intimatul-reclamant a depus note scrise, după care:</w:t>
      </w:r>
    </w:p>
    <w:p w:rsidRPr="00A766B0" w:rsidR="00A766B0" w:rsidP="00A766B0">
      <w:pPr>
        <w:ind w:firstLine="993"/>
        <w:jc w:val="both"/>
        <w:rPr>
          <w:i/>
          <w:iCs/>
        </w:rPr>
      </w:pPr>
      <w:r w:rsidRPr="00A766B0">
        <w:rPr>
          <w:i/>
          <w:iCs/>
        </w:rPr>
        <w:t>Curtea invocă, din oficiu, incidența dispoziţiilor art. 15 alin. (10) din Legea nr. 21</w:t>
      </w:r>
      <w:r w:rsidRPr="00A766B0">
        <w:rPr>
          <w:i/>
          <w:iCs/>
        </w:rPr>
        <w:t>/1991, cu modificările aduse prin Legea nr. 14/2025, în raport de prevederile art. XIV alin. (2) din Legea nr. 14/2025, şi reţine cauza în pronunţare.</w:t>
      </w:r>
    </w:p>
    <w:p w:rsidRPr="00A766B0" w:rsidR="00A766B0" w:rsidP="00A766B0">
      <w:pPr>
        <w:ind w:firstLine="993"/>
        <w:contextualSpacing/>
        <w:jc w:val="center"/>
        <w:rPr>
          <w:b/>
        </w:rPr>
      </w:pPr>
    </w:p>
    <w:p w:rsidRPr="00A766B0" w:rsidR="00A766B0" w:rsidP="00A766B0">
      <w:pPr>
        <w:ind w:firstLine="993"/>
        <w:contextualSpacing/>
        <w:jc w:val="center"/>
        <w:rPr>
          <w:b/>
        </w:rPr>
      </w:pPr>
      <w:r w:rsidRPr="00A766B0">
        <w:rPr>
          <w:b/>
        </w:rPr>
        <w:t>C U R T E A,</w:t>
      </w:r>
    </w:p>
    <w:p w:rsidRPr="00A766B0" w:rsidR="00A766B0" w:rsidP="00A766B0">
      <w:pPr>
        <w:ind w:firstLine="993"/>
        <w:contextualSpacing/>
        <w:jc w:val="both"/>
      </w:pPr>
    </w:p>
    <w:p w:rsidRPr="00A766B0" w:rsidR="00A766B0" w:rsidP="00A766B0">
      <w:pPr>
        <w:ind w:firstLine="993"/>
        <w:jc w:val="both"/>
        <w:rPr>
          <w:i/>
          <w:iCs/>
        </w:rPr>
      </w:pPr>
      <w:r w:rsidRPr="00A766B0">
        <w:rPr>
          <w:b/>
          <w:i/>
          <w:iCs/>
        </w:rPr>
        <w:t>Deliberând asupra prezentului recurs, constată următoarele</w:t>
      </w:r>
      <w:r w:rsidRPr="00A766B0">
        <w:rPr>
          <w:i/>
          <w:iCs/>
        </w:rPr>
        <w:t>:</w:t>
      </w:r>
    </w:p>
    <w:p w:rsidRPr="00A766B0" w:rsidR="00A766B0" w:rsidP="00A766B0">
      <w:pPr>
        <w:ind w:firstLine="993"/>
        <w:jc w:val="both"/>
        <w:rPr>
          <w:b/>
        </w:rPr>
      </w:pPr>
      <w:r w:rsidRPr="00A766B0">
        <w:rPr>
          <w:b/>
        </w:rPr>
        <w:t xml:space="preserve">I. </w:t>
      </w:r>
      <w:r w:rsidRPr="00A766B0">
        <w:rPr>
          <w:b/>
          <w:bCs/>
          <w:iCs/>
        </w:rPr>
        <w:t>Circumstanțele cauzei</w:t>
      </w:r>
    </w:p>
    <w:p w:rsidRPr="00A766B0" w:rsidR="00A766B0" w:rsidP="00A766B0">
      <w:pPr>
        <w:ind w:firstLine="993"/>
        <w:jc w:val="both"/>
        <w:rPr>
          <w:b/>
        </w:rPr>
      </w:pPr>
      <w:r w:rsidRPr="00A766B0">
        <w:rPr>
          <w:b/>
          <w:i/>
          <w:iCs/>
        </w:rPr>
        <w:t>1. Obiectul cererii de chemare în judecată</w:t>
      </w:r>
    </w:p>
    <w:p w:rsidRPr="00A766B0" w:rsidR="00A766B0" w:rsidP="00A766B0">
      <w:pPr>
        <w:ind w:firstLine="993"/>
        <w:contextualSpacing/>
        <w:jc w:val="both"/>
      </w:pPr>
      <w:r w:rsidRPr="00A766B0">
        <w:t xml:space="preserve">Prin cererea de chemare în judecată înregistrată pe rolul Tribunalului </w:t>
      </w:r>
      <w:r w:rsidR="00904A5E">
        <w:t>...........</w:t>
      </w:r>
      <w:r w:rsidRPr="00A766B0">
        <w:t xml:space="preserve"> – Secţia a </w:t>
      </w:r>
      <w:r w:rsidR="00904A5E">
        <w:t>..........</w:t>
      </w:r>
      <w:r w:rsidRPr="00A766B0">
        <w:t xml:space="preserve">de contencios administrativ şi fiscal sub nr. </w:t>
      </w:r>
      <w:r w:rsidR="00904A5E">
        <w:t>...........</w:t>
      </w:r>
      <w:r w:rsidRPr="00A766B0">
        <w:t xml:space="preserve"> la data de </w:t>
      </w:r>
      <w:r w:rsidR="00904A5E">
        <w:t>..</w:t>
      </w:r>
      <w:r w:rsidR="00904A5E">
        <w:t>....</w:t>
      </w:r>
      <w:r w:rsidRPr="00A766B0">
        <w:t xml:space="preserve">2024, </w:t>
      </w:r>
      <w:r w:rsidRPr="00A766B0">
        <w:rPr>
          <w:rFonts w:eastAsia="Calibri"/>
        </w:rPr>
        <w:t xml:space="preserve">reclamantul </w:t>
      </w:r>
      <w:r w:rsidR="00904A5E">
        <w:rPr>
          <w:rFonts w:eastAsia="Calibri"/>
        </w:rPr>
        <w:t>SIL....</w:t>
      </w:r>
      <w:r w:rsidRPr="00A766B0">
        <w:rPr>
          <w:rFonts w:eastAsia="Calibri"/>
        </w:rPr>
        <w:t xml:space="preserve"> a solicitat obligarea pârâtei Autoritatea Naţională pentru Cetăţenie la soluţionarea cererii de redobândire a cetăţeniei române înregistrată sub nr. </w:t>
      </w:r>
      <w:r w:rsidR="00904A5E">
        <w:rPr>
          <w:rFonts w:eastAsia="Calibri"/>
        </w:rPr>
        <w:t>C1......</w:t>
      </w:r>
      <w:r w:rsidRPr="00A766B0">
        <w:rPr>
          <w:rFonts w:eastAsia="Calibri"/>
        </w:rPr>
        <w:t>/2023.</w:t>
      </w:r>
    </w:p>
    <w:p w:rsidRPr="00A766B0" w:rsidR="00A766B0" w:rsidP="00A766B0">
      <w:pPr>
        <w:ind w:firstLine="993"/>
        <w:jc w:val="both"/>
      </w:pPr>
      <w:r w:rsidRPr="00A766B0">
        <w:rPr>
          <w:rFonts w:eastAsia="Calibri"/>
          <w:b/>
          <w:i/>
        </w:rPr>
        <w:t>2. Hotărârea instanţei de fond</w:t>
      </w:r>
    </w:p>
    <w:p w:rsidRPr="00A766B0" w:rsidR="00A766B0" w:rsidP="00A766B0">
      <w:pPr>
        <w:ind w:firstLine="993"/>
        <w:contextualSpacing/>
        <w:jc w:val="both"/>
      </w:pPr>
      <w:r w:rsidRPr="00A766B0">
        <w:t xml:space="preserve">Prin sentinţa civilă nr. </w:t>
      </w:r>
      <w:r w:rsidR="00904A5E">
        <w:t>SC1/</w:t>
      </w:r>
      <w:r w:rsidRPr="00A766B0">
        <w:t>.2024, a fost admisă cererea în sensul că a fost obligată pârâta să soluţioneze cererea de redobândire a cetăţeniei române în termen de 30 de zile de la data rămânerii definitive a hotărârii.</w:t>
      </w:r>
    </w:p>
    <w:p w:rsidRPr="00A766B0" w:rsidR="00A766B0" w:rsidP="00A766B0">
      <w:pPr>
        <w:ind w:firstLine="993"/>
        <w:contextualSpacing/>
        <w:jc w:val="both"/>
      </w:pPr>
      <w:r w:rsidRPr="00A766B0">
        <w:rPr>
          <w:rFonts w:eastAsia="Calibri"/>
          <w:b/>
          <w:i/>
        </w:rPr>
        <w:t>3. Etapa procesuală a recursului</w:t>
      </w:r>
    </w:p>
    <w:p w:rsidRPr="00A766B0" w:rsidR="00A766B0" w:rsidP="00A766B0">
      <w:pPr>
        <w:ind w:firstLine="993"/>
        <w:contextualSpacing/>
        <w:jc w:val="both"/>
        <w:rPr>
          <w:bCs/>
          <w:iCs/>
        </w:rPr>
      </w:pPr>
      <w:r w:rsidRPr="00A766B0">
        <w:rPr>
          <w:b/>
          <w:i/>
        </w:rPr>
        <w:t>3.1. Împotriva acestei sentinţe a formulat recurs pârâta</w:t>
      </w:r>
      <w:r w:rsidRPr="00A766B0">
        <w:rPr>
          <w:bCs/>
          <w:iCs/>
        </w:rPr>
        <w:t>, solicitând casarea hotărârii şi, în rejudecare, respingerea cererii de chemare în judecată.</w:t>
      </w:r>
    </w:p>
    <w:p w:rsidRPr="00A766B0" w:rsidR="00A766B0" w:rsidP="00A766B0">
      <w:pPr>
        <w:ind w:firstLine="993"/>
        <w:contextualSpacing/>
        <w:jc w:val="both"/>
      </w:pPr>
      <w:r w:rsidRPr="00A766B0">
        <w:t>În motivare, invocând cazul de casare prevăzut de art. 488 alin. (1) pct. 8 C.pr.civ., recurenta a invocat eronata interpretare a prevede</w:t>
      </w:r>
      <w:r w:rsidRPr="00A766B0">
        <w:t xml:space="preserve">rilor art. 16 alin. (2) lit. c) din Legea nr. 21/1991, respectiv faptul că în mod eronat s-a considerat că autoritatea pârâtă a refuzat soluţionarea cererii de redobândire a cetăţeniei. </w:t>
      </w:r>
    </w:p>
    <w:p w:rsidRPr="00A766B0" w:rsidR="00A766B0" w:rsidP="00A766B0">
      <w:pPr>
        <w:ind w:firstLine="993"/>
        <w:contextualSpacing/>
        <w:jc w:val="both"/>
      </w:pPr>
      <w:r w:rsidRPr="00A766B0">
        <w:t>Recurenta a susţinut în esenţă că natura termenului prevăzut de art. 16 alin. (2) lit. c) din Legea nr. 21/1991 este de verificare a cererilor</w:t>
      </w:r>
      <w:r w:rsidRPr="00A766B0">
        <w:t xml:space="preserve"> de cetăţenie, iar nu de soluţionare a acestora. </w:t>
      </w:r>
    </w:p>
    <w:p w:rsidRPr="00A766B0" w:rsidR="00A766B0" w:rsidP="00A766B0">
      <w:pPr>
        <w:ind w:firstLine="993"/>
        <w:contextualSpacing/>
        <w:jc w:val="both"/>
      </w:pPr>
      <w:r w:rsidRPr="00A766B0">
        <w:t xml:space="preserve">De asemenea, recurenta a invocat complexitatea procedurii administrative pe care o desfăşoară, necesitatea soluţionării cererilor în </w:t>
      </w:r>
      <w:r w:rsidRPr="00A766B0">
        <w:t xml:space="preserve">ordinea cronologică a înregistrării acestora şi volumul său de activitate.  </w:t>
      </w:r>
    </w:p>
    <w:p w:rsidRPr="00A766B0" w:rsidR="00A766B0" w:rsidP="00A766B0">
      <w:pPr>
        <w:ind w:firstLine="993"/>
        <w:contextualSpacing/>
        <w:jc w:val="both"/>
        <w:rPr>
          <w:bCs/>
          <w:iCs/>
        </w:rPr>
      </w:pPr>
      <w:r w:rsidRPr="00A766B0">
        <w:rPr>
          <w:b/>
          <w:i/>
        </w:rPr>
        <w:t xml:space="preserve">3.2. </w:t>
      </w:r>
      <w:r w:rsidRPr="00A766B0">
        <w:rPr>
          <w:b/>
          <w:i/>
          <w:lang w:val="x-none"/>
        </w:rPr>
        <w:t>Intimat</w:t>
      </w:r>
      <w:r w:rsidRPr="00A766B0">
        <w:rPr>
          <w:b/>
          <w:i/>
        </w:rPr>
        <w:t>ul</w:t>
      </w:r>
      <w:r w:rsidRPr="00A766B0">
        <w:rPr>
          <w:b/>
          <w:i/>
          <w:lang w:val="x-none"/>
        </w:rPr>
        <w:t>-</w:t>
      </w:r>
      <w:r w:rsidRPr="00A766B0">
        <w:rPr>
          <w:b/>
          <w:i/>
        </w:rPr>
        <w:t>reclamant</w:t>
      </w:r>
      <w:r w:rsidRPr="00A766B0">
        <w:rPr>
          <w:b/>
          <w:i/>
          <w:lang w:val="x-none"/>
        </w:rPr>
        <w:t xml:space="preserve"> </w:t>
      </w:r>
      <w:r w:rsidRPr="00A766B0">
        <w:rPr>
          <w:b/>
          <w:i/>
        </w:rPr>
        <w:t xml:space="preserve">nu </w:t>
      </w:r>
      <w:r w:rsidRPr="00A766B0">
        <w:rPr>
          <w:b/>
          <w:i/>
          <w:lang w:val="x-none"/>
        </w:rPr>
        <w:t>a formulat întâmpinare</w:t>
      </w:r>
      <w:r w:rsidRPr="00A766B0">
        <w:rPr>
          <w:b/>
          <w:i/>
        </w:rPr>
        <w:t xml:space="preserve">, ci note scrise, </w:t>
      </w:r>
      <w:r w:rsidRPr="00A766B0">
        <w:rPr>
          <w:bCs/>
          <w:iCs/>
        </w:rPr>
        <w:t>prin care a solicitat respingerea recursului ca nefondat.</w:t>
      </w:r>
    </w:p>
    <w:p w:rsidRPr="00A766B0" w:rsidR="00A766B0" w:rsidP="00A766B0">
      <w:pPr>
        <w:ind w:firstLine="993"/>
        <w:contextualSpacing/>
        <w:jc w:val="both"/>
      </w:pPr>
      <w:r w:rsidRPr="00A766B0">
        <w:t xml:space="preserve">În esenţă, a susţinut că dispozițiile Legii nr. 14/2025 nu pot fi aplicate cauzelor pendinte, fiind incidente </w:t>
      </w:r>
      <w:r w:rsidRPr="00A766B0">
        <w:t>prevederile art. 16 alin. (2) lit. c) din Legea nr. 21/1991. A precizat că la data formulării cererii, termenul de soluționare de 5 luni era deja depășit, astfel că noua reglementare nu poate retroac</w:t>
      </w:r>
      <w:r w:rsidRPr="00A766B0">
        <w:t>tiva. A susținut că aplicarea retroactivă încalcă dreptul la un proces echitabil, consacrat de Constituție și de art. 6 din Convenția pentru apărarea drepturilor omului, invocând Deciziile Curții Constituționale nr. 88/2014 și nr. 269/2014.</w:t>
      </w:r>
    </w:p>
    <w:p w:rsidRPr="00A766B0" w:rsidR="00A766B0" w:rsidP="00A766B0">
      <w:pPr>
        <w:ind w:firstLine="993"/>
        <w:contextualSpacing/>
        <w:jc w:val="both"/>
      </w:pPr>
      <w:r w:rsidRPr="00A766B0">
        <w:t xml:space="preserve">Intimatul-reclamant a menționat că instanța trebuie să aplice legea conform principiului securității juridice, fără a impune sarcini suplimentare părților aflate deja în proces. De asemenea, a evidențiat că recurenta-pârâtă nu a făcut dovada prelungirii termenului legal </w:t>
      </w:r>
      <w:r w:rsidRPr="00A766B0">
        <w:t>de 2 ani, prevăzut de art. 15 alin. (11) din Legea nr. 21/1991, și nu a întreprins demersuri pentru stabilirea autenticității înscrisurilor.</w:t>
      </w:r>
    </w:p>
    <w:p w:rsidRPr="00A766B0" w:rsidR="00A766B0" w:rsidP="00A766B0">
      <w:pPr>
        <w:ind w:firstLine="993"/>
        <w:jc w:val="both"/>
        <w:rPr>
          <w:b/>
        </w:rPr>
      </w:pPr>
      <w:r w:rsidRPr="00A766B0">
        <w:rPr>
          <w:b/>
        </w:rPr>
        <w:t xml:space="preserve">II. </w:t>
      </w:r>
      <w:bookmarkStart w:name="_Hlk184395927" w:id="5"/>
      <w:r w:rsidRPr="00A766B0">
        <w:rPr>
          <w:b/>
        </w:rPr>
        <w:t>Soluţia instanţei de recurs</w:t>
      </w:r>
      <w:bookmarkEnd w:id="5"/>
    </w:p>
    <w:p w:rsidRPr="00A766B0" w:rsidR="00A766B0" w:rsidP="00A766B0">
      <w:pPr>
        <w:ind w:firstLine="993"/>
        <w:jc w:val="both"/>
      </w:pPr>
      <w:r w:rsidRPr="00A766B0">
        <w:rPr>
          <w:b/>
          <w:i/>
        </w:rPr>
        <w:t>Analizând actele dosarului, precum și sentința recurată, în raport de criticile formulate, Curtea va constata următoarele:</w:t>
      </w:r>
      <w:r w:rsidRPr="00A766B0">
        <w:t xml:space="preserve"> </w:t>
      </w:r>
    </w:p>
    <w:p w:rsidRPr="00A766B0" w:rsidR="00A766B0" w:rsidP="00A766B0">
      <w:pPr>
        <w:ind w:firstLine="993"/>
        <w:contextualSpacing/>
        <w:jc w:val="both"/>
      </w:pPr>
      <w:r w:rsidRPr="00A766B0">
        <w:t>În drept, potrivit art. 488 alin. (1) C.pr.civ., casarea unor hotărâri se poate cere numai pentru următoarele motive de nelegalitate: (…) 8. când hotărârea a fost dată cu încălcarea sau aplicarea greşită a normelor de drept material.</w:t>
      </w:r>
    </w:p>
    <w:p w:rsidRPr="00A766B0" w:rsidR="00A766B0" w:rsidP="00A766B0">
      <w:pPr>
        <w:ind w:firstLine="993"/>
        <w:contextualSpacing/>
        <w:jc w:val="both"/>
      </w:pPr>
      <w:r w:rsidRPr="00A766B0">
        <w:t>Examinând criticile de nelegalitate formulate, din perspectiva cazului de casare prevăzut de art. 488 alin. (1) pct. 8 C.pr.civ., Curtea va constata că, potrivit prevederilor art. 16 din Legea cetăţeniei române nr. 21/1991, forma în vigoare la data soluţionării cererii de cătr</w:t>
      </w:r>
      <w:r w:rsidRPr="00A766B0">
        <w:t>e instanţa de fond, cererea de acordare sau de redobândire a cetăţeniei române, formulată potrivit art. 11, este înregistrată la secretariatul tehnic al Comisiei. Preşedintele Comisiei pentru cetăţenie, prin rezoluţie, dispune: a) solicitarea de relaţii de la orice autorităţi cu privire la îndeplinirea condiţiilor prevăzute la art. 8 alin. (1) lit. b) şi e), ce urmează a fi comunicate Comisiei într-un termen ce nu va depăși 60 de zi</w:t>
      </w:r>
      <w:r w:rsidRPr="00A766B0">
        <w:t>le, iar în situaţii excepţionale, în limitele termenului prevăzut la lit. c)</w:t>
      </w:r>
      <w:r w:rsidRPr="00A766B0">
        <w:t>; b) completarea dosarului, în termen de cel mult 4 luni de la primirea solicitării secretariatului tehnic al Comisiei de către petent, în cazul în care se constată lipsa unor documente necesare soluţionării cererii, sub sancţiunea respingerii cererii ca nesusţinută; c) fixarea primului termen, la care Comisia va verifica îndeplinirea condiţiilor necesare acordării sau redobândirii cetăţeniei române potrivit art. 11, la cel mult 5 l</w:t>
      </w:r>
      <w:r w:rsidRPr="00A766B0">
        <w:t>uni de la data înregistrării cererii.</w:t>
      </w:r>
    </w:p>
    <w:p w:rsidRPr="00A766B0" w:rsidR="00A766B0" w:rsidP="00A766B0">
      <w:pPr>
        <w:ind w:firstLine="993"/>
        <w:contextualSpacing/>
        <w:jc w:val="both"/>
      </w:pPr>
      <w:r w:rsidRPr="00A766B0">
        <w:t>Ulterior pronunţării hotărârii recurat</w:t>
      </w:r>
      <w:r w:rsidRPr="00A766B0">
        <w:t xml:space="preserve">e, Legea cetăţeniei române nr. 21/1991 a fost modificată prin Legea nr. 14/2025, iar, în prezent, prin art. 15 se prevede că cererea de acordare a cetăţeniei este înregistrată la secretariatul tehnic al Comisiei. (...) </w:t>
      </w:r>
    </w:p>
    <w:p w:rsidRPr="00A766B0" w:rsidR="00A766B0" w:rsidP="00A766B0">
      <w:pPr>
        <w:ind w:firstLine="993"/>
        <w:contextualSpacing/>
        <w:jc w:val="both"/>
      </w:pPr>
      <w:r w:rsidRPr="00A766B0">
        <w:t>Potrivit art. 15 alin. (10), Comisia întocmeşte raportul privind verificarea îndeplinirii condiţiilor prevăzute de lege pentru acordarea cetăţeniei române într-o perioadă de cel mult 2 ani de la data înregistrării cererii la secretariatul tehnic al Comisiei, iar, potrivit art. 15 alin. (11),</w:t>
      </w:r>
      <w:r w:rsidRPr="00A766B0">
        <w:t xml:space="preserve"> termenul prevăzut la alin. (10) va fi prelungit cu timpul necesar în mod rezonabil pentru efectuarea de către Comisie a demersurilor ce se impun în vederea stabilirii autenticităţii unor înscrisuri ori a veridicităţii unor fapte atestate de actele depuse de către solicitant, fără ca durata prelungirii să depăşească 6 luni.</w:t>
      </w:r>
    </w:p>
    <w:p w:rsidRPr="00A766B0" w:rsidR="00A766B0" w:rsidP="00A766B0">
      <w:pPr>
        <w:ind w:firstLine="993"/>
        <w:contextualSpacing/>
        <w:jc w:val="both"/>
      </w:pPr>
      <w:r w:rsidRPr="00A766B0">
        <w:t>De asemenea, Curtea va observa că prin art. XIV alin. (2) din Legea nr. 14/2025 se prevede că dispoziţiile prezentei legi privind procedura acordării cetăţeniei române sunt aplicabile şi</w:t>
      </w:r>
      <w:r w:rsidRPr="00A766B0">
        <w:t xml:space="preserve"> cererilor pentru acordarea sau, după caz, redobândirea cetăţeniei române, înregistrate la Autoritatea Naţională pentru Cetăţenie până la data intrării în vigoare a prezentei legi şi aflate în curs de soluţionare la această dată.</w:t>
      </w:r>
    </w:p>
    <w:p w:rsidRPr="00A766B0" w:rsidR="00A766B0" w:rsidP="00A766B0">
      <w:pPr>
        <w:ind w:firstLine="993"/>
        <w:contextualSpacing/>
        <w:jc w:val="both"/>
      </w:pPr>
      <w:r w:rsidRPr="00A766B0">
        <w:t>Cum soluţionarea cererii de redobândire a cetăţeniei se finalizează prin emiterea ordinului de admitere sau de respingere a cererii, iar în prezenta cauză un atare ordin nu a fost emis, rezultă că termenul de 2 ani, evocat mai sus, este aplicabil şi cererii formulate de partea inti</w:t>
      </w:r>
      <w:r w:rsidRPr="00A766B0">
        <w:t>mată.</w:t>
      </w:r>
    </w:p>
    <w:p w:rsidRPr="00A766B0" w:rsidR="00A766B0" w:rsidP="00A766B0">
      <w:pPr>
        <w:ind w:firstLine="993"/>
        <w:contextualSpacing/>
        <w:jc w:val="both"/>
      </w:pPr>
      <w:r w:rsidRPr="00A766B0">
        <w:t>Curtea nu poate reţine inaplicabilitatea Legii nr. 14/2025. Dispoziţiile nou introduse prin art. 15 alin. (10)-(11) din Legea nr. 14/12 martie 2025 sunt, ca natură, norme de drept administrativ substanţial, de aplicare imediată (tempus regit actum). Aplicarea imediată a acestor norme rezultă chiar din dispozițiile art. XIV din Legea nr. 14/12 martie 2025, care prevăd faptul că atât cererile de cetățenie care au fost depu</w:t>
      </w:r>
      <w:r w:rsidRPr="00A766B0">
        <w:t>se anterior, cât și cererile de cetățenie care au fost depuse ulterior intrării în</w:t>
      </w:r>
      <w:r w:rsidRPr="00A766B0">
        <w:t xml:space="preserve"> vigoare a Legii nr. 14/12 martie 2025, vor fi soluționate conform noii proceduri de acordare a cetățeniei, astfel cum aceasta fost reglementată de Legea nr. 14/12 martie 2025.</w:t>
      </w:r>
    </w:p>
    <w:p w:rsidRPr="00A766B0" w:rsidR="00A766B0" w:rsidP="00A766B0">
      <w:pPr>
        <w:ind w:firstLine="993"/>
        <w:contextualSpacing/>
        <w:jc w:val="both"/>
      </w:pPr>
      <w:r w:rsidRPr="00A766B0">
        <w:t xml:space="preserve">Prin urmare, termenul de 2 ani de la data înregistrării cererii la secretariatul tehnic al Comisiei Autorității Naționale pentru Cetățenie, termen prevăzut de art. 15 alin. (10) din Legea nr. 21/1991 modificată prin Legea nr. 14/2025, este aplicabil tuturor cererilor aflate pe rolul Autorității Naționale pentru Cetățenie, inclusiv celor aflate în curs de soluţionare la data intrării în vigoare a noii legi. </w:t>
      </w:r>
    </w:p>
    <w:p w:rsidRPr="00A766B0" w:rsidR="00A766B0" w:rsidP="00A766B0">
      <w:pPr>
        <w:ind w:firstLine="993"/>
        <w:contextualSpacing/>
        <w:jc w:val="both"/>
      </w:pPr>
      <w:r w:rsidRPr="00A766B0">
        <w:t xml:space="preserve">Rezultă că în aprecierea unui refuz justificat sau nejustificat de soluţionare a cererii unui petent </w:t>
      </w:r>
      <w:r w:rsidRPr="00A766B0">
        <w:t xml:space="preserve">de către această autoritate (art. 2 alin. (1) lit. h) din Legea nr. 554/2004), instanţa de judecată se va raporta la dispoziţiile noii legi, întrucât prevederile art. XIV din Legea nr. 14/12 martie 2025 nu fac nicio distincţie sub acest aspect, nici în privinţa etapei de soluţionare în care se află diferitele cereri pe rolul Autorității Naționale pentru Cetățenie, dar nici în privinţa cererilor aflate pe rolul instanţelor la data intrării în vigoare a noii legi. </w:t>
      </w:r>
    </w:p>
    <w:p w:rsidRPr="00A766B0" w:rsidR="00A766B0" w:rsidP="00A766B0">
      <w:pPr>
        <w:ind w:firstLine="993"/>
        <w:contextualSpacing/>
        <w:jc w:val="both"/>
      </w:pPr>
      <w:r w:rsidRPr="00A766B0">
        <w:t>În privinţa existenţei în concret a unui ref</w:t>
      </w:r>
      <w:r w:rsidRPr="00A766B0">
        <w:t>uz nejustificat al Autorității Naționale pentru Cetățenie de soluţionare a cererii de redobândire a cetăţeniei române, prin prisma noilor dispoziţii, acesta nu poate fi reţinut întrucât termenul de 2 ani prevăzut de art. 15 alin. (10) din Legea nr. 21/1991, astfel cum a fost modificată şi completată prin Legea nr. 14/2025, având în vedere data înregistrării cererii părţii reclamante la Autoritatea Națională pentru Cetățenie, anume 17.07.2023, nu este împlinit la data soluţionării recursului. În privinţa pre</w:t>
      </w:r>
      <w:r w:rsidRPr="00A766B0">
        <w:t xml:space="preserve">lungirii termenului de 2 ani cu 6 luni, conform art. 15 alin. (11) din lege, acesta nu este incident la data soluţionării recursului, întrucât preşedintele Autorității Naționale pentru Cetățenie nu a emis actul administrativ de prelungire a termenului de 2 ani. </w:t>
      </w:r>
    </w:p>
    <w:p w:rsidRPr="00A766B0" w:rsidR="00A766B0" w:rsidP="00A766B0">
      <w:pPr>
        <w:ind w:firstLine="993"/>
        <w:contextualSpacing/>
        <w:jc w:val="both"/>
      </w:pPr>
      <w:r w:rsidRPr="00A766B0">
        <w:t>Partea reclamantă nu poate invoca o încălcare a accesului său la justiţie prin intervenţia noii legi, întrucât dreptul de acces la justiţia în contencios administrativ nu îi este îngrădit în măsura în care Autoritatea Națională pentru Cetățenie ar e</w:t>
      </w:r>
      <w:r w:rsidRPr="00A766B0">
        <w:t xml:space="preserve">mite un ipotetic refuz nejustificat prin nesoluționarea culpabilă a cererii la împlinirea noului termen prevăzut de lege. </w:t>
      </w:r>
    </w:p>
    <w:p w:rsidRPr="00A766B0" w:rsidR="00A766B0" w:rsidP="00A766B0">
      <w:pPr>
        <w:ind w:firstLine="993"/>
        <w:contextualSpacing/>
        <w:jc w:val="both"/>
      </w:pPr>
      <w:r w:rsidRPr="00A766B0">
        <w:t xml:space="preserve">Curtea mai reține că volumul ridicat de activitate al Autorităţii Naţionale pentru Cetăţenie nu poate fi invocat în justificarea nesoluționării în termen a cererii părţii reclamante. Nici Legea nr. 21/1991, nici Legea nr. 554/2004 nu fac distincție în privința termenului de soluționare a cererii adresate autorității în funcție de volumul activității sale. </w:t>
      </w:r>
    </w:p>
    <w:p w:rsidRPr="00A766B0" w:rsidR="00A766B0" w:rsidP="00A766B0">
      <w:pPr>
        <w:ind w:firstLine="993"/>
        <w:contextualSpacing/>
        <w:jc w:val="both"/>
        <w:rPr>
          <w:shd w:val="clear" w:color="auto" w:fill="FFFFFF"/>
        </w:rPr>
      </w:pPr>
      <w:r w:rsidRPr="00A766B0">
        <w:t>În fine, Curtea nu poate valid</w:t>
      </w:r>
      <w:r w:rsidRPr="00A766B0">
        <w:t xml:space="preserve">a interpretarea părţii intimate întemeiate pe argumentaţia expusă de Curtea Constituţională în soluţia de admitere a excepţiei de neconstituţionalitate a dispoziţiilor </w:t>
      </w:r>
      <w:r w:rsidRPr="00A766B0">
        <w:rPr>
          <w:bdr w:val="none" w:color="auto" w:sz="0" w:space="0" w:frame="1"/>
          <w:shd w:val="clear" w:color="auto" w:fill="FFFFFF"/>
        </w:rPr>
        <w:t>art. 4 teza a doua din Legea nr. 165/2013</w:t>
      </w:r>
      <w:r w:rsidRPr="00A766B0">
        <w:rPr>
          <w:shd w:val="clear" w:color="auto" w:fill="FFFFFF"/>
        </w:rPr>
        <w:t> privind măsurile pentru finalizarea procesului de restituire, în natură sau prin echivalent, a imobilelor preluate în mod abuziv în perioada regimului comunist în România (Decizia nr. 88/27.02.2014 şi Decizia nr. 269/07.05.2014).</w:t>
      </w:r>
    </w:p>
    <w:p w:rsidRPr="00A766B0" w:rsidR="00A766B0" w:rsidP="00A766B0">
      <w:pPr>
        <w:ind w:firstLine="993"/>
        <w:contextualSpacing/>
        <w:jc w:val="both"/>
      </w:pPr>
      <w:r w:rsidRPr="00A766B0">
        <w:t>Astfel, jurisprudenţa instanţei de contencios constituţional poate fi re</w:t>
      </w:r>
      <w:r w:rsidRPr="00A766B0">
        <w:t xml:space="preserve">levantă în soluţionarea unei excepţii de neconstituţionalitate a prevederilor Legii nr. 21/1991, astfel cum a fost modificată şi completată prin Legea nr. 14/2025, dar nu poate justifica înlăturarea de la aplicare a normei legale cât timp aceasta este în vigoare, astfel cum este cazul speţei de la acest moment. Altfel spus, este real faptul că deciziile Curţii Constituţionale </w:t>
      </w:r>
      <w:r w:rsidRPr="00A766B0">
        <w:rPr>
          <w:shd w:val="clear" w:color="auto" w:fill="FFFFFF"/>
        </w:rPr>
        <w:t>sunt general obligatorii şi au putere numai pentru viitor, potrivit art. 147 alin. (4) din Constituţie, dar consecinţa acestui princi</w:t>
      </w:r>
      <w:r w:rsidRPr="00A766B0">
        <w:rPr>
          <w:shd w:val="clear" w:color="auto" w:fill="FFFFFF"/>
        </w:rPr>
        <w:t>piu este neconstituţionalitatea</w:t>
      </w:r>
      <w:r w:rsidRPr="00A766B0">
        <w:t xml:space="preserve"> dispoziţiilor </w:t>
      </w:r>
      <w:r w:rsidRPr="00A766B0">
        <w:rPr>
          <w:bdr w:val="none" w:color="auto" w:sz="0" w:space="0" w:frame="1"/>
          <w:shd w:val="clear" w:color="auto" w:fill="FFFFFF"/>
        </w:rPr>
        <w:t>art. 4 teza a doua din Legea nr. 165/2013</w:t>
      </w:r>
      <w:r w:rsidRPr="00A766B0">
        <w:t>, iar nu neconstituţionalitatea dispoziţiilor Legii nr. 21/1991, astfel cum a fost modificată şi completată prin Legea nr. 14/2025, şi, în plus, acest considerent nu poate justifica neaplicarea legii.</w:t>
      </w:r>
    </w:p>
    <w:p w:rsidRPr="00A766B0" w:rsidR="00A766B0" w:rsidP="00A766B0">
      <w:pPr>
        <w:ind w:firstLine="993"/>
        <w:contextualSpacing/>
        <w:jc w:val="both"/>
      </w:pPr>
      <w:r w:rsidRPr="00A766B0">
        <w:t xml:space="preserve">În concluzie, Curtea va admite recursul, va casa sentinţa recurată şi în rejudecare va respinge cererea părţii reclamante ca neîntemeiată. </w:t>
      </w:r>
    </w:p>
    <w:p w:rsidRPr="00A766B0" w:rsidR="00A766B0" w:rsidP="00A766B0">
      <w:pPr>
        <w:ind w:firstLine="993"/>
        <w:contextualSpacing/>
        <w:jc w:val="both"/>
      </w:pPr>
      <w:r w:rsidRPr="00A766B0">
        <w:t>În privinţa cheltuielilor de judecată, sunt incidente considerentele Deciziei nr. 59</w:t>
      </w:r>
      <w:r w:rsidRPr="00A766B0">
        <w:t>/2017 a Înaltei Curţi de Casaţie şi Justiţie – Completul pentru dezlegarea unor chestiuni de drept (pct. 82), precum şi ale Deciziei nr. 21/2022 a Înaltei Curţi de Casaţie şi Justiţie – Completul pentru soluţionarea recursului în interesul legii (pct. 56-59), potrivit cărora art. 453 alin. (1) C.pr.civ. consacră, drept fundament al plății cheltuielilor de judecată, culpa procesuală dovedită prin faptul pierderii procesului, interesând pentru aplicarea dispoziției legale, în egală măsură, atât rezultatul pro</w:t>
      </w:r>
      <w:r w:rsidRPr="00A766B0">
        <w:t xml:space="preserve">cesului, dar și conduita părților manifestată anterior litigiului ori pe parcursul acestuia; legiuitorul îngăduie exonerarea de la plata cheltuielilor de judecată în condiții limitativ prevăzute, anume în cazul recunoașterii pretențiilor până la primul termen la care părțile sunt legal citate. </w:t>
      </w:r>
    </w:p>
    <w:p w:rsidRPr="00A766B0" w:rsidR="00A766B0" w:rsidP="00A766B0">
      <w:pPr>
        <w:ind w:firstLine="993"/>
        <w:contextualSpacing/>
        <w:jc w:val="both"/>
      </w:pPr>
      <w:r w:rsidRPr="00A766B0">
        <w:t>Intervenţia legiuitorului în cursul unei proceduri, prin extinderea/prelungirea termenului de soluţionare a unei cereri administrative, aşa cum s-a întâmplat prin Legea nr. 14/2025, chiar dacă reprezintă un element o</w:t>
      </w:r>
      <w:r w:rsidRPr="00A766B0">
        <w:t xml:space="preserve">biectiv, nu se încadrează în cazurile de exceptare de la plata cheltuielilor de judecată, expres şi limitativ prevăzute de legiuitor. </w:t>
      </w:r>
    </w:p>
    <w:p w:rsidRPr="00A766B0" w:rsidR="00A766B0" w:rsidP="00A766B0">
      <w:pPr>
        <w:ind w:firstLine="993"/>
        <w:contextualSpacing/>
        <w:jc w:val="both"/>
      </w:pPr>
      <w:r w:rsidRPr="00A766B0">
        <w:t>Pe de altă parte, rezultă din Decizia nr. 76/2021 a Înaltei Curţi de Casaţie şi Justiţie - Completul pentru dezlegarea unor chestiuni de drept (pct. 96), că obligarea la plata cheltuielilor de judecată nu ar putea viza etapele intermediare ale judecăţii în care, prin raportare la specificul soluţiei pronunţate, nu s-ar putea încă determina nici partea care a pierdut, nici pa</w:t>
      </w:r>
      <w:r w:rsidRPr="00A766B0">
        <w:t>rtea care a câştigat procesul, litigiul nefiind încă tranşat. Or, intervenţia Legii nr. 14/2025, chiar dacă reprezintă un element obiectiv, nu se poate asimila cu netranşarea unui litigiu şi imposibilitatea determinării părţii care a pierdut sau care a câştigat procesul, câtă vreme instanţa a pronunţat o soluţie de admitere a recursului Autorității Naționale pentru Cetățenie, deci a tranşat litigiul în lumina noii legi.</w:t>
      </w:r>
    </w:p>
    <w:p w:rsidRPr="00A766B0" w:rsidR="00A766B0" w:rsidP="00A766B0">
      <w:pPr>
        <w:ind w:firstLine="993"/>
        <w:jc w:val="both"/>
        <w:rPr>
          <w:rFonts w:eastAsia="Calibri"/>
          <w:b/>
          <w:bCs/>
          <w:i/>
          <w:iCs/>
        </w:rPr>
      </w:pPr>
      <w:r w:rsidRPr="00A766B0">
        <w:rPr>
          <w:rFonts w:eastAsia="Calibri"/>
          <w:b/>
          <w:bCs/>
          <w:i/>
          <w:iCs/>
        </w:rPr>
        <w:t>2. Temeiul legal al soluției instanței de recurs</w:t>
      </w:r>
    </w:p>
    <w:p w:rsidRPr="00A766B0" w:rsidR="00A766B0" w:rsidP="00A766B0">
      <w:pPr>
        <w:ind w:firstLine="993"/>
        <w:jc w:val="both"/>
      </w:pPr>
      <w:r w:rsidRPr="00A766B0">
        <w:t xml:space="preserve">Pentru aceste considerente, în temeiul </w:t>
      </w:r>
      <w:r w:rsidRPr="00A766B0">
        <w:t xml:space="preserve">prevederilor art. 498 rap. la art. 488 alin. (1) pct. 8 C.pr.civ., Curtea </w:t>
      </w:r>
      <w:r w:rsidRPr="00A766B0">
        <w:rPr>
          <w:rFonts w:eastAsia="Calibri"/>
        </w:rPr>
        <w:t>va admite recursul, va casa sentința civilă recurată și</w:t>
      </w:r>
      <w:r w:rsidRPr="00A766B0">
        <w:t>, în rejudecare, va respinge cererea ca neîntemeiată.</w:t>
      </w:r>
    </w:p>
    <w:p w:rsidRPr="00A766B0" w:rsidR="00A766B0" w:rsidP="00A766B0">
      <w:pPr>
        <w:ind w:firstLine="993"/>
        <w:jc w:val="both"/>
      </w:pPr>
      <w:r w:rsidRPr="00A766B0">
        <w:t xml:space="preserve">În consecinţă, în baza art. 453 alin. (1) C.pr.civ., Curtea va obliga intimatul-reclamant la plata către recurenta-pârâtă a sumei de 100 lei cu titlu de cheltuieli de judecată (taxă judiciară de timbru).    </w:t>
      </w:r>
    </w:p>
    <w:p w:rsidRPr="00A766B0" w:rsidR="00A766B0" w:rsidP="00A766B0">
      <w:pPr>
        <w:ind w:firstLine="993"/>
        <w:contextualSpacing/>
        <w:jc w:val="center"/>
        <w:rPr>
          <w:b/>
        </w:rPr>
      </w:pPr>
    </w:p>
    <w:p w:rsidRPr="00A766B0" w:rsidR="00A766B0" w:rsidP="00A766B0">
      <w:pPr>
        <w:ind w:firstLine="993"/>
        <w:contextualSpacing/>
        <w:jc w:val="center"/>
        <w:rPr>
          <w:b/>
        </w:rPr>
      </w:pPr>
      <w:r w:rsidRPr="00A766B0">
        <w:rPr>
          <w:b/>
        </w:rPr>
        <w:t>PENTRU ACESTE MOTIVE,</w:t>
      </w:r>
    </w:p>
    <w:p w:rsidRPr="00A766B0" w:rsidR="00A766B0" w:rsidP="00A766B0">
      <w:pPr>
        <w:ind w:firstLine="993"/>
        <w:contextualSpacing/>
        <w:jc w:val="center"/>
        <w:rPr>
          <w:b/>
        </w:rPr>
      </w:pPr>
      <w:r w:rsidRPr="00A766B0">
        <w:rPr>
          <w:b/>
        </w:rPr>
        <w:t xml:space="preserve">  ÎN NUMELE LEGII,</w:t>
      </w:r>
    </w:p>
    <w:p w:rsidRPr="00A766B0" w:rsidR="00A766B0" w:rsidP="00A766B0">
      <w:pPr>
        <w:ind w:firstLine="993"/>
        <w:contextualSpacing/>
        <w:jc w:val="center"/>
        <w:rPr>
          <w:b/>
        </w:rPr>
      </w:pPr>
      <w:r w:rsidRPr="00A766B0">
        <w:rPr>
          <w:b/>
        </w:rPr>
        <w:t>DECIDE:</w:t>
      </w:r>
    </w:p>
    <w:p w:rsidRPr="00A766B0" w:rsidR="00A766B0" w:rsidP="00A766B0">
      <w:pPr>
        <w:ind w:firstLine="993"/>
        <w:contextualSpacing/>
      </w:pPr>
    </w:p>
    <w:p w:rsidRPr="00A766B0" w:rsidR="00A766B0" w:rsidP="00A766B0">
      <w:pPr>
        <w:ind w:firstLine="993"/>
        <w:jc w:val="both"/>
      </w:pPr>
      <w:r w:rsidRPr="00A766B0">
        <w:t xml:space="preserve">Admite recursul </w:t>
      </w:r>
      <w:r w:rsidRPr="00A766B0">
        <w:rPr>
          <w:rFonts w:eastAsia="Calibri"/>
        </w:rPr>
        <w:t xml:space="preserve">formulat de recurenta-pârâtă </w:t>
      </w:r>
      <w:r w:rsidRPr="00A766B0">
        <w:rPr>
          <w:rFonts w:eastAsia="Calibri"/>
          <w:b/>
        </w:rPr>
        <w:t>AUTORITATEA NAŢIONALĂ PEN</w:t>
      </w:r>
      <w:r w:rsidRPr="00A766B0">
        <w:rPr>
          <w:rFonts w:eastAsia="Calibri"/>
          <w:b/>
        </w:rPr>
        <w:t xml:space="preserve">TRU CETĂŢENIE, </w:t>
      </w:r>
      <w:r w:rsidRPr="00A766B0">
        <w:rPr>
          <w:rFonts w:eastAsia="Calibri"/>
          <w:bCs/>
        </w:rPr>
        <w:t xml:space="preserve">cu sediul în </w:t>
      </w:r>
      <w:r w:rsidR="00904A5E">
        <w:rPr>
          <w:rFonts w:eastAsia="Calibri"/>
          <w:bCs/>
        </w:rPr>
        <w:t>...........</w:t>
      </w:r>
      <w:r w:rsidRPr="00A766B0">
        <w:rPr>
          <w:rFonts w:eastAsia="Calibri"/>
          <w:bCs/>
        </w:rPr>
        <w:t xml:space="preserve">, </w:t>
      </w:r>
      <w:r w:rsidR="00904A5E">
        <w:rPr>
          <w:rFonts w:eastAsia="Calibri"/>
          <w:bCs/>
        </w:rPr>
        <w:t xml:space="preserve">................. </w:t>
      </w:r>
      <w:r w:rsidRPr="00A766B0">
        <w:rPr>
          <w:rFonts w:eastAsia="Calibri"/>
          <w:bCs/>
        </w:rPr>
        <w:t xml:space="preserve">, </w:t>
      </w:r>
      <w:r w:rsidRPr="00A766B0">
        <w:rPr>
          <w:rFonts w:eastAsia="Calibri"/>
        </w:rPr>
        <w:t xml:space="preserve">împotriva sentinţei civile nr. </w:t>
      </w:r>
      <w:r w:rsidR="00904A5E">
        <w:rPr>
          <w:rFonts w:eastAsia="Calibri"/>
        </w:rPr>
        <w:t>SC1/</w:t>
      </w:r>
      <w:r w:rsidRPr="00A766B0">
        <w:rPr>
          <w:rFonts w:eastAsia="Calibri"/>
        </w:rPr>
        <w:t xml:space="preserve">.2024 pronunţate de Tribunalul </w:t>
      </w:r>
      <w:r w:rsidR="00904A5E">
        <w:rPr>
          <w:rFonts w:eastAsia="Calibri"/>
        </w:rPr>
        <w:t>...........</w:t>
      </w:r>
      <w:r w:rsidRPr="00A766B0">
        <w:rPr>
          <w:rFonts w:eastAsia="Calibri"/>
        </w:rPr>
        <w:t xml:space="preserve"> - Secţia a </w:t>
      </w:r>
      <w:r w:rsidR="00904A5E">
        <w:rPr>
          <w:rFonts w:eastAsia="Calibri"/>
        </w:rPr>
        <w:t>..........</w:t>
      </w:r>
      <w:r w:rsidRPr="00A766B0">
        <w:rPr>
          <w:rFonts w:eastAsia="Calibri"/>
        </w:rPr>
        <w:t xml:space="preserve">contencios administrativ şi fiscal, în dosarul nr. </w:t>
      </w:r>
      <w:r w:rsidR="00904A5E">
        <w:rPr>
          <w:rFonts w:eastAsia="Calibri"/>
        </w:rPr>
        <w:t>...........</w:t>
      </w:r>
      <w:r w:rsidRPr="00A766B0">
        <w:rPr>
          <w:rFonts w:eastAsia="Calibri"/>
        </w:rPr>
        <w:t xml:space="preserve">, în contradictoriu cu intimatul-reclamant </w:t>
      </w:r>
      <w:r w:rsidR="00904A5E">
        <w:rPr>
          <w:rFonts w:eastAsia="Calibri"/>
          <w:b/>
          <w:bCs/>
        </w:rPr>
        <w:t>SIL....</w:t>
      </w:r>
      <w:r w:rsidRPr="00A766B0">
        <w:rPr>
          <w:rFonts w:eastAsia="Calibri"/>
          <w:b/>
          <w:bCs/>
        </w:rPr>
        <w:t xml:space="preserve">, </w:t>
      </w:r>
      <w:r w:rsidRPr="00A766B0">
        <w:rPr>
          <w:rFonts w:eastAsia="Calibri"/>
        </w:rPr>
        <w:t>cu domiciliul procesual ales în</w:t>
      </w:r>
      <w:r w:rsidRPr="00A766B0">
        <w:t xml:space="preserve"> </w:t>
      </w:r>
      <w:r w:rsidR="00904A5E">
        <w:rPr>
          <w:rFonts w:eastAsia="Calibri"/>
        </w:rPr>
        <w:t>...........</w:t>
      </w:r>
      <w:r w:rsidRPr="00A766B0">
        <w:rPr>
          <w:rFonts w:eastAsia="Calibri"/>
        </w:rPr>
        <w:t xml:space="preserve">, </w:t>
      </w:r>
      <w:r w:rsidR="00904A5E">
        <w:rPr>
          <w:rFonts w:eastAsia="Calibri"/>
        </w:rPr>
        <w:t>...............................................</w:t>
      </w:r>
      <w:r w:rsidRPr="00A766B0">
        <w:rPr>
          <w:rFonts w:eastAsia="Calibri"/>
        </w:rPr>
        <w:t>.</w:t>
      </w:r>
    </w:p>
    <w:p w:rsidRPr="00A766B0" w:rsidR="00A766B0" w:rsidP="00A766B0">
      <w:pPr>
        <w:ind w:firstLine="993"/>
        <w:jc w:val="both"/>
      </w:pPr>
      <w:r w:rsidRPr="00A766B0">
        <w:t>Casează sentinţa recurată şi, în rejudecare:</w:t>
      </w:r>
    </w:p>
    <w:p w:rsidRPr="00A766B0" w:rsidR="00A766B0" w:rsidP="00A766B0">
      <w:pPr>
        <w:ind w:firstLine="993"/>
        <w:jc w:val="both"/>
      </w:pPr>
      <w:r w:rsidRPr="00A766B0">
        <w:t>Respinge cererea ca neîntemeiată.</w:t>
      </w:r>
    </w:p>
    <w:p w:rsidRPr="00A766B0" w:rsidR="00A766B0" w:rsidP="00A766B0">
      <w:pPr>
        <w:ind w:firstLine="993"/>
        <w:jc w:val="both"/>
      </w:pPr>
      <w:r w:rsidRPr="00A766B0">
        <w:t>Obligă intimatul-reclamant la plata către recurenta-pârâtă a sumei de 100 lei cu titlu de cheltuieli de judecată.</w:t>
      </w:r>
    </w:p>
    <w:p w:rsidRPr="00A766B0" w:rsidR="00A766B0" w:rsidP="00A766B0">
      <w:pPr>
        <w:ind w:firstLine="993"/>
        <w:jc w:val="both"/>
      </w:pPr>
      <w:r w:rsidRPr="00A766B0">
        <w:t>Definitivă.</w:t>
      </w:r>
    </w:p>
    <w:p w:rsidRPr="00A766B0" w:rsidR="00A766B0" w:rsidP="00A766B0">
      <w:pPr>
        <w:ind w:firstLine="993"/>
        <w:jc w:val="both"/>
      </w:pPr>
      <w:r w:rsidRPr="00A766B0">
        <w:t xml:space="preserve">Pronunţată prin punerea soluţiei la dispoziţia părţilor de către grefa instanţei, azi, </w:t>
      </w:r>
      <w:r w:rsidR="00904A5E">
        <w:t>...........</w:t>
      </w:r>
      <w:r w:rsidRPr="00A766B0">
        <w:t>2025.</w:t>
      </w:r>
    </w:p>
    <w:p w:rsidRPr="00A766B0" w:rsidR="00A766B0" w:rsidP="00A766B0">
      <w:pPr>
        <w:ind w:firstLine="993"/>
        <w:contextualSpacing/>
        <w:jc w:val="both"/>
      </w:pPr>
    </w:p>
    <w:p w:rsidRPr="00A766B0" w:rsidR="00A766B0" w:rsidP="00A766B0">
      <w:pPr>
        <w:ind w:firstLine="993"/>
        <w:contextualSpacing/>
        <w:jc w:val="both"/>
      </w:pPr>
    </w:p>
    <w:p w:rsidRPr="00A766B0" w:rsidR="00A766B0" w:rsidP="00A766B0">
      <w:pPr>
        <w:ind w:firstLine="993"/>
        <w:jc w:val="both"/>
      </w:pPr>
      <w:r w:rsidRPr="00A766B0">
        <w:t xml:space="preserve">            Preşedinte                            Judecător                                Judecător </w:t>
      </w:r>
    </w:p>
    <w:p w:rsidRPr="00A766B0" w:rsidR="00A766B0" w:rsidP="00A766B0">
      <w:pPr>
        <w:ind w:firstLine="993"/>
        <w:jc w:val="both"/>
      </w:pPr>
      <w:r w:rsidRPr="00A766B0">
        <w:t xml:space="preserve">     </w:t>
      </w:r>
      <w:r w:rsidR="00904A5E">
        <w:t>..........................</w:t>
      </w:r>
      <w:r w:rsidRPr="00A766B0">
        <w:t xml:space="preserve">   </w:t>
      </w:r>
      <w:r w:rsidR="00904A5E">
        <w:t xml:space="preserve">        </w:t>
      </w:r>
      <w:r w:rsidRPr="00A766B0">
        <w:t xml:space="preserve">         </w:t>
      </w:r>
      <w:r w:rsidR="00904A5E">
        <w:t>..........................</w:t>
      </w:r>
      <w:r w:rsidRPr="00A766B0">
        <w:t xml:space="preserve">          </w:t>
      </w:r>
      <w:r w:rsidR="00904A5E">
        <w:t xml:space="preserve">                    </w:t>
      </w:r>
      <w:r w:rsidRPr="00A766B0">
        <w:t xml:space="preserve"> </w:t>
      </w:r>
      <w:r w:rsidR="00904A5E">
        <w:t>A0014</w:t>
      </w:r>
      <w:r w:rsidRPr="00A766B0">
        <w:t xml:space="preserve">             </w:t>
      </w:r>
    </w:p>
    <w:p w:rsidRPr="00A766B0" w:rsidR="00A766B0" w:rsidP="00A766B0">
      <w:pPr>
        <w:ind w:firstLine="993"/>
        <w:jc w:val="both"/>
      </w:pPr>
    </w:p>
    <w:p w:rsidRPr="00A766B0" w:rsidR="00A766B0" w:rsidP="00A766B0">
      <w:pPr>
        <w:ind w:firstLine="993"/>
        <w:jc w:val="both"/>
      </w:pPr>
    </w:p>
    <w:p w:rsidRPr="00A766B0" w:rsidR="00A766B0" w:rsidP="00A766B0">
      <w:pPr>
        <w:ind w:firstLine="993"/>
        <w:jc w:val="both"/>
      </w:pPr>
    </w:p>
    <w:p w:rsidRPr="00A766B0" w:rsidR="00A766B0" w:rsidP="00A766B0">
      <w:pPr>
        <w:ind w:firstLine="993"/>
        <w:jc w:val="both"/>
      </w:pPr>
      <w:r w:rsidRPr="00A766B0">
        <w:t xml:space="preserve">                                                          Grefier </w:t>
      </w:r>
    </w:p>
    <w:p w:rsidRPr="00A766B0" w:rsidR="00A766B0" w:rsidP="00A766B0">
      <w:pPr>
        <w:ind w:firstLine="993"/>
        <w:jc w:val="both"/>
      </w:pPr>
      <w:r w:rsidRPr="00A766B0">
        <w:rPr>
          <w:bCs/>
        </w:rPr>
        <w:t xml:space="preserve">                                                    </w:t>
      </w:r>
      <w:r w:rsidR="00904A5E">
        <w:rPr>
          <w:bCs/>
        </w:rPr>
        <w:t>..........................</w:t>
      </w:r>
    </w:p>
    <w:p w:rsidRPr="00A766B0" w:rsidR="00A766B0" w:rsidP="00A766B0">
      <w:pPr>
        <w:ind w:firstLine="993"/>
        <w:jc w:val="both"/>
      </w:pPr>
    </w:p>
    <w:p w:rsidRPr="00A766B0" w:rsidR="00A766B0" w:rsidP="00A766B0">
      <w:pPr>
        <w:ind w:firstLine="993"/>
        <w:contextualSpacing/>
        <w:jc w:val="center"/>
      </w:pPr>
    </w:p>
    <w:p w:rsidRPr="00A766B0" w:rsidR="00A766B0" w:rsidP="00A766B0">
      <w:pPr>
        <w:ind w:firstLine="993"/>
        <w:jc w:val="both"/>
        <w:rPr>
          <w:i/>
          <w:sz w:val="16"/>
          <w:szCs w:val="16"/>
        </w:rPr>
      </w:pPr>
      <w:r w:rsidRPr="00A766B0">
        <w:rPr>
          <w:i/>
          <w:sz w:val="16"/>
          <w:szCs w:val="16"/>
        </w:rPr>
        <w:t>Red./Thred./</w:t>
      </w:r>
      <w:r w:rsidR="00904A5E">
        <w:rPr>
          <w:i/>
          <w:sz w:val="16"/>
          <w:szCs w:val="16"/>
        </w:rPr>
        <w:t>A0014</w:t>
      </w:r>
      <w:r w:rsidRPr="00A766B0">
        <w:rPr>
          <w:i/>
          <w:sz w:val="16"/>
          <w:szCs w:val="16"/>
        </w:rPr>
        <w:t>../2 ex./</w:t>
      </w:r>
      <w:r w:rsidR="00904A5E">
        <w:rPr>
          <w:i/>
          <w:sz w:val="16"/>
          <w:szCs w:val="16"/>
        </w:rPr>
        <w:t>....................</w:t>
      </w:r>
    </w:p>
    <w:p w:rsidRPr="00A766B0" w:rsidR="00A766B0" w:rsidP="00A766B0">
      <w:pPr>
        <w:ind w:firstLine="993"/>
        <w:jc w:val="both"/>
        <w:rPr>
          <w:i/>
          <w:sz w:val="16"/>
          <w:szCs w:val="16"/>
        </w:rPr>
      </w:pPr>
      <w:r w:rsidRPr="00A766B0">
        <w:rPr>
          <w:i/>
          <w:sz w:val="16"/>
          <w:szCs w:val="16"/>
        </w:rPr>
        <w:t>Com. 2 ex./</w:t>
      </w:r>
    </w:p>
    <w:p w:rsidRPr="00A766B0" w:rsidR="00A766B0" w:rsidP="00A766B0">
      <w:pPr>
        <w:ind w:firstLine="993"/>
        <w:jc w:val="both"/>
        <w:rPr>
          <w:i/>
          <w:sz w:val="16"/>
          <w:szCs w:val="16"/>
        </w:rPr>
      </w:pPr>
      <w:r w:rsidRPr="00A766B0">
        <w:rPr>
          <w:i/>
          <w:sz w:val="16"/>
          <w:szCs w:val="16"/>
        </w:rPr>
        <w:t xml:space="preserve">Sentinţa civilă nr. </w:t>
      </w:r>
      <w:r w:rsidR="00904A5E">
        <w:rPr>
          <w:i/>
          <w:sz w:val="16"/>
          <w:szCs w:val="16"/>
        </w:rPr>
        <w:t>SC1/</w:t>
      </w:r>
      <w:r w:rsidRPr="00A766B0">
        <w:rPr>
          <w:i/>
          <w:sz w:val="16"/>
          <w:szCs w:val="16"/>
        </w:rPr>
        <w:t xml:space="preserve">.2024 pronunţată de Tribunalul </w:t>
      </w:r>
      <w:r w:rsidR="00904A5E">
        <w:rPr>
          <w:i/>
          <w:sz w:val="16"/>
          <w:szCs w:val="16"/>
        </w:rPr>
        <w:t>...........</w:t>
      </w:r>
      <w:r w:rsidRPr="00A766B0">
        <w:rPr>
          <w:i/>
          <w:sz w:val="16"/>
          <w:szCs w:val="16"/>
        </w:rPr>
        <w:t xml:space="preserve">- Secţia a </w:t>
      </w:r>
      <w:r w:rsidR="00904A5E">
        <w:rPr>
          <w:i/>
          <w:sz w:val="16"/>
          <w:szCs w:val="16"/>
        </w:rPr>
        <w:t>..........</w:t>
      </w:r>
      <w:r w:rsidRPr="00A766B0">
        <w:rPr>
          <w:i/>
          <w:sz w:val="16"/>
          <w:szCs w:val="16"/>
        </w:rPr>
        <w:t xml:space="preserve">contencios administrativ şi fiscal, în dosarul nr. </w:t>
      </w:r>
      <w:r w:rsidR="00904A5E">
        <w:rPr>
          <w:i/>
          <w:sz w:val="16"/>
          <w:szCs w:val="16"/>
        </w:rPr>
        <w:t>...........</w:t>
      </w:r>
    </w:p>
    <w:p w:rsidRPr="00A766B0" w:rsidR="00A766B0" w:rsidP="00A766B0">
      <w:pPr>
        <w:ind w:firstLine="993"/>
        <w:jc w:val="both"/>
        <w:rPr>
          <w:sz w:val="16"/>
          <w:szCs w:val="16"/>
        </w:rPr>
      </w:pPr>
      <w:r w:rsidRPr="00A766B0">
        <w:rPr>
          <w:i/>
          <w:sz w:val="16"/>
          <w:szCs w:val="16"/>
        </w:rPr>
        <w:t xml:space="preserve">Jud. fond: </w:t>
      </w:r>
      <w:r w:rsidR="00904A5E">
        <w:rPr>
          <w:i/>
          <w:sz w:val="16"/>
          <w:szCs w:val="16"/>
        </w:rPr>
        <w:t>.......................</w:t>
      </w:r>
      <w:r w:rsidRPr="00A766B0">
        <w:rPr>
          <w:i/>
          <w:sz w:val="16"/>
          <w:szCs w:val="16"/>
        </w:rPr>
        <w:t xml:space="preserve"> </w:t>
      </w:r>
    </w:p>
    <w:p w:rsidRPr="00A766B0" w:rsidR="00090D1C" w:rsidP="00A766B0"/>
    <w:sectPr w:rsidSect="00A766B0">
      <w:footerReference w:type="default" r:id="rId4"/>
      <w:pgSz w:w="11906" w:h="16838"/>
      <w:pgMar w:top="567" w:right="851"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ACD">
    <w:pPr>
      <w:pStyle w:val="Footer"/>
      <w:jc w:val="center"/>
    </w:pPr>
    <w:r>
      <w:fldChar w:fldCharType="begin"/>
    </w:r>
    <w:r>
      <w:instrText>PAGE   \* MERGEFORMAT</w:instrText>
    </w:r>
    <w:r>
      <w:fldChar w:fldCharType="separate"/>
    </w:r>
    <w:r w:rsidR="00CA741C">
      <w:rPr>
        <w:noProof/>
      </w:rPr>
      <w:t>2</w:t>
    </w:r>
    <w:r>
      <w:fldChar w:fldCharType="end"/>
    </w:r>
  </w:p>
  <w:p w:rsidR="00141ACD">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mirrorMargins/>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141ACD"/>
    <w:rsid w:val="001514F4"/>
    <w:rsid w:val="00190DF5"/>
    <w:rsid w:val="00230098"/>
    <w:rsid w:val="00236F8B"/>
    <w:rsid w:val="00310770"/>
    <w:rsid w:val="003676FC"/>
    <w:rsid w:val="00434264"/>
    <w:rsid w:val="004362D5"/>
    <w:rsid w:val="00444EB7"/>
    <w:rsid w:val="00460FA8"/>
    <w:rsid w:val="00483536"/>
    <w:rsid w:val="005C6A7E"/>
    <w:rsid w:val="005E0080"/>
    <w:rsid w:val="006D1FDD"/>
    <w:rsid w:val="008D6F98"/>
    <w:rsid w:val="008E7782"/>
    <w:rsid w:val="00902C7A"/>
    <w:rsid w:val="00904A5E"/>
    <w:rsid w:val="00982CB8"/>
    <w:rsid w:val="009847E9"/>
    <w:rsid w:val="009876B0"/>
    <w:rsid w:val="009B7961"/>
    <w:rsid w:val="00A56F73"/>
    <w:rsid w:val="00A74B82"/>
    <w:rsid w:val="00A766B0"/>
    <w:rsid w:val="00BC4A1A"/>
    <w:rsid w:val="00BC5260"/>
    <w:rsid w:val="00BF0E6F"/>
    <w:rsid w:val="00C55A42"/>
    <w:rsid w:val="00CA741C"/>
    <w:rsid w:val="00F035C2"/>
  </w:rsids>
  <w:docVars>
    <w:docVar w:name="url" w:val="https://cabuc.just.ro/ecris_cdms/document_upload.aspx?id_document=200000005345697&amp;id_departament=54&amp;id_sesiune=6024648&amp;id_user=712&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link w:val="HeaderChar"/>
    <w:rsid w:val="00141ACD"/>
    <w:pPr>
      <w:tabs>
        <w:tab w:val="center" w:pos="4536"/>
        <w:tab w:val="right" w:pos="9072"/>
      </w:tabs>
    </w:pPr>
  </w:style>
  <w:style w:type="character" w:customStyle="1" w:styleId="HeaderChar">
    <w:name w:val="Header Char"/>
    <w:link w:val="Header"/>
    <w:rsid w:val="00141ACD"/>
    <w:rPr>
      <w:sz w:val="24"/>
      <w:szCs w:val="24"/>
    </w:rPr>
  </w:style>
  <w:style w:type="paragraph" w:styleId="Footer">
    <w:name w:val="footer"/>
    <w:basedOn w:val="Normal"/>
    <w:link w:val="FooterChar"/>
    <w:uiPriority w:val="99"/>
    <w:rsid w:val="00141ACD"/>
    <w:pPr>
      <w:tabs>
        <w:tab w:val="center" w:pos="4536"/>
        <w:tab w:val="right" w:pos="9072"/>
      </w:tabs>
    </w:pPr>
  </w:style>
  <w:style w:type="character" w:customStyle="1" w:styleId="FooterChar">
    <w:name w:val="Footer Char"/>
    <w:link w:val="Footer"/>
    <w:uiPriority w:val="99"/>
    <w:rsid w:val="00141ACD"/>
    <w:rPr>
      <w:sz w:val="24"/>
      <w:szCs w:val="24"/>
    </w:rPr>
  </w:style>
  <w:style w:type="character" w:styleId="Hyperlink">
    <w:name w:val="Hyperlink"/>
    <w:uiPriority w:val="99"/>
    <w:unhideWhenUsed/>
    <w:rsid w:val="00A766B0"/>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15</ap:TotalTime>
  <ap:Pages>4</ap:Pages>
  <ap:Words>2405</ap:Words>
  <ap:Characters>13709</ap:Characters>
  <ap:Application>Microsoft Office Word</ap:Application>
  <ap:DocSecurity>0</ap:DocSecurity>
  <ap:Lines>114</ap:Lines>
  <ap:Paragraphs>32</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16082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2025-04-30T06:45:00.0000000Z</lastPrinted>
  <dc:subject/>
  <dc:description/>
  <keywords/>
  <category/>
  <contentStatus/>
  <dc:identifier/>
  <dc:language/>
  <version/>
</coreProperties>
</file>