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544AB7" w:rsidR="00832C91" w:rsidP="00832C91">
      <w:pPr>
        <w:jc w:val="right"/>
        <w:rPr>
          <w:rStyle w:val="Fontdeparagrafimplicit"/>
          <w:b/>
        </w:rPr>
      </w:pPr>
      <w:r w:rsidRPr="00544AB7">
        <w:rPr>
          <w:rStyle w:val="Fontdeparagrafimplicit"/>
          <w:b/>
        </w:rPr>
        <w:t>Hotărârea 3</w:t>
      </w:r>
    </w:p>
    <w:p w:rsidRPr="00544AB7" w:rsidR="00D41C6E">
      <w:pPr>
        <w:jc w:val="center"/>
        <w:rPr>
          <w:rStyle w:val="Fontdeparagrafimplicit"/>
          <w:b/>
        </w:rPr>
      </w:pPr>
      <w:r w:rsidRPr="00544AB7">
        <w:rPr>
          <w:rStyle w:val="Fontdeparagrafimplicit"/>
          <w:b/>
        </w:rPr>
        <w:t>R O M Â N I A</w:t>
      </w:r>
    </w:p>
    <w:p w:rsidRPr="00544AB7" w:rsidR="00D41C6E">
      <w:pPr>
        <w:jc w:val="center"/>
        <w:rPr>
          <w:rStyle w:val="Fontdeparagrafimplicit"/>
          <w:b/>
        </w:rPr>
      </w:pPr>
      <w:r w:rsidRPr="00544AB7">
        <w:rPr>
          <w:rStyle w:val="Fontdeparagrafimplicit"/>
          <w:b/>
        </w:rPr>
        <w:t xml:space="preserve">CURTEA DE APEL </w:t>
      </w:r>
      <w:r w:rsidRPr="00544AB7" w:rsidR="007604E8">
        <w:rPr>
          <w:rStyle w:val="Fontdeparagrafimplicit"/>
          <w:b/>
        </w:rPr>
        <w:t>............</w:t>
      </w:r>
    </w:p>
    <w:p w:rsidRPr="00544AB7" w:rsidR="00D41C6E">
      <w:pPr>
        <w:jc w:val="center"/>
        <w:rPr>
          <w:rStyle w:val="Fontdeparagrafimplicit"/>
          <w:b/>
        </w:rPr>
      </w:pPr>
      <w:r w:rsidRPr="00544AB7">
        <w:rPr>
          <w:rStyle w:val="Fontdeparagrafimplicit"/>
          <w:b/>
        </w:rPr>
        <w:t xml:space="preserve">SECŢIA </w:t>
      </w:r>
      <w:r w:rsidRPr="00544AB7" w:rsidR="00832C91">
        <w:rPr>
          <w:rStyle w:val="Fontdeparagrafimplicit"/>
          <w:b/>
        </w:rPr>
        <w:t>.....</w:t>
      </w:r>
      <w:r w:rsidRPr="00544AB7">
        <w:rPr>
          <w:rStyle w:val="Fontdeparagrafimplicit"/>
          <w:b/>
        </w:rPr>
        <w:t xml:space="preserve"> CONTENCIOS ADMINISTRATIV ŞI FISCAL</w:t>
      </w:r>
    </w:p>
    <w:p w:rsidRPr="00544AB7" w:rsidR="00D41C6E">
      <w:pPr>
        <w:rPr>
          <w:rStyle w:val="Fontdeparagrafimplicit"/>
          <w:b/>
        </w:rPr>
      </w:pPr>
      <w:r w:rsidRPr="00544AB7">
        <w:rPr>
          <w:rStyle w:val="Fontdeparagrafimplicit"/>
          <w:b/>
        </w:rPr>
        <w:t>DOSAR NR.</w:t>
      </w:r>
      <w:r w:rsidRPr="00544AB7" w:rsidR="00832C91">
        <w:rPr>
          <w:rStyle w:val="Fontdeparagrafimplicit"/>
          <w:b/>
        </w:rPr>
        <w:t>.....</w:t>
      </w:r>
      <w:r w:rsidRPr="00544AB7">
        <w:rPr>
          <w:rStyle w:val="Fontdeparagrafimplicit"/>
          <w:b/>
        </w:rPr>
        <w:t>/</w:t>
      </w:r>
      <w:r w:rsidRPr="00544AB7" w:rsidR="00832C91">
        <w:rPr>
          <w:rStyle w:val="Fontdeparagrafimplicit"/>
          <w:b/>
        </w:rPr>
        <w:t>...</w:t>
      </w:r>
      <w:r w:rsidRPr="00544AB7">
        <w:rPr>
          <w:rStyle w:val="Fontdeparagrafimplicit"/>
          <w:b/>
        </w:rPr>
        <w:t>/2021</w:t>
      </w:r>
    </w:p>
    <w:p w:rsidRPr="00544AB7" w:rsidR="00D41C6E">
      <w:pPr>
        <w:jc w:val="center"/>
        <w:rPr>
          <w:rStyle w:val="Fontdeparagrafimplicit"/>
          <w:b/>
        </w:rPr>
      </w:pPr>
    </w:p>
    <w:p w:rsidRPr="00544AB7" w:rsidR="00D41C6E">
      <w:pPr>
        <w:jc w:val="center"/>
        <w:rPr>
          <w:rStyle w:val="Fontdeparagrafimplicit"/>
          <w:b/>
          <w:color w:val="000000"/>
        </w:rPr>
      </w:pPr>
      <w:r w:rsidRPr="00544AB7">
        <w:rPr>
          <w:rStyle w:val="Fontdeparagrafimplicit"/>
          <w:b/>
          <w:color w:val="000000"/>
        </w:rPr>
        <w:t>SENTINŢA CIVILĂ NR.</w:t>
      </w:r>
      <w:r w:rsidRPr="00544AB7" w:rsidR="00832C91">
        <w:rPr>
          <w:rStyle w:val="Fontdeparagrafimplicit"/>
          <w:b/>
          <w:color w:val="000000"/>
        </w:rPr>
        <w:t>.....</w:t>
      </w:r>
    </w:p>
    <w:p w:rsidRPr="00544AB7" w:rsidR="00D41C6E">
      <w:pPr>
        <w:jc w:val="center"/>
        <w:rPr>
          <w:rStyle w:val="Fontdeparagrafimplicit"/>
          <w:b/>
          <w:color w:val="000000"/>
        </w:rPr>
      </w:pPr>
      <w:r w:rsidRPr="00544AB7">
        <w:rPr>
          <w:rStyle w:val="Fontdeparagrafimplicit"/>
          <w:b/>
          <w:color w:val="000000"/>
        </w:rPr>
        <w:t xml:space="preserve">ŞEDINŢA PUBLICĂ  DE LA </w:t>
      </w:r>
      <w:r w:rsidRPr="00544AB7" w:rsidR="00832C91">
        <w:rPr>
          <w:rStyle w:val="Fontdeparagrafimplicit"/>
          <w:b/>
          <w:color w:val="000000"/>
        </w:rPr>
        <w:t>.............</w:t>
      </w:r>
    </w:p>
    <w:p w:rsidRPr="00544AB7" w:rsidR="00D41C6E">
      <w:pPr>
        <w:jc w:val="center"/>
        <w:rPr>
          <w:rStyle w:val="Fontdeparagrafimplicit"/>
          <w:b/>
        </w:rPr>
      </w:pPr>
      <w:r w:rsidRPr="00544AB7">
        <w:rPr>
          <w:rStyle w:val="Fontdeparagrafimplicit"/>
          <w:b/>
        </w:rPr>
        <w:t>CURTEA CONSTITUITĂ DIN:</w:t>
      </w:r>
    </w:p>
    <w:p w:rsidRPr="00544AB7" w:rsidR="00D41C6E">
      <w:pPr>
        <w:jc w:val="center"/>
        <w:rPr>
          <w:rStyle w:val="Fontdeparagrafimplicit"/>
          <w:b/>
        </w:rPr>
      </w:pPr>
      <w:r w:rsidRPr="00544AB7">
        <w:rPr>
          <w:rStyle w:val="Fontdeparagrafimplicit"/>
          <w:b/>
        </w:rPr>
        <w:t xml:space="preserve">PREŞEDINTE – </w:t>
      </w:r>
      <w:r w:rsidRPr="00544AB7" w:rsidR="00832C91">
        <w:rPr>
          <w:rStyle w:val="Fontdeparagrafimplicit"/>
          <w:b/>
        </w:rPr>
        <w:t>A0005</w:t>
      </w:r>
    </w:p>
    <w:p w:rsidRPr="00544AB7" w:rsidR="00D41C6E">
      <w:pPr>
        <w:jc w:val="center"/>
        <w:rPr>
          <w:rStyle w:val="Fontdeparagrafimplicit"/>
          <w:b/>
        </w:rPr>
      </w:pPr>
      <w:r w:rsidRPr="00544AB7">
        <w:rPr>
          <w:rStyle w:val="Fontdeparagrafimplicit"/>
          <w:b/>
        </w:rPr>
        <w:t xml:space="preserve">  GREFIER  - </w:t>
      </w:r>
      <w:r w:rsidRPr="00544AB7" w:rsidR="00832C91">
        <w:rPr>
          <w:rStyle w:val="Fontdeparagrafimplicit"/>
          <w:b/>
        </w:rPr>
        <w:t>............</w:t>
      </w:r>
    </w:p>
    <w:p w:rsidRPr="00544AB7" w:rsidR="00D41C6E">
      <w:pPr>
        <w:ind w:firstLine="708"/>
        <w:jc w:val="both"/>
        <w:rPr>
          <w:rStyle w:val="Fontdeparagrafimplicit"/>
        </w:rPr>
      </w:pPr>
    </w:p>
    <w:p w:rsidRPr="00544AB7" w:rsidR="00D41C6E">
      <w:pPr>
        <w:ind w:firstLine="708"/>
        <w:jc w:val="both"/>
      </w:pPr>
      <w:r w:rsidRPr="00544AB7">
        <w:t xml:space="preserve">Pe rol  fiind soluţionarea acţiunii în contencios administrativ şi fiscal  formulată de reclamanta  </w:t>
      </w:r>
      <w:bookmarkStart w:name="_Hlk236745295" w:id="0"/>
      <w:r w:rsidRPr="00544AB7" w:rsidR="00FC492C">
        <w:rPr>
          <w:rStyle w:val="Fontdeparagrafimplicit"/>
          <w:b/>
        </w:rPr>
        <w:t>...Y...</w:t>
      </w:r>
      <w:r w:rsidRPr="00544AB7">
        <w:rPr>
          <w:rStyle w:val="Fontdeparagrafimplicit"/>
          <w:b/>
        </w:rPr>
        <w:t xml:space="preserve"> IFN S.A</w:t>
      </w:r>
      <w:bookmarkEnd w:id="0"/>
      <w:r w:rsidRPr="00544AB7">
        <w:rPr>
          <w:rStyle w:val="Fontdeparagrafimplicit"/>
          <w:b/>
        </w:rPr>
        <w:t xml:space="preserve">, </w:t>
      </w:r>
      <w:r w:rsidRPr="00544AB7">
        <w:t xml:space="preserve">în contradictoriu cu pârâtul </w:t>
      </w:r>
      <w:r w:rsidRPr="00544AB7">
        <w:rPr>
          <w:rStyle w:val="Fontdeparagrafimplicit"/>
          <w:b/>
        </w:rPr>
        <w:t>Consiliul Concurenţei</w:t>
      </w:r>
      <w:r w:rsidRPr="00544AB7">
        <w:t>,</w:t>
      </w:r>
      <w:r w:rsidRPr="00544AB7">
        <w:rPr>
          <w:rStyle w:val="Fontdeparagrafimplicit"/>
          <w:b/>
        </w:rPr>
        <w:t xml:space="preserve"> </w:t>
      </w:r>
      <w:r w:rsidRPr="00544AB7">
        <w:t>având ca obiect „anulare acte privind reglementarea concurenţei(componentă ajutor de stat, componentă concurentă) - DEC...../09/12/2020”.</w:t>
      </w:r>
    </w:p>
    <w:p w:rsidRPr="00544AB7" w:rsidR="00D41C6E">
      <w:pPr>
        <w:jc w:val="both"/>
      </w:pPr>
      <w:r w:rsidRPr="00544AB7">
        <w:t xml:space="preserve">        </w:t>
      </w:r>
      <w:r w:rsidRPr="00544AB7">
        <w:tab/>
        <w:t xml:space="preserve">Dezbaterile orale au avut loc în şedinţa publică din data </w:t>
      </w:r>
      <w:r w:rsidRPr="00544AB7" w:rsidR="00832C91">
        <w:t>............</w:t>
      </w:r>
      <w:r w:rsidRPr="00544AB7">
        <w:t xml:space="preserve">, fiind consemnate  în cuprinsul încheierii de la aceea dată, care face parte integrantă din prezenta hotărâre, când Curtea, având nevoie de timp pentru a delibera, a amânat pronunţarea cauzei pentru data de  </w:t>
      </w:r>
      <w:r w:rsidRPr="00544AB7" w:rsidR="00832C91">
        <w:t>............</w:t>
      </w:r>
      <w:r w:rsidRPr="00544AB7">
        <w:t xml:space="preserve">, </w:t>
      </w:r>
      <w:r w:rsidRPr="00544AB7" w:rsidR="00832C91">
        <w:t>............</w:t>
      </w:r>
      <w:r w:rsidRPr="00544AB7">
        <w:t xml:space="preserve">, </w:t>
      </w:r>
      <w:r w:rsidRPr="00544AB7" w:rsidR="00832C91">
        <w:t>............</w:t>
      </w:r>
      <w:r w:rsidRPr="00544AB7">
        <w:t xml:space="preserve">, </w:t>
      </w:r>
      <w:r w:rsidRPr="00544AB7" w:rsidR="00832C91">
        <w:t>............</w:t>
      </w:r>
      <w:r w:rsidRPr="00544AB7">
        <w:t xml:space="preserve">, </w:t>
      </w:r>
      <w:r w:rsidRPr="00544AB7" w:rsidR="00832C91">
        <w:t>............</w:t>
      </w:r>
      <w:r w:rsidRPr="00544AB7">
        <w:t xml:space="preserve"> apoi la </w:t>
      </w:r>
      <w:r w:rsidRPr="00544AB7" w:rsidR="00832C91">
        <w:t>............</w:t>
      </w:r>
      <w:r w:rsidRPr="00544AB7">
        <w:t>,  când  a pronunţat prezenta sentinţă,</w:t>
      </w:r>
    </w:p>
    <w:p w:rsidRPr="00544AB7" w:rsidR="00D41C6E">
      <w:pPr>
        <w:jc w:val="both"/>
      </w:pPr>
    </w:p>
    <w:p w:rsidRPr="00544AB7" w:rsidR="00D41C6E">
      <w:pPr>
        <w:tabs>
          <w:tab w:val="left" w:pos="709"/>
        </w:tabs>
        <w:jc w:val="center"/>
        <w:rPr>
          <w:rStyle w:val="Fontdeparagrafimplicit"/>
          <w:b/>
          <w:lang w:val="en-US"/>
        </w:rPr>
      </w:pPr>
      <w:r w:rsidRPr="00544AB7">
        <w:rPr>
          <w:rStyle w:val="Fontdeparagrafimplicit"/>
          <w:b/>
          <w:lang w:val="en-US"/>
        </w:rPr>
        <w:t>Curtea</w:t>
      </w:r>
    </w:p>
    <w:p w:rsidRPr="00544AB7" w:rsidR="00D41C6E">
      <w:pPr>
        <w:tabs>
          <w:tab w:val="left" w:pos="709"/>
        </w:tabs>
        <w:jc w:val="both"/>
        <w:rPr>
          <w:rStyle w:val="Fontdeparagrafimplicit"/>
          <w:b/>
          <w:lang w:val="en-US"/>
        </w:rPr>
      </w:pPr>
      <w:r w:rsidRPr="00544AB7">
        <w:rPr>
          <w:rStyle w:val="Fontdeparagrafimplicit"/>
          <w:lang w:val="en-US"/>
        </w:rPr>
        <w:tab/>
      </w:r>
      <w:r w:rsidRPr="00544AB7">
        <w:rPr>
          <w:rStyle w:val="Fontdeparagrafimplicit"/>
          <w:lang w:val="en-US"/>
        </w:rPr>
        <w:tab/>
        <w:t xml:space="preserve">  </w:t>
      </w:r>
    </w:p>
    <w:p w:rsidRPr="00544AB7" w:rsidR="00D41C6E">
      <w:pPr>
        <w:jc w:val="both"/>
      </w:pPr>
      <w:r w:rsidRPr="00544AB7">
        <w:tab/>
        <w:t>Asupra acţiunii civile de faţă;</w:t>
      </w:r>
    </w:p>
    <w:p w:rsidRPr="00544AB7" w:rsidR="00D41C6E">
      <w:pPr>
        <w:ind w:firstLine="708"/>
        <w:jc w:val="both"/>
      </w:pPr>
      <w:r w:rsidRPr="00544AB7">
        <w:t>Din examinarea lucrărilor din dosar, constată următoarele:</w:t>
      </w:r>
    </w:p>
    <w:p w:rsidRPr="00544AB7" w:rsidR="00D41C6E">
      <w:pPr>
        <w:ind w:firstLine="708"/>
        <w:jc w:val="both"/>
        <w:rPr>
          <w:rStyle w:val="Fontdeparagrafimplicit"/>
          <w:b/>
        </w:rPr>
      </w:pPr>
      <w:r w:rsidRPr="00544AB7">
        <w:rPr>
          <w:rStyle w:val="Fontdeparagrafimplicit"/>
          <w:b/>
        </w:rPr>
        <w:t xml:space="preserve">I.Circumstanţele cauzei. Cadrul procesual </w:t>
      </w:r>
    </w:p>
    <w:p w:rsidRPr="00544AB7" w:rsidR="00D41C6E">
      <w:pPr>
        <w:ind w:firstLine="708"/>
        <w:jc w:val="both"/>
        <w:rPr>
          <w:rStyle w:val="Fontdeparagrafimplicit"/>
          <w:i/>
        </w:rPr>
      </w:pPr>
      <w:r w:rsidRPr="00544AB7">
        <w:rPr>
          <w:rStyle w:val="Fontdeparagrafimplicit"/>
          <w:i/>
        </w:rPr>
        <w:t>I.1.Cererea de chemare în judecată</w:t>
      </w:r>
      <w:r w:rsidRPr="00544AB7">
        <w:rPr>
          <w:rStyle w:val="Fontdeparagrafimplicit"/>
          <w:i/>
        </w:rPr>
        <w:tab/>
        <w:t xml:space="preserve">  </w:t>
      </w:r>
    </w:p>
    <w:p w:rsidRPr="00544AB7" w:rsidR="00D41C6E">
      <w:pPr>
        <w:ind w:firstLine="708"/>
        <w:jc w:val="both"/>
      </w:pPr>
      <w:r w:rsidRPr="00544AB7">
        <w:t xml:space="preserve">Prin acţiunea înregistrată pe rolul Curţii de Apel </w:t>
      </w:r>
      <w:r w:rsidRPr="00544AB7" w:rsidR="007604E8">
        <w:t>............</w:t>
      </w:r>
      <w:r w:rsidRPr="00544AB7">
        <w:t xml:space="preserve">-secţia </w:t>
      </w:r>
      <w:r w:rsidRPr="00544AB7" w:rsidR="00832C91">
        <w:t>.....</w:t>
      </w:r>
      <w:r w:rsidRPr="00544AB7">
        <w:t xml:space="preserve"> în data de </w:t>
      </w:r>
      <w:r w:rsidRPr="00544AB7">
        <w:rPr>
          <w:rStyle w:val="Fontdeparagrafimplicit"/>
          <w:lang w:val="en-US"/>
        </w:rPr>
        <w:t xml:space="preserve">11.05.2021, reclamantă </w:t>
      </w:r>
      <w:r w:rsidRPr="00544AB7" w:rsidR="00FC492C">
        <w:t>...Y...</w:t>
      </w:r>
      <w:r w:rsidRPr="00544AB7">
        <w:t xml:space="preserve"> IFN (Romania) S.A. (“</w:t>
      </w:r>
      <w:r w:rsidRPr="00544AB7" w:rsidR="00FC492C">
        <w:t>...Y*...</w:t>
      </w:r>
      <w:r w:rsidRPr="00544AB7">
        <w:t>”) a chemat în judecată pe pârâtul Consiliul Concurenţei, solicitând instanței să dispună:</w:t>
      </w:r>
    </w:p>
    <w:p w:rsidRPr="00544AB7" w:rsidR="00D41C6E">
      <w:pPr>
        <w:ind w:firstLine="708"/>
        <w:jc w:val="both"/>
      </w:pPr>
      <w:r w:rsidRPr="00544AB7">
        <w:t xml:space="preserve">1.Anularea Ordinului de deschidere a investigației nr. ....../20.11.2017, precum și a operațiunilor administrative ce au stat la baza acestuia </w:t>
      </w:r>
    </w:p>
    <w:p w:rsidRPr="00544AB7" w:rsidR="00D41C6E">
      <w:pPr>
        <w:ind w:firstLine="708"/>
        <w:jc w:val="both"/>
      </w:pPr>
      <w:r w:rsidRPr="00544AB7">
        <w:t>2.În principal, anularea în parte a Deciziei Consiliului Concurenţei nr. ..../09.12.2020,  în ceea ce o priveşte pe reclamantă.</w:t>
      </w:r>
    </w:p>
    <w:p w:rsidRPr="00544AB7" w:rsidR="00D41C6E">
      <w:pPr>
        <w:ind w:firstLine="708"/>
        <w:jc w:val="both"/>
      </w:pPr>
      <w:r w:rsidRPr="00544AB7">
        <w:t>3.Anularea Raportului de investigaţie ce a stat la baza emiterii Deciziei și a tuturor operațiunilor administrative ce au stat la baza acestora (convocarea plenului Consiliului Concurenței, ședința de audieri din data de 03.12.2020 si actele încheiate de Consiliul Concurenței în urma acesteia, ședința de deliberare din data de 09.12.2020 și minuta încheiată în urma acesteia) şi, pe cale de consecinţă, exonerarea reclamantei de la plata amenzii în cuantum de 386.197,77 lei stabilită prin art. 3 pct. 8 din Decizie;</w:t>
      </w:r>
    </w:p>
    <w:p w:rsidRPr="00544AB7" w:rsidR="00D41C6E">
      <w:pPr>
        <w:ind w:firstLine="708"/>
        <w:jc w:val="both"/>
      </w:pPr>
      <w:r w:rsidRPr="00544AB7">
        <w:t>3.În subsidiar, reducerea amenzii aplicate.</w:t>
      </w:r>
    </w:p>
    <w:p w:rsidRPr="00544AB7" w:rsidR="00D41C6E">
      <w:pPr>
        <w:ind w:firstLine="708"/>
        <w:jc w:val="both"/>
      </w:pPr>
      <w:r w:rsidRPr="00544AB7">
        <w:t>4. Obligarea Consiliului Concurenţei la plata cheltuielilor de judecată.</w:t>
      </w:r>
    </w:p>
    <w:p w:rsidRPr="00544AB7" w:rsidR="00D41C6E">
      <w:pPr>
        <w:ind w:firstLine="708"/>
        <w:jc w:val="both"/>
      </w:pPr>
      <w:r w:rsidRPr="00544AB7">
        <w:t>În motivarea acţiunii, reclamanta a afirmat, în esenţă, următoarele:</w:t>
      </w:r>
    </w:p>
    <w:p w:rsidRPr="00544AB7" w:rsidR="00D41C6E">
      <w:pPr>
        <w:ind w:firstLine="708"/>
        <w:jc w:val="both"/>
      </w:pPr>
      <w:r w:rsidRPr="00544AB7">
        <w:t xml:space="preserve">Prin Ordinul nr. ...... din 20.11.2017,  Președintele Consiliului Concurenței a dispus declanșarea unei investigații având ca obiect posibila încălcare a prevederilor art. 5 alin. (1) din Legea concurenței nr. 21/1996 și ale art. 101 alin. (1) din Tratatul privind funcționarea Uniunii Europene, de către </w:t>
      </w:r>
      <w:bookmarkStart w:name="_Hlk236745774" w:id="1"/>
      <w:r w:rsidRPr="00544AB7" w:rsidR="0075748D">
        <w:t>Asociația ...W...</w:t>
      </w:r>
      <w:r w:rsidRPr="00544AB7">
        <w:t xml:space="preserve"> (denumită în continuare „</w:t>
      </w:r>
      <w:r w:rsidRPr="00544AB7" w:rsidR="0075748D">
        <w:t>...W*...</w:t>
      </w:r>
      <w:r w:rsidRPr="00544AB7">
        <w:t xml:space="preserve">"), </w:t>
      </w:r>
      <w:r w:rsidRPr="00544AB7" w:rsidR="00F3046A">
        <w:t>Federația Patronatelor ...F.1...</w:t>
      </w:r>
      <w:r w:rsidRPr="00544AB7">
        <w:t xml:space="preserve">, </w:t>
      </w:r>
      <w:r w:rsidRPr="00544AB7" w:rsidR="00F3046A">
        <w:t>Patronatul ...F.2...</w:t>
      </w:r>
      <w:r w:rsidRPr="00544AB7">
        <w:t xml:space="preserve">, </w:t>
      </w:r>
      <w:r w:rsidRPr="00544AB7" w:rsidR="00F3046A">
        <w:t>Patronatul ...F.3...</w:t>
      </w:r>
      <w:r w:rsidRPr="00544AB7">
        <w:t xml:space="preserve">, de către membrii acestora, precum și de către </w:t>
      </w:r>
      <w:r w:rsidRPr="00544AB7" w:rsidR="0018311F">
        <w:t>...X...</w:t>
      </w:r>
      <w:r w:rsidRPr="00544AB7">
        <w:t xml:space="preserve"> SRL</w:t>
      </w:r>
      <w:bookmarkEnd w:id="1"/>
      <w:r w:rsidRPr="00544AB7">
        <w:t xml:space="preserve">, pe piața serviciilor de leasing financiar și pe piața creditelor de </w:t>
      </w:r>
      <w:r w:rsidRPr="00544AB7">
        <w:t>consum. Investigația a vizat posibile schimburi de informații sensibile din punct de vedere comercial între companii concurente pe piața leasingului financiar și a creditului de consum.</w:t>
      </w:r>
    </w:p>
    <w:p w:rsidRPr="00544AB7" w:rsidR="00D41C6E">
      <w:pPr>
        <w:ind w:firstLine="708"/>
        <w:jc w:val="both"/>
      </w:pPr>
      <w:r w:rsidRPr="00544AB7">
        <w:t xml:space="preserve">Investigația a fost declanșată în baza solicitării SC </w:t>
      </w:r>
      <w:r w:rsidRPr="00544AB7" w:rsidR="0018311F">
        <w:t>...X...</w:t>
      </w:r>
      <w:r w:rsidRPr="00544AB7">
        <w:t xml:space="preserve"> SRL din data de 04.08.2017 de a beneficia de procedura de clemență, în temeiul prevederilor art. 25 alin. (1) lit. a) și ale art. 33 alin. (1) lit. a) din Legea concurenței. </w:t>
      </w:r>
    </w:p>
    <w:p w:rsidRPr="00544AB7" w:rsidR="00D41C6E">
      <w:pPr>
        <w:ind w:firstLine="708"/>
        <w:jc w:val="both"/>
      </w:pPr>
      <w:r w:rsidRPr="00544AB7">
        <w:t xml:space="preserve">În data de 16.10.2019 Consiliul Concurenței a comunicat Reclamantei primul raport al investigației. Acesta sancționa o presupusă practică anticoncurențială, respectiv “realizarea unei înțelegeri și/sau practici concertate săvârșite prin participarea la un schimb de informații sensibile din punct de vedere comercial. Schimbul de informații sensibile a avut ca obiect atât date viitoare despre activitatea firmelor (estimări transmise </w:t>
      </w:r>
      <w:r w:rsidRPr="00544AB7" w:rsidR="0018311F">
        <w:t>...X...</w:t>
      </w:r>
      <w:r w:rsidRPr="00544AB7">
        <w:t xml:space="preserve"> SRL în cadrul procedurii agreate de schimb de informații, respectiv informații cuprinse în planurile de afaceri / rapoartele ale administratorilor comunicate </w:t>
      </w:r>
      <w:r w:rsidRPr="00544AB7" w:rsidR="0075748D">
        <w:t>...W*...</w:t>
      </w:r>
      <w:r w:rsidRPr="00544AB7">
        <w:t xml:space="preserve">), cât și date trecute/recente, al căror efect a fost acela de a crea un grad de transparență ridicat între membrii asociației, care să îi protejeze de concurența externă, prin accentuarea barierelor de intrare pe piață.”. </w:t>
      </w:r>
    </w:p>
    <w:p w:rsidRPr="00544AB7" w:rsidR="00D41C6E">
      <w:pPr>
        <w:ind w:firstLine="708"/>
        <w:jc w:val="both"/>
      </w:pPr>
      <w:r w:rsidRPr="00544AB7">
        <w:t>De asemenea, Primul raport reținea detaliat, încă din debutul acestuia, că fapta presupus anticoncurențială ar fi reprezentat o încălcare atât prin obiect, cât și prin efect, fiecare din aceste pretinse încălcări fiind detaliate cu exemple concrete (pag. 3-7 din primul Raport).</w:t>
      </w:r>
    </w:p>
    <w:p w:rsidRPr="00544AB7" w:rsidR="00D41C6E">
      <w:pPr>
        <w:ind w:firstLine="708"/>
        <w:jc w:val="both"/>
      </w:pPr>
      <w:r w:rsidRPr="00544AB7">
        <w:t xml:space="preserve">În ceea ce privește durata, Consiliul Concurenței a reținut pentru fiecare întreprindere participantă la practica anticoncurențială, cuprinsă în intervalul 1 an și 2 luni - 8 ani și 6 luni, aferent perioadei ianuarie 2008 - iunie 2016, perioadă în decursul căreia a considerat că ar exista probe că s-ar fi derulat schimbul de informații. Pentru majoritatea societăților, printre care și </w:t>
      </w:r>
      <w:r w:rsidRPr="00544AB7" w:rsidR="00FC492C">
        <w:t>...Y*...</w:t>
      </w:r>
      <w:r w:rsidRPr="00544AB7">
        <w:t>, prin acest prim Raport s-a reținut o încălcare pentru o durată de peste 8 ani.</w:t>
      </w:r>
    </w:p>
    <w:p w:rsidRPr="00544AB7" w:rsidR="00D41C6E">
      <w:pPr>
        <w:ind w:firstLine="708"/>
        <w:jc w:val="both"/>
      </w:pPr>
      <w:r w:rsidRPr="00544AB7">
        <w:t xml:space="preserve">În plus, primul raport reținea participarea la pretinsa practică anticoncurențială, a 35 de instituții – 25 IFN-uri și 10 societăți comerciale SRL și SA (printre care și </w:t>
      </w:r>
      <w:r w:rsidRPr="00544AB7" w:rsidR="0075748D">
        <w:t>...W*...</w:t>
      </w:r>
      <w:r w:rsidRPr="00544AB7">
        <w:t xml:space="preserve"> și </w:t>
      </w:r>
      <w:r w:rsidRPr="00544AB7" w:rsidR="0018311F">
        <w:t>...X...</w:t>
      </w:r>
      <w:r w:rsidRPr="00544AB7">
        <w:t>).</w:t>
      </w:r>
    </w:p>
    <w:p w:rsidRPr="00544AB7" w:rsidR="00D41C6E">
      <w:pPr>
        <w:ind w:firstLine="708"/>
        <w:jc w:val="both"/>
      </w:pPr>
      <w:r w:rsidRPr="00544AB7">
        <w:t xml:space="preserve">În data de 14 ianuarie 2020, au avut loc audierile în Plenul Consiliului Concurenței, cu privire la primul raport de investigație. Urmare a ședinței de deliberare din data de 25.02.2020, Plenul Consiliului Concurenței nu a fost convins de analiza efectuată de echipa de investigație, astfel că a decis transmiterea primului Raport către raportor și echipa de caz în vederea completării analizei din raportul Investigației.. </w:t>
      </w:r>
    </w:p>
    <w:p w:rsidRPr="00544AB7" w:rsidR="00D41C6E">
      <w:pPr>
        <w:ind w:firstLine="708"/>
        <w:jc w:val="both"/>
      </w:pPr>
      <w:r w:rsidRPr="00544AB7">
        <w:t>Din Minuta ședințelor de deliberări din data de 25.02.2020, reiese că primul Raport nu dovedea caracterul sensibil din punct de vedere concurențial al schimbului de informații viitoare din perspectiva unei posibile fapte cu obiect anticoncurențial, și nu s-a demonstrat îndeplinirea standardului de probă privind existența acordului de voință al părților implicate în posibila practică anticoncurențială, plenul Consiliului solicitând echipei de investigație:</w:t>
      </w:r>
    </w:p>
    <w:p w:rsidRPr="00544AB7" w:rsidR="00D41C6E">
      <w:pPr>
        <w:ind w:firstLine="708"/>
        <w:jc w:val="both"/>
      </w:pPr>
      <w:r w:rsidRPr="00544AB7">
        <w:t>-</w:t>
      </w:r>
      <w:r w:rsidRPr="00544AB7">
        <w:tab/>
        <w:t>în cazul unei posibile încălcări prin obiect, „să clarifice și să completeze analiza referitoare la caracterul sensibil din punct de vedere concurențial al schimbului de informații viitoare din perspectiva unei posibile fapte cu obiect anticoncurențial, precum și îndeplinirea standardului de probă privind existența acordului de voință al părților implicate în posibila practică anticoncurențială”</w:t>
      </w:r>
    </w:p>
    <w:p w:rsidRPr="00544AB7" w:rsidR="00D41C6E">
      <w:pPr>
        <w:ind w:firstLine="708"/>
        <w:jc w:val="both"/>
      </w:pPr>
      <w:r w:rsidRPr="00544AB7">
        <w:t>-</w:t>
      </w:r>
      <w:r w:rsidRPr="00544AB7">
        <w:tab/>
        <w:t>în cazul unei posibile încălcări prin efect, să clarifice și să completeze „analiza referitoare la afectarea concurenței ca urmare a schimbului de informații recente și trecute de către părțile implicate în realizarea posibilei practici anticoncurențiale, în acord cu jurisprudența europeană”.</w:t>
      </w:r>
    </w:p>
    <w:p w:rsidRPr="00544AB7" w:rsidR="00D41C6E">
      <w:pPr>
        <w:ind w:firstLine="708"/>
        <w:jc w:val="both"/>
      </w:pPr>
      <w:r w:rsidRPr="00544AB7">
        <w:t>Prin adresa Consiliului Concurenței din 16 octombrie 2020, părțile implicate au fost convocate la ședința de audieri în fața Plenului Consiliului Concurenței, ce a avut loc în data de 3 decembrie 2020, Prin aceeași comunicare, părților implicate li s-a transmis câte o copie a noului raport de investigație (“al doilea Raport”), și le-a fost solicitată comunicarea, în scris, a observațiilor cu privire la conținutul acestuia.</w:t>
      </w:r>
    </w:p>
    <w:p w:rsidRPr="00544AB7" w:rsidR="00D41C6E">
      <w:pPr>
        <w:ind w:firstLine="708"/>
        <w:jc w:val="both"/>
      </w:pPr>
      <w:r w:rsidRPr="00544AB7">
        <w:t xml:space="preserve">Practica anticoncurențială reținută prin cel de al doilea raport este “realizarea unei înțelegeri și/sau practici concertate săvârșite de către firme membre ale </w:t>
      </w:r>
      <w:r w:rsidRPr="00544AB7" w:rsidR="001516A7">
        <w:t>Asociației ...W...</w:t>
      </w:r>
      <w:r w:rsidRPr="00544AB7">
        <w:t xml:space="preserve"> (</w:t>
      </w:r>
      <w:r w:rsidRPr="00544AB7" w:rsidR="0075748D">
        <w:t>...W*...</w:t>
      </w:r>
      <w:r w:rsidRPr="00544AB7">
        <w:t>) prin participarea la un schimb de informații sensibile din punct de vedere comercial cu privire la cantități viitoare, care a avut potențialul de a conduce la reducerea incertitudinii strategice de pe piață.”.</w:t>
      </w:r>
    </w:p>
    <w:p w:rsidRPr="00544AB7" w:rsidR="00D41C6E">
      <w:pPr>
        <w:ind w:firstLine="708"/>
        <w:jc w:val="both"/>
      </w:pPr>
      <w:r w:rsidRPr="00544AB7">
        <w:t xml:space="preserve">Similar cu primul Raport, și cel de al doilea Raport a reținut piața relevantă a produsului s-a definit ca fiind piața serviciilor de leasing financiar.  Însă, prin cel de al doilea Raport, nu se mai face distincția și evidențierea încălcării prin obiect/efect și nici nu se mai susține caracterul anticoncurențial al tuturor informațiilor schimbate între membrii </w:t>
      </w:r>
      <w:r w:rsidRPr="00544AB7" w:rsidR="0075748D">
        <w:t>...W*...</w:t>
      </w:r>
      <w:r w:rsidRPr="00544AB7">
        <w:t xml:space="preserve">, ci se reține că fapta considerată anticoncurențială se limitează exclusiv la pretinsul schimb de informații sensibile ce a avut ca obiect estimări viitoare cu privire la valoarea finanțată aferentă anului 2014, acestea fiind informații cuprinse în doar două raportări, și anume Q4 2013 și Q1 2014. </w:t>
      </w:r>
    </w:p>
    <w:p w:rsidRPr="00544AB7" w:rsidR="00D41C6E">
      <w:pPr>
        <w:ind w:firstLine="708"/>
        <w:jc w:val="both"/>
      </w:pPr>
      <w:r w:rsidRPr="00544AB7">
        <w:t xml:space="preserve">De asemenea, cel de al doilea Raport relevă o durată a presupusei fapte anticoncurențiale mai mică de un an pentru fiecare întreprindere participantă la pretinsa practică anticoncurențială. </w:t>
      </w:r>
    </w:p>
    <w:p w:rsidRPr="00544AB7" w:rsidR="00D41C6E">
      <w:pPr>
        <w:ind w:firstLine="708"/>
        <w:jc w:val="both"/>
      </w:pPr>
      <w:r w:rsidRPr="00544AB7">
        <w:t xml:space="preserve">În plus, spre deosebire de primul Raport, cel de al doilea Raport reține participarea la pretinsa practică anticoncurențială a 18 entități (16 instituții de leasing, </w:t>
      </w:r>
      <w:r w:rsidRPr="00544AB7" w:rsidR="0018311F">
        <w:t>...X...</w:t>
      </w:r>
      <w:r w:rsidRPr="00544AB7">
        <w:t xml:space="preserve"> și </w:t>
      </w:r>
      <w:r w:rsidRPr="00544AB7" w:rsidR="0075748D">
        <w:t>...W*...</w:t>
      </w:r>
      <w:r w:rsidRPr="00544AB7">
        <w:t xml:space="preserve">). </w:t>
      </w:r>
    </w:p>
    <w:p w:rsidRPr="00544AB7" w:rsidR="00D41C6E">
      <w:pPr>
        <w:ind w:firstLine="708"/>
        <w:jc w:val="both"/>
      </w:pPr>
      <w:r w:rsidRPr="00544AB7">
        <w:t xml:space="preserve">La acest Raport, reclamanta a depus obiecțiuni, în data de 17.11.2020, iar, în data de 3.12.2020, reprezentanții desemnați ai reclamantei au susținut poziția </w:t>
      </w:r>
      <w:r w:rsidRPr="00544AB7" w:rsidR="00FC492C">
        <w:t>...Y*...</w:t>
      </w:r>
      <w:r w:rsidRPr="00544AB7">
        <w:t xml:space="preserve"> în cadrul ședinței de audieri. </w:t>
      </w:r>
    </w:p>
    <w:p w:rsidRPr="00544AB7" w:rsidR="00D41C6E">
      <w:pPr>
        <w:ind w:firstLine="708"/>
        <w:jc w:val="both"/>
      </w:pPr>
      <w:r w:rsidRPr="00544AB7">
        <w:t xml:space="preserve">În urma audierilor, Consiliul Concurenței a emis minuta deliberărilor prin care se dispunea sancționarea </w:t>
      </w:r>
      <w:r w:rsidRPr="00544AB7" w:rsidR="00FC492C">
        <w:t>...Y*...</w:t>
      </w:r>
      <w:r w:rsidRPr="00544AB7">
        <w:t xml:space="preserve"> cu o amendă în procent de 3,5 % din cifra de afaceri aferentă anului 2019, respectiv suma de 386.197,77 LEI. Decizia a fost comunicată Reclamantei în data de 08.04.2021.</w:t>
      </w:r>
    </w:p>
    <w:p w:rsidRPr="00544AB7" w:rsidR="00D41C6E">
      <w:pPr>
        <w:ind w:firstLine="708"/>
        <w:jc w:val="both"/>
      </w:pPr>
      <w:r w:rsidRPr="00544AB7">
        <w:t>Reclamanta a susţinut că decizia este nelegală, pentru motivele ce vor fi expuse în continuare.</w:t>
      </w:r>
    </w:p>
    <w:p w:rsidRPr="00544AB7" w:rsidR="00D41C6E">
      <w:pPr>
        <w:ind w:firstLine="708"/>
        <w:jc w:val="both"/>
      </w:pPr>
      <w:r w:rsidRPr="00544AB7">
        <w:t>I.Neîndeplinirea condițiilor de formă pentru adoptarea valabilă a deciziei</w:t>
      </w:r>
    </w:p>
    <w:p w:rsidRPr="00544AB7" w:rsidR="00D41C6E">
      <w:pPr>
        <w:ind w:firstLine="708"/>
        <w:jc w:val="both"/>
      </w:pPr>
      <w:r w:rsidRPr="00544AB7">
        <w:t>I.1. La data emiterii Ordinului de deschidere a investigației, doi dintre membrii plenului Consiliului Concurenței exercitau această funcție în mod nelegal</w:t>
      </w:r>
    </w:p>
    <w:p w:rsidRPr="00544AB7" w:rsidR="00D41C6E">
      <w:pPr>
        <w:ind w:firstLine="708"/>
        <w:jc w:val="both"/>
      </w:pPr>
      <w:r w:rsidRPr="00544AB7">
        <w:t>Potrivit prevederilor art. 19  din Legea 21/1996 :</w:t>
      </w:r>
    </w:p>
    <w:p w:rsidRPr="00544AB7" w:rsidR="00D41C6E">
      <w:pPr>
        <w:ind w:firstLine="708"/>
        <w:jc w:val="both"/>
      </w:pPr>
      <w:r w:rsidRPr="00544AB7">
        <w:t>“(1) Consiliul Concurenţei îşi desfăşoară activitatea, deliberează şi ia decizii în plen sau în comisii. Plenul Consiliului Concurenţei se întruneşte valabil în prezenţa majorităţii membrilor în funcţie, dar nu mai puţin de 3 dintre aceştia, şi adoptă hotărâri cu votul majorităţii membrilor prezenţi. Comisia adoptă hotărâri cu majoritatea voturilor membrilor. Plenul adoptă hotărâri asupra chestiunilor de natură economico-administrativă, la solicitarea preşedintelui.</w:t>
      </w:r>
    </w:p>
    <w:p w:rsidRPr="00544AB7" w:rsidR="00D41C6E">
      <w:pPr>
        <w:ind w:firstLine="708"/>
        <w:jc w:val="both"/>
      </w:pPr>
      <w:r w:rsidRPr="00544AB7">
        <w:t>(3) Pe baza hotărârii luate de plen sau de comisie, după caz, preşedintele Consiliului Concurenţei dispune, prin ordin, efectuarea de investigaţii. Prin acelaşi ordin este desemnat raportorul de caz, în baza propunerii directorului general.</w:t>
      </w:r>
    </w:p>
    <w:p w:rsidRPr="00544AB7" w:rsidR="00D41C6E">
      <w:pPr>
        <w:ind w:firstLine="708"/>
        <w:jc w:val="both"/>
      </w:pPr>
      <w:r w:rsidRPr="00544AB7">
        <w:t>(6) În formaţiunile deliberative fiecare membru dispune de un vot; în caz de partaj egal al voturilor, soluţia votată de preşedinte prevalează”.</w:t>
      </w:r>
    </w:p>
    <w:p w:rsidRPr="00544AB7" w:rsidR="00D41C6E">
      <w:pPr>
        <w:ind w:firstLine="708"/>
        <w:jc w:val="both"/>
      </w:pPr>
      <w:r w:rsidRPr="00544AB7">
        <w:t>În cuprinsul Ordinului de deschidere a investigației, se menționează faptul că acesta a fost emis, printre altele, în baza Hotărârii plenului Consiliului Concurenței din data de 20.11.2017 prin care s-a dispus declanșarea unei investigații din oficiu.</w:t>
      </w:r>
    </w:p>
    <w:p w:rsidRPr="00544AB7" w:rsidR="00D41C6E">
      <w:pPr>
        <w:ind w:firstLine="708"/>
        <w:jc w:val="both"/>
      </w:pPr>
      <w:r w:rsidRPr="00544AB7">
        <w:t xml:space="preserve">La momentul declanșării investigației, mandatul a doi membrii ai plenului Consiliului Concurenței -i.e. domnul </w:t>
      </w:r>
      <w:r w:rsidRPr="00544AB7" w:rsidR="00136365">
        <w:t>...M.1...</w:t>
      </w:r>
      <w:r w:rsidRPr="00544AB7">
        <w:t xml:space="preserve"> și domnul </w:t>
      </w:r>
      <w:r w:rsidRPr="00544AB7" w:rsidR="00136365">
        <w:t>...M.2...</w:t>
      </w:r>
      <w:r w:rsidRPr="00544AB7">
        <w:t xml:space="preserve"> - era expirat:</w:t>
      </w:r>
    </w:p>
    <w:p w:rsidRPr="00544AB7" w:rsidR="00D41C6E">
      <w:pPr>
        <w:ind w:firstLine="708"/>
        <w:jc w:val="both"/>
      </w:pPr>
      <w:r w:rsidRPr="00544AB7">
        <w:t>-</w:t>
      </w:r>
      <w:r w:rsidRPr="00544AB7">
        <w:tab/>
        <w:t xml:space="preserve">domnul </w:t>
      </w:r>
      <w:r w:rsidRPr="00544AB7" w:rsidR="00136365">
        <w:t>...M.1...</w:t>
      </w:r>
      <w:r w:rsidRPr="00544AB7">
        <w:t xml:space="preserve"> a fost numit membru al plenului Consiliului Concurenței în data de la 20 decembrie 2011, prin Decretul nr. </w:t>
      </w:r>
      <w:r w:rsidRPr="00544AB7" w:rsidR="00136365">
        <w:t>.../2011</w:t>
      </w:r>
      <w:r w:rsidRPr="00544AB7">
        <w:t xml:space="preserve"> pentru numirea unui membru al </w:t>
      </w:r>
      <w:r w:rsidRPr="00544AB7">
        <w:t xml:space="preserve">Plenului Consiliului Concurenței, pentru o perioada de 5 ani , acesta expirând la data de 20.12.2016, mandatul acestuia fiind reînnoit abia în 18 iunie 2018, prin Decretul nr. </w:t>
      </w:r>
      <w:r w:rsidRPr="00544AB7" w:rsidR="00136365">
        <w:t>..../2018</w:t>
      </w:r>
      <w:r w:rsidRPr="00544AB7">
        <w:t xml:space="preserve">. </w:t>
      </w:r>
    </w:p>
    <w:p w:rsidRPr="00544AB7" w:rsidR="00D41C6E">
      <w:pPr>
        <w:ind w:firstLine="708"/>
        <w:jc w:val="both"/>
      </w:pPr>
      <w:r w:rsidRPr="00544AB7">
        <w:t>-</w:t>
      </w:r>
      <w:r w:rsidRPr="00544AB7">
        <w:tab/>
        <w:t xml:space="preserve">domnul </w:t>
      </w:r>
      <w:r w:rsidRPr="00544AB7" w:rsidR="00136365">
        <w:t>...M.2...</w:t>
      </w:r>
      <w:r w:rsidRPr="00544AB7">
        <w:t xml:space="preserve"> a fost numit membru al plenului Consiliului Concurenței în data de la 27 aprilie 2009, prin Decretul nr. </w:t>
      </w:r>
      <w:r w:rsidRPr="00544AB7" w:rsidR="008111C5">
        <w:t>..../2009</w:t>
      </w:r>
      <w:r w:rsidRPr="00544AB7">
        <w:t xml:space="preserve"> pentru numirea unui membru al Plenului Consiliului Concurenței, pentru o perioada de 5 ani, acesta expirând la data de 05.05.2014 , mandatul acestuia fiind reînnoit abia în 18 iunie 2018, prin Decretul nr. </w:t>
      </w:r>
      <w:r w:rsidRPr="00544AB7" w:rsidR="008111C5">
        <w:t>..../2018</w:t>
      </w:r>
      <w:r w:rsidRPr="00544AB7">
        <w:t>.</w:t>
      </w:r>
    </w:p>
    <w:p w:rsidRPr="00544AB7" w:rsidR="00D41C6E">
      <w:pPr>
        <w:ind w:firstLine="708"/>
        <w:jc w:val="both"/>
      </w:pPr>
      <w:r w:rsidRPr="00544AB7">
        <w:t>Astfel, la data Hotărârii plenului Consiliului Concurenței de deschidere a investigației, acești membri exercitau această funcție în baza art. 18 alin. (3) din Legea Concurenței, care, la data de 20.11.2017 avea următorul conținut:</w:t>
      </w:r>
    </w:p>
    <w:p w:rsidRPr="00544AB7" w:rsidR="00D41C6E">
      <w:pPr>
        <w:ind w:firstLine="708"/>
        <w:jc w:val="both"/>
      </w:pPr>
      <w:r w:rsidRPr="00544AB7">
        <w:t xml:space="preserve"> “În situaţia în care până la expirarea duratei mandatului unui membru al Plenului Consiliului Concurenţei, în condiţiile art. 15 alin. (9) lit. a), nu este numit un succesor, membrul Plenului al cărui mandat expiră îşi va continua activitatea până la depunerea jurământului de către cel desemnat pentru mandatul următor.”.</w:t>
      </w:r>
    </w:p>
    <w:p w:rsidRPr="00544AB7" w:rsidR="00D41C6E">
      <w:pPr>
        <w:ind w:firstLine="708"/>
        <w:jc w:val="both"/>
      </w:pPr>
      <w:r w:rsidRPr="00544AB7">
        <w:t xml:space="preserve">La data de 26.01.2021, Curtea Constituțională a României a admis excepția de neconstituționalitate cu privire la art. 18 alin. (3) din Legea concurenței nr. 21/1996, în forma mai sus menționată, declarând că acestea sunt neconstituționale. </w:t>
      </w:r>
    </w:p>
    <w:p w:rsidRPr="00544AB7" w:rsidR="00D41C6E">
      <w:pPr>
        <w:ind w:firstLine="708"/>
        <w:jc w:val="both"/>
      </w:pPr>
      <w:r w:rsidRPr="00544AB7">
        <w:t xml:space="preserve">Astfel, instanța urmează să constate că, în condițiile în care doi dintre membrii Plenului exercitau în mod nelegal funcția la data adoptării Hotărârii Plenului din 20.11.2017, aceasta este lovită de nulitate, atrăgând pe cale de consecință inclusiv nulitatea Ordinului de deschidere a investigației. </w:t>
      </w:r>
    </w:p>
    <w:p w:rsidRPr="00544AB7" w:rsidR="00D41C6E">
      <w:pPr>
        <w:ind w:firstLine="708"/>
        <w:jc w:val="both"/>
      </w:pPr>
      <w:r w:rsidRPr="00544AB7">
        <w:t>În ceea ce privește valabilitatea actelor emise cu nerespectarea prevederilor legale pentru adoptarea acestora, fiind aplicabile inclusiv în cazul în care nu sunt respectate prevederile legale privind atribuțiile și competențele persoanelor însărcinate cu adoparea actului, potrivit prevederilor art. 174 din Codul de porcedură civilă, dreptul comun în materie,:</w:t>
      </w:r>
    </w:p>
    <w:p w:rsidRPr="00544AB7" w:rsidR="00D41C6E">
      <w:pPr>
        <w:ind w:firstLine="708"/>
        <w:jc w:val="both"/>
      </w:pPr>
      <w:r w:rsidRPr="00544AB7">
        <w:t xml:space="preserve"> “ (1) Nulitatea este sancțiunea care lipsește total sau parțial de efecte actul de procedură efectuat cu nerespectarea cerințelor legale, de fond sau de formă. (2) Nulitatea este absolută atunci când cerința nerespectată este instituită printr-o normă care ocrotește un interes public. ”.</w:t>
      </w:r>
    </w:p>
    <w:p w:rsidRPr="00544AB7" w:rsidR="00D41C6E">
      <w:pPr>
        <w:ind w:firstLine="708"/>
        <w:jc w:val="both"/>
      </w:pPr>
      <w:r w:rsidRPr="00544AB7">
        <w:t>Or, este evident că normele ce instituie modalitatea de exercitare a funcției de membru al plenului Consiliului Concurenței sunt norme ce interes un interes public, fiind vorba de funcționarea unei instituții a statului, sancțiunea aplicabilă cazul nerespectării dispozițiilor legale privind calitatea membrilor Consiliului Concurenței fiind nulitatea absolută, necondiționată de vătămare .</w:t>
      </w:r>
    </w:p>
    <w:p w:rsidRPr="00544AB7" w:rsidR="00D41C6E">
      <w:pPr>
        <w:ind w:firstLine="708"/>
        <w:jc w:val="both"/>
      </w:pPr>
      <w:r w:rsidRPr="00544AB7">
        <w:t>II.2.</w:t>
      </w:r>
      <w:r w:rsidRPr="00544AB7">
        <w:tab/>
        <w:t>La data audierilor cu privire la cel de-al doilea Raport și a adoptării Deciziei, mandatul Președintelui Consiliului Concurenței încetase ca urmare a incompatibilității acestuia</w:t>
      </w:r>
    </w:p>
    <w:p w:rsidRPr="00544AB7" w:rsidR="00D41C6E">
      <w:pPr>
        <w:ind w:firstLine="708"/>
        <w:jc w:val="both"/>
      </w:pPr>
      <w:r w:rsidRPr="00544AB7">
        <w:t>Potrivit prevederilor art. 15 alin. (6) din Legea 21/1996, în vigoare la data de 03.12.2020 (data audierilor) și data de 09.12.2020 (data deliberărilor):</w:t>
      </w:r>
    </w:p>
    <w:p w:rsidRPr="00544AB7" w:rsidR="00D41C6E">
      <w:pPr>
        <w:ind w:firstLine="708"/>
        <w:jc w:val="both"/>
      </w:pPr>
      <w:r w:rsidRPr="00544AB7">
        <w:t>“Calitatea de membru al Consiliului Concurenţei este incompatibilă cu exercitarea oricărei alte activităţi profesionale sau de consultanţă, cu participarea, directă ori prin persoane interpuse, la conducerea sau administrarea unor entităţi publice ori private sau cu deţinerea de funcţii ori de demnităţi publice, cu excepţia funcţiilor şi activităţilor didactice din învăţământul superior, cercetare ştiinţifică şi creaţie literar-artistică. Ei nu pot fi desemnaţi experţi sau arbitri nici de părţi şi nici de instanţa judecătorească sau de către o altă instituţie.”</w:t>
      </w:r>
    </w:p>
    <w:p w:rsidRPr="00544AB7" w:rsidR="00D41C6E">
      <w:pPr>
        <w:ind w:firstLine="708"/>
        <w:jc w:val="both"/>
      </w:pPr>
      <w:r w:rsidRPr="00544AB7">
        <w:t>Potrivit prevederilor art. 15 alin. (9) lit, e din Legea 21/1996:</w:t>
      </w:r>
    </w:p>
    <w:p w:rsidRPr="00544AB7" w:rsidR="00D41C6E">
      <w:pPr>
        <w:ind w:firstLine="708"/>
        <w:jc w:val="both"/>
      </w:pPr>
      <w:r w:rsidRPr="00544AB7">
        <w:t>“Mandatul de membru al Plenului Consiliului Concurenţei încetează: (...)</w:t>
      </w:r>
    </w:p>
    <w:p w:rsidRPr="00544AB7" w:rsidR="00D41C6E">
      <w:pPr>
        <w:ind w:firstLine="708"/>
        <w:jc w:val="both"/>
      </w:pPr>
      <w:r w:rsidRPr="00544AB7">
        <w:t>e) la survenirea unei incompatibilităţi dintre cele prevăzute la alin. (6) şi (8), conform prevederilor alin. (12);”</w:t>
      </w:r>
    </w:p>
    <w:p w:rsidRPr="00544AB7" w:rsidR="00D41C6E">
      <w:pPr>
        <w:ind w:firstLine="708"/>
        <w:jc w:val="both"/>
      </w:pPr>
      <w:r w:rsidRPr="00544AB7">
        <w:t>Potrivit prevederilor art. 15 alin. (12) din Legea concurenței:</w:t>
      </w:r>
    </w:p>
    <w:p w:rsidRPr="00544AB7" w:rsidR="00D41C6E">
      <w:pPr>
        <w:ind w:firstLine="708"/>
        <w:jc w:val="both"/>
      </w:pPr>
      <w:r w:rsidRPr="00544AB7">
        <w:t>“Membrii Consiliului Concurenţei sunt obligaţi să notifice de îndată Consiliului survenirea oricărei situaţii de incompatibilitate sau impediment dintre cele prevăzute la alin. (6) şi (8), ei fiind de drept suspendaţi din funcţie din momentul survenirii acestei situaţii, iar dacă situaţia se prelungeşte peste 10 zile consecutive, mandatul încetează şi se procedează conform prevederilor alin. (10) şi (11).”. (n.n.: prevederile alin. (10) și (11) reglementează desemnarea şi numirea unui nou membru al Plenului Consiliului Concurenței pentru un mandat de 5 ani în cazul revocării mandatului)</w:t>
      </w:r>
    </w:p>
    <w:p w:rsidRPr="00544AB7" w:rsidR="00D41C6E">
      <w:pPr>
        <w:ind w:firstLine="708"/>
        <w:jc w:val="both"/>
      </w:pPr>
      <w:r w:rsidRPr="00544AB7">
        <w:t xml:space="preserve">În data de 27.01.2020, domnul </w:t>
      </w:r>
      <w:r w:rsidRPr="00544AB7" w:rsidR="002C56E4">
        <w:t>...J...</w:t>
      </w:r>
      <w:r w:rsidRPr="00544AB7">
        <w:t xml:space="preserve"> (președintele Consiliului Concurenței) a fost numit membru în Consiliul de administrație a Agenția pentru Cooperarea Autorităților de Reglementare din Domeniul Energiei (ACER).</w:t>
      </w:r>
    </w:p>
    <w:p w:rsidRPr="00544AB7" w:rsidR="00D41C6E">
      <w:pPr>
        <w:ind w:firstLine="708"/>
        <w:jc w:val="both"/>
      </w:pPr>
      <w:r w:rsidRPr="00544AB7">
        <w:t xml:space="preserve">ACER este una dintre agențiile descentralizate ale Uniunii Europene, distinctă de instituțiile UE, fiind înființată ca entitate juridică separată pentru a îndeplini sarcini tehnice și științifice specifice care ajută instituțiile UE și statele membre să pună în aplicare politici și să ia decizii. Astfel, ACER contribuie la garantarea bunei funcţionări a pieţei europene unice a gazului şi electricităţii. Agenţia sprijină autorităţile naţionale de reglementare în îndeplinirea funcției de reglementare la nivel european şi, dacă este cazul, coordonează activitatea acestora. </w:t>
      </w:r>
    </w:p>
    <w:p w:rsidRPr="00544AB7" w:rsidR="00D41C6E">
      <w:pPr>
        <w:ind w:firstLine="708"/>
        <w:jc w:val="both"/>
      </w:pPr>
      <w:r w:rsidRPr="00544AB7">
        <w:t>Consiliul de administrație este organul de conducere al ACER având atribuții în numirea principalelor organe ale ACER, inclusiv Directorul și în exercitarea competențelor bugetare. De asemenea, acesta adoptă programul de lucru al ACER pentru anul următor și programul multianual. De asemenea, consiliul de administrație joacă un rol central în stabilirea bugetului, inclusiv în elaborarea regulilor financiare și asigură îndeplinirea misiunii ACER pe durata mandatului . Funcția de membru în Consiliul de Administrație al ACER este remunerată.</w:t>
      </w:r>
    </w:p>
    <w:p w:rsidRPr="00544AB7" w:rsidR="00D41C6E">
      <w:pPr>
        <w:ind w:firstLine="708"/>
        <w:jc w:val="both"/>
      </w:pPr>
      <w:r w:rsidRPr="00544AB7">
        <w:t xml:space="preserve">Având în vedere faptul că prevederile Legii concurenței reglementau incompatibilitatea funcției de membru al Consiliului Concurenței cu participarea la conducerea sau administrarea unor entităţi publice ori private sau cu deţinerea de funcţii ori de demnităţi publice, cu excepţia funcţiilor şi activităţilor didactice din învăţământul superior, cercetare ştiinţifică şi creaţie literar-artistică, fără a se menționa vreo distincție de orice fel, mandatul dlui. </w:t>
      </w:r>
      <w:r w:rsidRPr="00544AB7" w:rsidR="002C56E4">
        <w:t>...J...</w:t>
      </w:r>
      <w:r w:rsidRPr="00544AB7">
        <w:t xml:space="preserve"> a fost suspendat începând cu data de 27.01.2020 și ar fi încetat la data de 07.02.2020.</w:t>
      </w:r>
    </w:p>
    <w:p w:rsidRPr="00544AB7" w:rsidR="00D41C6E">
      <w:pPr>
        <w:ind w:firstLine="708"/>
        <w:jc w:val="both"/>
      </w:pPr>
      <w:r w:rsidRPr="00544AB7">
        <w:t>La data de 03.02.2020, cu doar patru zile înainte de expirarea celor 10 zile la sfârșitul cărora mandatul președintelui Consiliului Concurenței ar fi încetat pentru incompatibilitate, a fost adoptată Ordonanța de Urgență a Guvernului nr. 6/2020 pentru modificarea şi completarea Ordonanţei de urgenţă a Guvernului nr. 77/2014 privind procedurile naţionale în domeniul ajutorului de stat, precum şi pentru modificarea şi completarea Legii concurenţei nr. 21/1996 şi pentru modificarea şi completarea art. 15 din Legea concurenţei nr. 21/1996 (“OUG 6/2020”), care prevedea, la art. II, introducerea, alin. (61), în cadrul art. 15 din Legea Concurenței, conform căruia:</w:t>
      </w:r>
    </w:p>
    <w:p w:rsidRPr="00544AB7" w:rsidR="00D41C6E">
      <w:pPr>
        <w:ind w:firstLine="708"/>
        <w:jc w:val="both"/>
      </w:pPr>
      <w:r w:rsidRPr="00544AB7">
        <w:t xml:space="preserve"> “Membrii Consiliului Concurenţei pot fi desemnaţi, cu acordul Plenului acestuia, să desfăşoare activităţi în cadrul unor organisme sau instituţii publice ale Uniunii Europene sau internaţionale, precum şi activităţi de asistenţă tehnică finanţate de Uniunea Europeană ori de către alte organisme sau instituţii publice internaţionale, în condiţiile în care activităţile respective sunt circumscrise domeniului de activitate al Consiliului Concurenţei şi nu afectează exercitarea atribuţiilor de membru al Consiliului Concurenţei.”.</w:t>
      </w:r>
    </w:p>
    <w:p w:rsidRPr="00544AB7" w:rsidR="00D41C6E">
      <w:pPr>
        <w:ind w:firstLine="708"/>
        <w:jc w:val="both"/>
      </w:pPr>
      <w:r w:rsidRPr="00544AB7">
        <w:t xml:space="preserve">La data de 20.11.2020, a intrat în vigoare Legea nr. 254/2020 privind aprobarea Ordonanţei de urgență a Guvernului nr. 6/2020 (“Legea 254/2020”). Prin legea de aprobare, a fost abrogat art. II din OUG 6/2020, inclusiv prevederea ce înlătura incompatibilitatea membrilor Consiliului Concurenței în cazul desfășurării de activități în cadrul instituțiilor europene. </w:t>
      </w:r>
    </w:p>
    <w:p w:rsidRPr="00544AB7" w:rsidR="00D41C6E">
      <w:pPr>
        <w:ind w:firstLine="708"/>
        <w:jc w:val="both"/>
      </w:pPr>
      <w:r w:rsidRPr="00544AB7">
        <w:t xml:space="preserve">Astfel, prevederea privind înlăturarea motivului de incompatibilitate pentru domnul </w:t>
      </w:r>
      <w:r w:rsidRPr="00544AB7" w:rsidR="002C56E4">
        <w:t>...J...</w:t>
      </w:r>
      <w:r w:rsidRPr="00544AB7">
        <w:t xml:space="preserve"> a fost în vigoare doar în perioada 03.02.2020 - 19.11.2020.</w:t>
      </w:r>
    </w:p>
    <w:p w:rsidRPr="00544AB7" w:rsidR="00D41C6E">
      <w:pPr>
        <w:ind w:firstLine="708"/>
        <w:jc w:val="both"/>
      </w:pPr>
      <w:r w:rsidRPr="00544AB7">
        <w:t xml:space="preserve">Însă, din data de 20.11.2020, calitatea domnului </w:t>
      </w:r>
      <w:r w:rsidRPr="00544AB7" w:rsidR="002C56E4">
        <w:t>...J...</w:t>
      </w:r>
      <w:r w:rsidRPr="00544AB7">
        <w:t xml:space="preserve"> de membru în Consiliul de administrație a Agenţiei Europene de Reglementare în Energie determină incompatibilitatea acestuia cu funcția de membru al Consiliului Concurenței, cu atât mai mult cu cea de președinte, numirea domniei sale în funcția respectivă încetând astfel, conform prevederilor legale mai sus redate, cel mai târziu la data de 01.12.2020, respectiv, după expirarea termenului de 10 zile de la data survenirii motivului de incompatibilitate (pentru identitate de rațiune, am selectat ca și dată de referință pentru aplicarea prevederilor art. 15 alin. (12) din Legea concurenței, data abrogării prevederii ce excludea incompatibilitatea – 20.11.2020).</w:t>
      </w:r>
    </w:p>
    <w:p w:rsidRPr="00544AB7" w:rsidR="00D41C6E">
      <w:pPr>
        <w:ind w:firstLine="708"/>
        <w:jc w:val="both"/>
      </w:pPr>
      <w:r w:rsidRPr="00544AB7">
        <w:t xml:space="preserve">Cu toate acestea, în pofida intervenției unui caz de evidentă incompatibilitate ce nu a putut fi acoperită nici prin modificarea legislativă încercată mai sus-menționată (i.e.OUG nr.6/2020), care a eșuat ca urmare a adoptării art.II din Legea nr.254/2020, nu s-a făcut aplicarea prevederilor art. 15 alin. (12) din Legea concurenței, iar domnul </w:t>
      </w:r>
      <w:r w:rsidRPr="00544AB7" w:rsidR="002C56E4">
        <w:t>...J...</w:t>
      </w:r>
      <w:r w:rsidRPr="00544AB7">
        <w:t xml:space="preserve"> și-a continuat activitatea ca membru, respectiv președinte al Consiliului Concurenței, fiind chiar semnatar al Deciziei și al documentelor care îi preced și pe care se bazează. </w:t>
      </w:r>
    </w:p>
    <w:p w:rsidRPr="00544AB7" w:rsidR="00D41C6E">
      <w:pPr>
        <w:ind w:firstLine="708"/>
        <w:jc w:val="both"/>
      </w:pPr>
      <w:r w:rsidRPr="00544AB7">
        <w:t xml:space="preserve">Având în vedere faptul că mandatul de membru al Consiliului Concurenței a domnului </w:t>
      </w:r>
      <w:r w:rsidRPr="00544AB7" w:rsidR="002C56E4">
        <w:t>...J...</w:t>
      </w:r>
      <w:r w:rsidRPr="00544AB7">
        <w:t xml:space="preserve"> încetase din 01.12.2020, acesta nu putea să întreprindă niciuna din activitățile specifice președintelui Consiliului Concurenței în această cauză, atât Decizia, cât și documentele și operațiunile administrative ce stau la baza acesteia (solicitarea de convocare a plenului Consiliului Concurenței, ședința de audieri din data de 03.12.2020 si actele încheiate de Consiliul Concurenței în urma acesteia, ședința de deliberare din data de 09.12.2020 și minuta încheiată în urma acesteia) au fost încheiate cu participarea și acordul, iar mai apoi și semnate de președintele al cărui mandat încetase legal, ca urmare a incompatibilității sale prelungite mai mult de 10 zile, fiind deci adoptate și emise cu nerespectarea dispozițiilor legale obligatorii pentru valabilitatea acestora.</w:t>
      </w:r>
    </w:p>
    <w:p w:rsidRPr="00544AB7" w:rsidR="00D41C6E">
      <w:pPr>
        <w:ind w:firstLine="708"/>
        <w:jc w:val="both"/>
      </w:pPr>
      <w:r w:rsidRPr="00544AB7">
        <w:t xml:space="preserve">În pofida intervenției cazului de incompatibilitate, domnul </w:t>
      </w:r>
      <w:r w:rsidRPr="00544AB7" w:rsidR="002C56E4">
        <w:t>...J...</w:t>
      </w:r>
      <w:r w:rsidRPr="00544AB7">
        <w:t xml:space="preserve"> a prezidat ședința de audieri din data de 03.12.2020, a prezidat ședința de deliberări, a semnat minuta deliberărilor și, ulterior, a semnat și Decizia de sancționare, fără a avea calitatea nici măcar de membru al Consiliului Concurenței, cu atât mai puțin cea de președinte.</w:t>
      </w:r>
    </w:p>
    <w:p w:rsidRPr="00544AB7" w:rsidR="00D41C6E">
      <w:pPr>
        <w:ind w:firstLine="708"/>
        <w:jc w:val="both"/>
      </w:pPr>
      <w:r w:rsidRPr="00544AB7">
        <w:t>Or, potrivit prevederilor art. 37 Regulamentul de procedură al Consiliului Concurenței, adoptat de Ordinul 377/2017:</w:t>
      </w:r>
    </w:p>
    <w:p w:rsidRPr="00544AB7" w:rsidR="00D41C6E">
      <w:pPr>
        <w:ind w:firstLine="708"/>
        <w:jc w:val="both"/>
      </w:pPr>
      <w:r w:rsidRPr="00544AB7">
        <w:t>“(1) În exercitarea atribuţiilor Consiliului Concurenţei în plen se aplică principiul colegialităţii, potrivit legii.</w:t>
      </w:r>
    </w:p>
    <w:p w:rsidRPr="00544AB7" w:rsidR="00D41C6E">
      <w:pPr>
        <w:ind w:firstLine="708"/>
        <w:jc w:val="both"/>
      </w:pPr>
      <w:r w:rsidRPr="00544AB7">
        <w:t>(2) Plenul se întruneşte la solicitarea preşedintelui, (...) (…)</w:t>
      </w:r>
    </w:p>
    <w:p w:rsidRPr="00544AB7" w:rsidR="00D41C6E">
      <w:pPr>
        <w:ind w:firstLine="708"/>
        <w:jc w:val="both"/>
      </w:pPr>
      <w:r w:rsidRPr="00544AB7">
        <w:t>(4) Lucrările în plen se consemnează în procesul-verbal/minuta de şedinţă, întocmit(ă) de persoanele nominalizate de preşedintele Consiliului Concurenţei şi semnat(ă) de toţi membrii plenului care au participat la şedinţă, în procesul-verbal/minuta de şedinţă se consemnează cvorumul, desfăşurarea lucrărilor, votul, hotărârile adoptate şi opiniile separate, dacă este cazul.</w:t>
      </w:r>
    </w:p>
    <w:p w:rsidRPr="00544AB7" w:rsidR="00D41C6E">
      <w:pPr>
        <w:ind w:firstLine="708"/>
        <w:jc w:val="both"/>
      </w:pPr>
      <w:r w:rsidRPr="00544AB7">
        <w:t>(5) Plenul Consiliului Concurenţei se întruneşte valabil în prezenţa majorităţii membrilor în funcţie, dar nu mai puţin de 3 dintre aceştia şi adoptă hotărâri cu votul majorităţii membrilor prezenţi, dintre care unul trebuie să fie preşedintele sau reprezentantul său desemnat. Fiecare membru dispune de un vot, iar, în caz de paritate de voturi, prevalează soluţia votată de preşedinte.”</w:t>
      </w:r>
    </w:p>
    <w:p w:rsidRPr="00544AB7" w:rsidR="00D41C6E">
      <w:pPr>
        <w:ind w:firstLine="708"/>
        <w:jc w:val="both"/>
      </w:pPr>
      <w:r w:rsidRPr="00544AB7">
        <w:t>Potrivit prevederilor art. 19 alin. (7) din Legea concurenței:</w:t>
      </w:r>
    </w:p>
    <w:p w:rsidRPr="00544AB7" w:rsidR="00D41C6E">
      <w:pPr>
        <w:ind w:firstLine="708"/>
        <w:jc w:val="both"/>
      </w:pPr>
      <w:r w:rsidRPr="00544AB7">
        <w:t>“Deciziile adoptate de Consiliul Concurenţei în plen conform prevederilor alin. (4) se semnează de către preşedinte, în numele Consiliului Concurenţei. (...)(…)”.</w:t>
      </w:r>
    </w:p>
    <w:p w:rsidRPr="00544AB7" w:rsidR="00D41C6E">
      <w:pPr>
        <w:ind w:firstLine="708"/>
        <w:jc w:val="both"/>
      </w:pPr>
      <w:r w:rsidRPr="00544AB7">
        <w:t xml:space="preserve">Or, în cauza de față, actele au fost încheiate de o persoană care nu mai avea calitatea nici măcar de membru al Consiliului Concurenței, cu atât mai puțin de președinte, fiind </w:t>
      </w:r>
      <w:r w:rsidRPr="00544AB7">
        <w:t xml:space="preserve">nerespectate în mod flagrant toate dispozițiile legale ce reglementează adoptarea în mod legal a unei decizii de către Consiliul Concurenței. </w:t>
      </w:r>
    </w:p>
    <w:p w:rsidRPr="00544AB7" w:rsidR="00D41C6E">
      <w:pPr>
        <w:ind w:firstLine="708"/>
        <w:jc w:val="both"/>
      </w:pPr>
      <w:r w:rsidRPr="00544AB7">
        <w:t>II.3. Mandatul președintelui Consiliului Concurenței a expirat la data de 24.03.2020, atrăgând nulitatea Deciziei și a operațiunilor administrative  ce stau la baza acesteia, în ipoteza în care s-ar trece peste starea de incompatibilitate</w:t>
      </w:r>
    </w:p>
    <w:p w:rsidRPr="00544AB7" w:rsidR="00D41C6E">
      <w:pPr>
        <w:ind w:firstLine="708"/>
        <w:jc w:val="both"/>
      </w:pPr>
      <w:r w:rsidRPr="00544AB7">
        <w:t xml:space="preserve">Domnul </w:t>
      </w:r>
      <w:r w:rsidRPr="00544AB7" w:rsidR="002C56E4">
        <w:t>...J...</w:t>
      </w:r>
      <w:r w:rsidRPr="00544AB7">
        <w:t xml:space="preserve"> a fost numit președinte al Consiliului Concurenței în primăvara anului 2009 (Decretul prezidențial nr. </w:t>
      </w:r>
      <w:r w:rsidRPr="00544AB7" w:rsidR="004616CC">
        <w:t>....</w:t>
      </w:r>
      <w:r w:rsidRPr="00544AB7">
        <w:t>/27.04.2009) pentru un mandat de 5 ani, acesta expirând în jurul datei de 30.04.2014 (în funcție de data exactă a depunerii jurământului).</w:t>
      </w:r>
    </w:p>
    <w:p w:rsidRPr="00544AB7" w:rsidR="00D41C6E">
      <w:pPr>
        <w:ind w:firstLine="708"/>
        <w:jc w:val="both"/>
      </w:pPr>
      <w:r w:rsidRPr="00544AB7">
        <w:t xml:space="preserve">În primăvara anului 2015, după aproximativ 1 an în care și-a exercitat funcția în interimat (în baza art. 18 din Legea concurenței, menționat mai jos), </w:t>
      </w:r>
      <w:r w:rsidRPr="00544AB7" w:rsidR="002C56E4">
        <w:t>...J...</w:t>
      </w:r>
      <w:r w:rsidRPr="00544AB7">
        <w:t xml:space="preserve"> a fost numit președinte al Consiliului Concurenței pentru al doilea mandat, cu durată de 5 ani (Decretul prezidențial nr. </w:t>
      </w:r>
      <w:r w:rsidRPr="00544AB7" w:rsidR="004616CC">
        <w:t>.....</w:t>
      </w:r>
      <w:r w:rsidRPr="00544AB7">
        <w:t>/05.03.2015), acesta expirând la 24 martie 2020 (5 ani de la data depunerii jurământului – Anexa 10).</w:t>
      </w:r>
    </w:p>
    <w:p w:rsidRPr="00544AB7" w:rsidR="00D41C6E">
      <w:pPr>
        <w:ind w:firstLine="708"/>
        <w:jc w:val="both"/>
      </w:pPr>
      <w:r w:rsidRPr="00544AB7">
        <w:t xml:space="preserve">Având în vedere faptul că cel de al doilea mandat de președinte al Consiliului Concurenței al domnului </w:t>
      </w:r>
      <w:r w:rsidRPr="00544AB7" w:rsidR="002C56E4">
        <w:t>...J...</w:t>
      </w:r>
      <w:r w:rsidRPr="00544AB7">
        <w:t xml:space="preserve"> a expirat in primăvara anului 2020, nemaiputând fi reînnoit, acesta a continuat în funcția de președinte interimar al Consiliului Concurenței, în baza prevederilor art. 18 din Legea 21/1996 care, la data expirării mandatului domnului </w:t>
      </w:r>
      <w:r w:rsidRPr="00544AB7" w:rsidR="002C56E4">
        <w:t>...J...</w:t>
      </w:r>
      <w:r w:rsidRPr="00544AB7">
        <w:t>, prevedeau următoarele:</w:t>
      </w:r>
    </w:p>
    <w:p w:rsidRPr="00544AB7" w:rsidR="00D41C6E">
      <w:pPr>
        <w:ind w:firstLine="708"/>
        <w:jc w:val="both"/>
      </w:pPr>
      <w:r w:rsidRPr="00544AB7">
        <w:t>“(1) Mandatele membrilor Consiliului Concurenţei încep de la data depunerii jurământului de către aceştia şi expiră la împlinirea termenelor prevăzute la art. 15 alin. (2), calculate de la această dată.</w:t>
      </w:r>
    </w:p>
    <w:p w:rsidRPr="00544AB7" w:rsidR="00D41C6E">
      <w:pPr>
        <w:ind w:firstLine="708"/>
        <w:jc w:val="both"/>
      </w:pPr>
      <w:r w:rsidRPr="00544AB7">
        <w:t>(2) Dacă, până la expirarea mandatului în curs, preşedintele Consiliului Concurenţei desemnat pentru mandatul următor nu va fi prestat jurământul cu respectarea dispoziţiilor art. 17, membrii Consiliului Concurenţei în exerciţiu îşi vor continua activitatea până la depunerea jurământului de către preşedintele Consiliului, desemnat pentru mandatul următor sub conducerea preşedintelui anterior.</w:t>
      </w:r>
    </w:p>
    <w:p w:rsidRPr="00544AB7" w:rsidR="00D41C6E">
      <w:pPr>
        <w:ind w:firstLine="708"/>
        <w:jc w:val="both"/>
      </w:pPr>
      <w:r w:rsidRPr="00544AB7">
        <w:t>(3) În situaţia în care până la expirarea duratei mandatului unui membru al Plenului Consiliului Concurenţei, în condiţiile art. 15 alin. (9) lit. a), nu este numit un succesor, membrul Plenului al cărui mandat expiră îşi va continua activitatea până la depunerea jurământului de către cel desemnat pentru mandatul următor.”.</w:t>
      </w:r>
    </w:p>
    <w:p w:rsidRPr="00544AB7" w:rsidR="00D41C6E">
      <w:pPr>
        <w:ind w:firstLine="708"/>
        <w:jc w:val="both"/>
      </w:pPr>
      <w:r w:rsidRPr="00544AB7">
        <w:t xml:space="preserve">La data de 26.01.2021, Curtea Constituțională a României a admis excepția de neconstituționalitate cu privire la art. 18 alin. (3) din Legea concurenței nr. 21/1996, declarând că acestea sunt neconstituționale (până la data formulării prezentei, decizia CCR nu a fost publicată în Monitorul Oficial). Deși Decizia Curții Constituționale vizează membrii obișnuiți ai Consiliului Concurenței, se constată că situația președintelui Consiliului este similară, art. 18 alin. (2) din Legea concurenței prevăzând aceeași soluție și în cazul său. Prin urmare, și art. 18 alin. (2) din Legea concurenței este afectat în mod corespunzător de neconstituționalitate, soluția instanței de control constituționale neputând fi diferită de cea pronunțată în privința alin.3 al aceleiași dispoziții legale, față de identitatea aspectelor de neconstituționalitate în privința celor două texte legale.  </w:t>
      </w:r>
    </w:p>
    <w:p w:rsidRPr="00544AB7" w:rsidR="00D41C6E">
      <w:pPr>
        <w:ind w:firstLine="708"/>
        <w:jc w:val="both"/>
      </w:pPr>
      <w:r w:rsidRPr="00544AB7">
        <w:t xml:space="preserve">Astfel, domnul </w:t>
      </w:r>
      <w:r w:rsidRPr="00544AB7" w:rsidR="002C56E4">
        <w:t>...J...</w:t>
      </w:r>
      <w:r w:rsidRPr="00544AB7">
        <w:t xml:space="preserve"> a rămas în funcția de președinte a Consiliului Concurenței, în baza unei prevederi legale neconstituționale, prevederi legale ce, teoretic, au reprezentat baza legală a exercitării mandatului de președinte al Consiliului Concurenței la data emiterii Deciziei (09.12.2020) și la data întocmirii Minutei ședințelor de dezbatere publică (02.12.2020).</w:t>
      </w:r>
    </w:p>
    <w:p w:rsidRPr="00544AB7" w:rsidR="00D41C6E">
      <w:pPr>
        <w:ind w:firstLine="708"/>
        <w:jc w:val="both"/>
      </w:pPr>
      <w:r w:rsidRPr="00544AB7">
        <w:t xml:space="preserve">Reclamanta menţionează că va depune o excepție de neconstituționalitate cu privire la art. 18 alin. (2) din Legea 21/1996 în vigoare la data emiterii Deciziei (09.12.2020), dar solicită instanței de judecată să facă aplicarea în prezenta cauză a Deciziei CCR nr. 58/2021 (în fază de redactare, după cum arată mai sus) în ceea ce privește neconstituționalitatea </w:t>
      </w:r>
      <w:r w:rsidRPr="00544AB7">
        <w:t xml:space="preserve">prevederilor mai sus menționate, întrucât la data soluționării cauzei aceasta va fi pe deplin aplicabilă. </w:t>
      </w:r>
    </w:p>
    <w:p w:rsidRPr="00544AB7" w:rsidR="00D41C6E">
      <w:pPr>
        <w:ind w:firstLine="708"/>
        <w:jc w:val="both"/>
      </w:pPr>
      <w:r w:rsidRPr="00544AB7">
        <w:t>III.</w:t>
      </w:r>
      <w:r w:rsidRPr="00544AB7">
        <w:tab/>
        <w:t>Declarația de clemență și declarația de recunoaștere nu pot fi luate în considerare în probarea pretinsei încălcări</w:t>
      </w:r>
    </w:p>
    <w:p w:rsidRPr="00544AB7" w:rsidR="00D41C6E">
      <w:pPr>
        <w:ind w:firstLine="708"/>
        <w:jc w:val="both"/>
      </w:pPr>
      <w:r w:rsidRPr="00544AB7">
        <w:t>III.1.</w:t>
      </w:r>
      <w:r w:rsidRPr="00544AB7">
        <w:tab/>
        <w:t xml:space="preserve">Cererea de clemență și informațiile obținute ulterior de la </w:t>
      </w:r>
      <w:r w:rsidRPr="00544AB7" w:rsidR="0018311F">
        <w:t>...X...</w:t>
      </w:r>
      <w:r w:rsidRPr="00544AB7">
        <w:t xml:space="preserve"> nu pot fi luate în considerare</w:t>
      </w:r>
    </w:p>
    <w:p w:rsidRPr="00544AB7" w:rsidR="00D41C6E">
      <w:pPr>
        <w:ind w:firstLine="708"/>
        <w:jc w:val="both"/>
      </w:pPr>
      <w:r w:rsidRPr="00544AB7">
        <w:t xml:space="preserve">Actul de sesizare a Consiliului Concurenței a fost reprezentat de cererea de clemență formulată de </w:t>
      </w:r>
      <w:r w:rsidRPr="00544AB7" w:rsidR="0018311F">
        <w:t>...X...</w:t>
      </w:r>
      <w:r w:rsidRPr="00544AB7">
        <w:t xml:space="preserve">, prin reprezentatul acesteia - doamna </w:t>
      </w:r>
      <w:r w:rsidRPr="00544AB7" w:rsidR="00F75C41">
        <w:t>...R...</w:t>
      </w:r>
      <w:r w:rsidRPr="00544AB7">
        <w:t xml:space="preserve"> - la data de 10.08.2017.</w:t>
      </w:r>
    </w:p>
    <w:p w:rsidRPr="00544AB7" w:rsidR="00D41C6E">
      <w:pPr>
        <w:ind w:firstLine="708"/>
        <w:jc w:val="both"/>
      </w:pPr>
      <w:r w:rsidRPr="00544AB7">
        <w:t xml:space="preserve">Doamna </w:t>
      </w:r>
      <w:r w:rsidRPr="00544AB7" w:rsidR="00F75C41">
        <w:t>...R...</w:t>
      </w:r>
      <w:r w:rsidRPr="00544AB7">
        <w:t xml:space="preserve"> a fost reprezentantul legal al </w:t>
      </w:r>
      <w:r w:rsidRPr="00544AB7" w:rsidR="0018311F">
        <w:t>...X...</w:t>
      </w:r>
      <w:r w:rsidRPr="00544AB7">
        <w:t xml:space="preserve"> în perioada derulării relațiilor contractuale între aceasta și </w:t>
      </w:r>
      <w:r w:rsidRPr="00544AB7" w:rsidR="0075748D">
        <w:t>...W*...</w:t>
      </w:r>
      <w:r w:rsidRPr="00544AB7">
        <w:t xml:space="preserve">, inclusiv în cursul anului 2016, când </w:t>
      </w:r>
      <w:r w:rsidRPr="00544AB7" w:rsidR="0075748D">
        <w:t>...W*...</w:t>
      </w:r>
      <w:r w:rsidRPr="00544AB7">
        <w:t xml:space="preserve"> a renunțat la serviciile </w:t>
      </w:r>
      <w:r w:rsidRPr="00544AB7" w:rsidR="0018311F">
        <w:t>...X...</w:t>
      </w:r>
      <w:r w:rsidRPr="00544AB7">
        <w:t xml:space="preserve">. </w:t>
      </w:r>
    </w:p>
    <w:p w:rsidRPr="00544AB7" w:rsidR="00D41C6E">
      <w:pPr>
        <w:ind w:firstLine="708"/>
        <w:jc w:val="both"/>
      </w:pPr>
      <w:r w:rsidRPr="00544AB7">
        <w:t xml:space="preserve">De asemenea, doamna </w:t>
      </w:r>
      <w:r w:rsidRPr="00544AB7" w:rsidR="00FC6A20">
        <w:t>...R...</w:t>
      </w:r>
      <w:r w:rsidRPr="00544AB7">
        <w:t xml:space="preserve"> a fost și Secretar General al </w:t>
      </w:r>
      <w:r w:rsidRPr="00544AB7" w:rsidR="0075748D">
        <w:t>...W*...</w:t>
      </w:r>
      <w:r w:rsidRPr="00544AB7">
        <w:t xml:space="preserve">, în perioada 2004-2016 (conform informațiilor disponibile pe pagina acesteia de pe platforma Linkedin. În cursul anului 2015, în cadrul unei întâlniri </w:t>
      </w:r>
      <w:r w:rsidRPr="00544AB7" w:rsidR="0075748D">
        <w:t>...W*...</w:t>
      </w:r>
      <w:r w:rsidRPr="00544AB7">
        <w:t xml:space="preserve">, membrii acesteia au decis demiterea doamnei </w:t>
      </w:r>
      <w:r w:rsidRPr="00544AB7" w:rsidR="00FC6A20">
        <w:t>...R...</w:t>
      </w:r>
      <w:r w:rsidRPr="00544AB7">
        <w:t xml:space="preserve"> din funcția de secretar general al </w:t>
      </w:r>
      <w:r w:rsidRPr="00544AB7" w:rsidR="0075748D">
        <w:t>...W*...</w:t>
      </w:r>
      <w:r w:rsidRPr="00544AB7">
        <w:t xml:space="preserve">, creând, astfel, o situație tensionată între membrii </w:t>
      </w:r>
      <w:r w:rsidRPr="00544AB7" w:rsidR="0075748D">
        <w:t>...W*...</w:t>
      </w:r>
      <w:r w:rsidRPr="00544AB7">
        <w:t xml:space="preserve"> și doamna </w:t>
      </w:r>
      <w:r w:rsidRPr="00544AB7" w:rsidR="00FC6A20">
        <w:t>...R...</w:t>
      </w:r>
      <w:r w:rsidRPr="00544AB7">
        <w:t>.</w:t>
      </w:r>
    </w:p>
    <w:p w:rsidRPr="00544AB7" w:rsidR="00D41C6E">
      <w:pPr>
        <w:ind w:firstLine="708"/>
        <w:jc w:val="both"/>
      </w:pPr>
      <w:r w:rsidRPr="00544AB7">
        <w:t xml:space="preserve">Ulterior, pe parcursul investigației Consiliului Concurenței, doamna </w:t>
      </w:r>
      <w:r w:rsidRPr="00544AB7" w:rsidR="00FC6A20">
        <w:t>...R...</w:t>
      </w:r>
      <w:r w:rsidRPr="00544AB7">
        <w:t xml:space="preserve"> a devenit inspector de concurență în cadrul autorității (nu cunoaște data exactă a angajării doamnei </w:t>
      </w:r>
      <w:r w:rsidRPr="00544AB7" w:rsidR="00FC6A20">
        <w:t>...R...</w:t>
      </w:r>
      <w:r w:rsidRPr="00544AB7">
        <w:t xml:space="preserve"> la Consiliul Concurenței, dar pe pagina de internet a Consiliului Concurenței este disponibilă declarația de avere a doamnei, care datează din 31.03.2020, data angajării fiind, în mod evident, anterioară acesteia). </w:t>
      </w:r>
    </w:p>
    <w:p w:rsidRPr="00544AB7" w:rsidR="00D41C6E">
      <w:pPr>
        <w:ind w:firstLine="708"/>
        <w:jc w:val="both"/>
      </w:pPr>
      <w:r w:rsidRPr="00544AB7">
        <w:t xml:space="preserve">Cu toate acestea, doamna </w:t>
      </w:r>
      <w:r w:rsidRPr="00544AB7" w:rsidR="00FC6A20">
        <w:t>...R...</w:t>
      </w:r>
      <w:r w:rsidRPr="00544AB7">
        <w:t xml:space="preserve"> încă figurează și se prezintă în piață ca administrator al </w:t>
      </w:r>
      <w:r w:rsidRPr="00544AB7" w:rsidR="0018311F">
        <w:t>...X...</w:t>
      </w:r>
      <w:r w:rsidRPr="00544AB7">
        <w:t xml:space="preserve">, după cum reiese de pe pagina acesteia de pe platforma online “Linkedin”, platformă pe care doamna </w:t>
      </w:r>
      <w:r w:rsidRPr="00544AB7" w:rsidR="00FC6A20">
        <w:t>...R...</w:t>
      </w:r>
      <w:r w:rsidRPr="00544AB7">
        <w:t xml:space="preserve"> este activă în prezent, având activitate constantă.</w:t>
      </w:r>
    </w:p>
    <w:p w:rsidRPr="00544AB7" w:rsidR="00D41C6E">
      <w:pPr>
        <w:ind w:firstLine="708"/>
        <w:jc w:val="both"/>
      </w:pPr>
      <w:r w:rsidRPr="00544AB7">
        <w:t xml:space="preserve">De asemenea, doamna </w:t>
      </w:r>
      <w:r w:rsidRPr="00544AB7" w:rsidR="00FC6A20">
        <w:t>...R...</w:t>
      </w:r>
      <w:r w:rsidRPr="00544AB7">
        <w:t xml:space="preserve"> este, inclusiv în prezent, și acționar majoritar în </w:t>
      </w:r>
      <w:r w:rsidRPr="00544AB7" w:rsidR="0018311F">
        <w:t>...X...</w:t>
      </w:r>
      <w:r w:rsidRPr="00544AB7">
        <w:t xml:space="preserve">, deținând 55% din capitalul social subscris și vărsat, iar administratorul </w:t>
      </w:r>
      <w:r w:rsidRPr="00544AB7" w:rsidR="0018311F">
        <w:t>...X...</w:t>
      </w:r>
      <w:r w:rsidRPr="00544AB7">
        <w:t xml:space="preserve"> este, în prezent </w:t>
      </w:r>
      <w:bookmarkStart w:name="_Hlk236747903" w:id="2"/>
      <w:r w:rsidRPr="00544AB7">
        <w:t xml:space="preserve">soțul acesteia, domnul </w:t>
      </w:r>
      <w:r w:rsidRPr="00544AB7" w:rsidR="00FC6A20">
        <w:t>...K...</w:t>
      </w:r>
      <w:bookmarkEnd w:id="2"/>
      <w:r w:rsidRPr="00544AB7">
        <w:t>.</w:t>
      </w:r>
    </w:p>
    <w:p w:rsidRPr="00544AB7" w:rsidR="00D41C6E">
      <w:pPr>
        <w:ind w:firstLine="708"/>
        <w:jc w:val="both"/>
      </w:pPr>
      <w:r w:rsidRPr="00544AB7">
        <w:t xml:space="preserve">Toate aceste aspecte de fapt conduc în mod neechivoc la știrbirea forței probatorii a declarației de clemență, aceasta, mai ales în lipsa altor documente doveditoare cu proveniență concretă, neputând conduce la demonstrarea existenței unei practici anticoncurențiale, după cum vom arăta în cele ce urmează. </w:t>
      </w:r>
    </w:p>
    <w:p w:rsidRPr="00544AB7" w:rsidR="00D41C6E">
      <w:pPr>
        <w:ind w:firstLine="708"/>
        <w:jc w:val="both"/>
      </w:pPr>
      <w:r w:rsidRPr="00544AB7">
        <w:t>Potrivit informațiilor publice pe site-ul www.clementa.ro administrat de Consiliul Concurenței, politica de clemenţă este un tratament favorabil acordat de Consiliul Concurenței întreprinderilor implicate într-o practică anticoncurenţială (înţelegere sau practică concertată), care cooperează cu autoritatea de concurenţă în vederea descoperirii practicii respective.</w:t>
      </w:r>
    </w:p>
    <w:p w:rsidRPr="00544AB7" w:rsidR="00D41C6E">
      <w:pPr>
        <w:ind w:firstLine="708"/>
        <w:jc w:val="both"/>
      </w:pPr>
      <w:r w:rsidRPr="00544AB7">
        <w:t>Consiliul Concurenţei acordă imunitate la amendă unei întreprinderi dacă aceasta este prima care furnizează elementele probatorii ce permit:</w:t>
      </w:r>
    </w:p>
    <w:p w:rsidRPr="00544AB7" w:rsidR="00D41C6E">
      <w:pPr>
        <w:ind w:firstLine="708"/>
        <w:jc w:val="both"/>
      </w:pPr>
      <w:r w:rsidRPr="00544AB7">
        <w:t>•</w:t>
      </w:r>
      <w:r w:rsidRPr="00544AB7">
        <w:tab/>
        <w:t>declanşarea unei investigaţii privind o posibilă înţelegere anticoncurenţială sau efectuarea de inspecţii inopinate;</w:t>
      </w:r>
    </w:p>
    <w:p w:rsidRPr="00544AB7" w:rsidR="00D41C6E">
      <w:pPr>
        <w:ind w:firstLine="708"/>
        <w:jc w:val="both"/>
      </w:pPr>
      <w:r w:rsidRPr="00544AB7">
        <w:t>•</w:t>
      </w:r>
      <w:r w:rsidRPr="00544AB7">
        <w:tab/>
        <w:t>dovedirea unei încălcări a Legii Concurenţei.</w:t>
      </w:r>
    </w:p>
    <w:p w:rsidRPr="00544AB7" w:rsidR="00D41C6E">
      <w:pPr>
        <w:ind w:firstLine="708"/>
        <w:jc w:val="both"/>
      </w:pPr>
      <w:r w:rsidRPr="00544AB7">
        <w:t xml:space="preserve">Din informațiile mai sus menționate, rezultă că declarația de clemență reprezintă intenția unei societăți participante la o practică anticoncurențială de a colabora cu Consiliul Concurenței (prin furnizare de informații, documente), însă, sarcina descoperirii dacă în cauză s-a produs o încălcare a regulilor de concurență revine Consiliului, prin obținerea de probe care să dovedească fără putință de tăgadă participarea unei întreprinderi la o practică anticoncurențială. </w:t>
      </w:r>
    </w:p>
    <w:p w:rsidRPr="00544AB7" w:rsidR="00D41C6E">
      <w:pPr>
        <w:ind w:firstLine="708"/>
        <w:jc w:val="both"/>
      </w:pPr>
      <w:r w:rsidRPr="00544AB7">
        <w:t xml:space="preserve">În ceea ce privește valoarea probatorie a unui document ce urmează a fi luat în considerare de autoritatea de concurență pentru stabilirea încălcării, Curtea de Justiție a </w:t>
      </w:r>
      <w:r w:rsidRPr="00544AB7">
        <w:t>Uniunii Europene a stabilit o serie de criterii necesar a fi luate în considerare de autoritatea de concurență în analiza acesteia.</w:t>
      </w:r>
    </w:p>
    <w:p w:rsidRPr="00544AB7" w:rsidR="00D41C6E">
      <w:pPr>
        <w:ind w:firstLine="708"/>
        <w:jc w:val="both"/>
      </w:pPr>
      <w:r w:rsidRPr="00544AB7">
        <w:t xml:space="preserve">Astfel, în cauzele conexate Cimenteries CBR și alții/Comisia, T‑25/95, T‑26/95, T‑30/95-T‑32/95, T‑34/95-T‑39/95, T‑42/95- T‑46/95, T‑48/95, T‑50/95-T‑65/95, T‑68/95-T‑71/95, T‑87/95, T‑88/95, T‑103/95 și T‑104/95, Rec., p. II‑491, Hotărârea Tribunalului din 15 martie 2000, punctele 1053, instanța europeană a stabilit următoarele: </w:t>
      </w:r>
    </w:p>
    <w:p w:rsidRPr="00544AB7" w:rsidR="00D41C6E">
      <w:pPr>
        <w:ind w:firstLine="708"/>
        <w:jc w:val="both"/>
      </w:pPr>
      <w:r w:rsidRPr="00544AB7">
        <w:t>“Valoarea probatorie a unui document depinde de originea acestuia, de circumstanțele în care a fost întocmit, de persoana căreia i se adresează și de conținutul acestuia (…).”</w:t>
      </w:r>
    </w:p>
    <w:p w:rsidRPr="00544AB7" w:rsidR="00D41C6E">
      <w:pPr>
        <w:ind w:firstLine="708"/>
        <w:jc w:val="both"/>
      </w:pPr>
      <w:r w:rsidRPr="00544AB7">
        <w:t>La punctul 1838 din aceeași hotărâre, instanța europeană a reținut următoarele:</w:t>
      </w:r>
    </w:p>
    <w:p w:rsidRPr="00544AB7" w:rsidR="00D41C6E">
      <w:pPr>
        <w:ind w:firstLine="708"/>
        <w:jc w:val="both"/>
      </w:pPr>
      <w:r w:rsidRPr="00544AB7">
        <w:t>“Cu toate acestea, trebuie subliniat că nu există niciun principiu al dreptului comunitar care să împiedice Comisia să se bazeze pe o singură probă pentru a concluziona că articolul 85 alineatul (1) din Tratat a fost încălcat, cu condiția ca valoarea sa probatorie să fie indubitabilă. și că probele în sine atestă cu siguranță existența încălcării în cauză. În acest sens, pentru a evalua valoarea probatorie a unui document, ar trebui să se țină seama, în primul rând, de credibilitatea conținutului acestuia. Ar trebui să se țină seama în special de persoana din care provine documentul, de circumstanțele în care a apărut, de persoana căreia i s-a adresat și de faptul că, la prima vedere, documentul pare solid și de încredere (Avizul dlui Vesterdorf în calitate de avocat general în Hotărârea Rhône-Poulenc / Comisia, citată la punctul 1053 de mai sus, p. II-956).” .</w:t>
      </w:r>
    </w:p>
    <w:p w:rsidRPr="00544AB7" w:rsidR="00D41C6E">
      <w:pPr>
        <w:ind w:firstLine="708"/>
        <w:jc w:val="both"/>
      </w:pPr>
      <w:r w:rsidRPr="00544AB7">
        <w:t xml:space="preserve">Astfel, s-a stabilit prin jurisprudența europeană, că pentru a putea lua în considerare un document în domeniul concurenței este necesară analiza prealabilă a credibilității acestuia, cu luarea în considerare a tuturor criteriilor ce au stat la baza emiterii lui, dar și a conținutului actului în cauză. </w:t>
      </w:r>
    </w:p>
    <w:p w:rsidRPr="00544AB7" w:rsidR="00D41C6E">
      <w:pPr>
        <w:ind w:firstLine="708"/>
        <w:jc w:val="both"/>
      </w:pPr>
      <w:r w:rsidRPr="00544AB7">
        <w:t xml:space="preserve">Or, în cazul de față, există suficiente elemente și indicii la dosarul cauzei care să șubrezească credibilitatea declarației de clemență formulată de doamna </w:t>
      </w:r>
      <w:r w:rsidRPr="00544AB7" w:rsidR="00FC6A20">
        <w:t>...R...</w:t>
      </w:r>
      <w:r w:rsidRPr="00544AB7">
        <w:t>, chiar dacă s-ar accepta că ar putea fi considerat și ca posibil mijloc de probă, așa cum invocă în cauză Consiliul Concurenței.</w:t>
      </w:r>
    </w:p>
    <w:p w:rsidRPr="00544AB7" w:rsidR="00D41C6E">
      <w:pPr>
        <w:ind w:firstLine="708"/>
        <w:jc w:val="both"/>
      </w:pPr>
      <w:r w:rsidRPr="00544AB7">
        <w:t>De interes cu privire la credibilitatea declarațiilor date în cadrul/cu ocazia unor investigații ale autorităților de concurență sunt și unele dispoziții din Manualul de proceduri în domeniul Concurenței pentru aplicarea articolelor 101 și 102 din TFUE , care, deși nu se referă în mod expres la declarațiile de clemență, stabilesc regulile generale în materia stabilirii credibilității, respectiv a luării în considerare a unor declarații în cadrul unei investigații privind existența unei fapte anticoncurențiale, astfel:</w:t>
      </w:r>
    </w:p>
    <w:p w:rsidRPr="00544AB7" w:rsidR="00D41C6E">
      <w:pPr>
        <w:ind w:firstLine="708"/>
        <w:jc w:val="both"/>
      </w:pPr>
      <w:r w:rsidRPr="00544AB7">
        <w:t>“Informațiile furnizate în timpul interviurilor pot fi utilizate ca dovezi în procedura ulterioară. Cu toate acestea, Comisia ar trebui să evalueze cu atenție credibilitatea declarațiilor, în special dacă a primit informații contradictorii sau dacă există motive care pun în discuție credibilitatea intervievatului.”</w:t>
      </w:r>
    </w:p>
    <w:p w:rsidRPr="00544AB7" w:rsidR="00D41C6E">
      <w:pPr>
        <w:ind w:firstLine="708"/>
        <w:jc w:val="both"/>
      </w:pPr>
      <w:r w:rsidRPr="00544AB7">
        <w:t>De asemenea, și regulile de procedură civilă aplicabile la nivel național sunt în linie cu viziunea europeană asupra stabiliri valorii probatorii a unor declarații. În ceea ce privește declarațiile martorilor în procesul civil, art. 315 alin. (1) pct. 2 și 3 din Codul de procedură civilă (aplicabile ca drept comun din perspectiva regulilor procedurale aplicabile în investigațiile de concurență, în lipsa unor norme speciale în reglementarea legală concurențială) stabilesc că “Nu pot fi martori: (...) 2. soţul, fostul soţ, logodnicul ori concubinul; 3. cei aflaţi în duşmănie sau în legături de interese cu vreuna dintre părţi; (...).”.</w:t>
      </w:r>
    </w:p>
    <w:p w:rsidRPr="00544AB7" w:rsidR="00D41C6E">
      <w:pPr>
        <w:ind w:firstLine="708"/>
        <w:jc w:val="both"/>
      </w:pPr>
      <w:r w:rsidRPr="00544AB7">
        <w:t xml:space="preserve">Or, în situația de față, și dacă prin absurd s-ar accepta că declarația de clemență ar putea fi asimilată mărturiei din procedura civilă în privința unora dintre elementele pe care le conține, regulile stabilite în acest caz la nivel de principiu din perspectiva regimului administrării probelor fiind aplicabile în mod corespunzător, rezultă cu evidență că doamna </w:t>
      </w:r>
      <w:r w:rsidRPr="00544AB7" w:rsidR="00FC6A20">
        <w:t>...R...</w:t>
      </w:r>
      <w:r w:rsidRPr="00544AB7">
        <w:t xml:space="preserve"> se află în ambele situații prevăzute la pct. 3 mai sus citat, și anume, în relație de interese cu Consiliul Concurenței, dar și în relație de dușmănie cu membrii </w:t>
      </w:r>
      <w:r w:rsidRPr="00544AB7" w:rsidR="0075748D">
        <w:t>...W*...</w:t>
      </w:r>
      <w:r w:rsidRPr="00544AB7">
        <w:t xml:space="preserve">. </w:t>
      </w:r>
    </w:p>
    <w:p w:rsidRPr="00544AB7" w:rsidR="00D41C6E">
      <w:pPr>
        <w:ind w:firstLine="708"/>
        <w:jc w:val="both"/>
      </w:pPr>
      <w:r w:rsidRPr="00544AB7">
        <w:t xml:space="preserve">În plus, în ceea ce privește conținutul declarației de clemență a </w:t>
      </w:r>
      <w:r w:rsidRPr="00544AB7" w:rsidR="0018311F">
        <w:t>...X...</w:t>
      </w:r>
      <w:r w:rsidRPr="00544AB7">
        <w:t xml:space="preserve">, la o prima vedere, se poate observa cu ușurință că informațiile cuprinse în aceasta depășesc limitele legale în ceea ce privește conținutul unei cereri de clemență. La pag. 168-171 din Decizie, sunt redate pasaje din aceasta, pasaje din care rezultă cu evidență că o mare parte din aspectele relatate de doamna </w:t>
      </w:r>
      <w:r w:rsidRPr="00544AB7" w:rsidR="00FC6A20">
        <w:t>...R...</w:t>
      </w:r>
      <w:r w:rsidRPr="00544AB7">
        <w:t xml:space="preserve"> în cuprinsul cererii de clemență sunt generalități și speculații ale acesteia, sens în care reclamanta redă, cu titlu de exemplu, următoarele pasaje: </w:t>
      </w:r>
    </w:p>
    <w:p w:rsidRPr="00544AB7" w:rsidR="00D41C6E">
      <w:pPr>
        <w:ind w:firstLine="708"/>
        <w:jc w:val="both"/>
      </w:pPr>
      <w:r w:rsidRPr="00544AB7">
        <w:t></w:t>
      </w:r>
      <w:r w:rsidRPr="00544AB7">
        <w:tab/>
        <w:t xml:space="preserve">“În cadrul întâlnirii din data de 23.10.2017 intre reprezentanții Consiliului Concurenței și reprezentanta </w:t>
      </w:r>
      <w:r w:rsidRPr="00544AB7" w:rsidR="0018311F">
        <w:t>...X...</w:t>
      </w:r>
      <w:r w:rsidRPr="00544AB7">
        <w:t xml:space="preserve">, dna. </w:t>
      </w:r>
      <w:r w:rsidRPr="00544AB7" w:rsidR="00FC6A20">
        <w:t>...R...</w:t>
      </w:r>
      <w:r w:rsidRPr="00544AB7">
        <w:t xml:space="preserve"> a precizat faptul că “statisticile elaborate de </w:t>
      </w:r>
      <w:r w:rsidRPr="00544AB7" w:rsidR="0018311F">
        <w:t>...X...</w:t>
      </w:r>
      <w:r w:rsidRPr="00544AB7">
        <w:t xml:space="preserve"> erau solicitate de membrii </w:t>
      </w:r>
      <w:r w:rsidRPr="00544AB7" w:rsidR="0075748D">
        <w:t>...W*...</w:t>
      </w:r>
      <w:r w:rsidRPr="00544AB7">
        <w:t xml:space="preserve"> care participau la acest schimb de informații înainte de întâlnirile, consiliilor directoare ale acestora și stăteau la baza adoptării unor decizii de management, fiind utilizate in orientarea spre anumite segmente de piață în funcție de comportamentul concurenților”.” (para. 548 din Decizie);</w:t>
      </w:r>
    </w:p>
    <w:p w:rsidRPr="00544AB7" w:rsidR="00D41C6E">
      <w:pPr>
        <w:ind w:firstLine="708"/>
        <w:jc w:val="both"/>
      </w:pPr>
      <w:r w:rsidRPr="00544AB7">
        <w:t></w:t>
      </w:r>
      <w:r w:rsidRPr="00544AB7">
        <w:tab/>
        <w:t xml:space="preserve">“Cu privire la modul în care erau utilizate informațiile, a precizat că raportările erau prezentate la nivelul forurilor decizionale locale și probabil centrale ale firmelor membre </w:t>
      </w:r>
      <w:r w:rsidRPr="00544AB7" w:rsidR="0075748D">
        <w:t>...W*...</w:t>
      </w:r>
      <w:r w:rsidRPr="00544AB7">
        <w:t xml:space="preserve"> atunci când se construiau bugetele.” (para. 551 din Decizie, extras din declarația de clemență a doamnei </w:t>
      </w:r>
      <w:r w:rsidRPr="00544AB7" w:rsidR="00FC6A20">
        <w:t>...R...</w:t>
      </w:r>
      <w:r w:rsidRPr="00544AB7">
        <w:t>).</w:t>
      </w:r>
    </w:p>
    <w:p w:rsidRPr="00544AB7" w:rsidR="00D41C6E">
      <w:pPr>
        <w:ind w:firstLine="708"/>
        <w:jc w:val="both"/>
      </w:pPr>
      <w:r w:rsidRPr="00544AB7">
        <w:t xml:space="preserve">Or, este evident că aprecierile subiective ale doamnei </w:t>
      </w:r>
      <w:r w:rsidRPr="00544AB7" w:rsidR="00FC6A20">
        <w:t>...R...</w:t>
      </w:r>
      <w:r w:rsidRPr="00544AB7">
        <w:t xml:space="preserve"> cu privire la modalitatea de adoptare a deciziilor de management a societăților implicate în pretinsa faptă anticoncurențială nu pot fi luate în considerare, întrucât, chiar din formularea declarației de clemență reiese faptul că sunt simple speculații (extras declarație – “și probabil centrale ale firmelor membre”). </w:t>
      </w:r>
    </w:p>
    <w:p w:rsidRPr="00544AB7" w:rsidR="00D41C6E">
      <w:pPr>
        <w:ind w:firstLine="708"/>
        <w:jc w:val="both"/>
      </w:pPr>
      <w:r w:rsidRPr="00544AB7">
        <w:t xml:space="preserve">De asemenea, nu pot fi luate în considerare nici aprecierile doamnei </w:t>
      </w:r>
      <w:r w:rsidRPr="00544AB7" w:rsidR="00FC6A20">
        <w:t>...R...</w:t>
      </w:r>
      <w:r w:rsidRPr="00544AB7">
        <w:t xml:space="preserve"> cu privire la caracterul pretins sensibil al informațiilor schimbate între concurenți, aceasta nefiind în măsură să stabilească care este efectul schimbului de informații pe piață. De altfel, deși în primul Raport, Consiliul Concurenței a reținut speculațiile doamnei </w:t>
      </w:r>
      <w:r w:rsidRPr="00544AB7" w:rsidR="00FC6A20">
        <w:t>...R...</w:t>
      </w:r>
      <w:r w:rsidRPr="00544AB7">
        <w:t xml:space="preserve"> ca reprezentând efectele pretinsei fapte anticoncurențiale, în cel de al doilea Raport, respectiv în Decizie, nu au mai fost reținute aceste speculații, fiind eliminate. </w:t>
      </w:r>
    </w:p>
    <w:p w:rsidRPr="00544AB7" w:rsidR="00D41C6E">
      <w:pPr>
        <w:ind w:firstLine="708"/>
        <w:jc w:val="both"/>
      </w:pPr>
      <w:r w:rsidRPr="00544AB7">
        <w:t>Or, toate asemenea aspecte ce reprezintă în realitate calificări juridice (i.e. aprecierea unui aspect al situației de fapt prin raportare la normele juridice incidente în cauză) nici nu pot fi invocate ca elemente de ordin probator prin raportare la declarația de clemență, întrucât în nicio procedură martorii nu sunt chemați să facă aprecieri juridice, ci exclusiv să spună elementele factuale de care au cunoștință. Astfel, dacă pe baza acestor informații Consiliul Concurenței poate să facă aprecieri și calificări juridice, decizând dacă declanșează sau nu o investigație, dacă acordă sau nu tratamentul exonerator prevăzut de lege, considerând că a primit suficiente elemente de ordin probator în acest sens, aceasta nu înseamnă că prin sine însăși o asemenea declarație acceptată și eventualele elemente de ordin probator pe care Consiliul Concurenței le-a considerat relevante pentru clemență ar putea avea vreo asemenea valoare, dacă din însuși conținutul lor și, respectiv, circumstanțele în care au fost acordate rezultă exact contrariul.</w:t>
      </w:r>
    </w:p>
    <w:p w:rsidRPr="00544AB7" w:rsidR="00D41C6E">
      <w:pPr>
        <w:ind w:firstLine="708"/>
        <w:jc w:val="both"/>
      </w:pPr>
      <w:r w:rsidRPr="00544AB7">
        <w:t xml:space="preserve">Toate acestea aspecte conduc la concluzia că declarația de clemență formulată de doamna </w:t>
      </w:r>
      <w:r w:rsidRPr="00544AB7" w:rsidR="00FC6A20">
        <w:t>...R...</w:t>
      </w:r>
      <w:r w:rsidRPr="00544AB7">
        <w:t xml:space="preserve"> nu este credibilă și nu poate fi luată în considerare, în lipsa unor probe care să provină de la o persoană/întreprindere străină de </w:t>
      </w:r>
      <w:r w:rsidRPr="00544AB7" w:rsidR="0018311F">
        <w:t>...X...</w:t>
      </w:r>
      <w:r w:rsidRPr="00544AB7">
        <w:t xml:space="preserve"> și, care, mai ales, să fie concludente. Or, în cauza de față toate probele care au condus la concluzia Consiliului Concurenței (eronată, de altfel) că </w:t>
      </w:r>
      <w:r w:rsidRPr="00544AB7" w:rsidR="00FC492C">
        <w:t>...Y*...</w:t>
      </w:r>
      <w:r w:rsidRPr="00544AB7">
        <w:t xml:space="preserve"> ar fi participat la o practică anticoncurențiale, provin de la </w:t>
      </w:r>
      <w:r w:rsidRPr="00544AB7" w:rsidR="0018311F">
        <w:t>...X...</w:t>
      </w:r>
      <w:r w:rsidRPr="00544AB7">
        <w:t>, ceea ce, în lumina jurisprudenței europene și a regulilor mai sus amintite, nu este in conformitate cu standardele legale în materia probării existenței, respectiv a participării unei întreprinderi la o faptă anticoncurențiale nici din perspectiva condițiilor în care au fost emise și nici din perspectiva însuși conținutului lor probator.</w:t>
      </w:r>
    </w:p>
    <w:p w:rsidRPr="00544AB7" w:rsidR="00D41C6E">
      <w:pPr>
        <w:ind w:firstLine="708"/>
        <w:jc w:val="both"/>
      </w:pPr>
      <w:r w:rsidRPr="00544AB7">
        <w:t xml:space="preserve">Ulterior transmiterii dosarului către echipa de investigație pentru completare, întrucât primul Raport nu dovedea o practică anticoncurențială, în data de 10.07.2020, echipa de </w:t>
      </w:r>
      <w:r w:rsidRPr="00544AB7">
        <w:t xml:space="preserve">investigație a transmis o nouă cerere de informații către </w:t>
      </w:r>
      <w:r w:rsidRPr="00544AB7" w:rsidR="0018311F">
        <w:t>...X...</w:t>
      </w:r>
      <w:r w:rsidRPr="00544AB7">
        <w:t xml:space="preserve"> SRL, care a fost înregistrată cu nr. </w:t>
      </w:r>
      <w:r w:rsidRPr="00544AB7" w:rsidR="002C0774">
        <w:t>..../..../09/10.07.2020</w:t>
      </w:r>
      <w:r w:rsidRPr="00544AB7">
        <w:t>, prin care se solicita întreprinderii să comunice:</w:t>
      </w:r>
    </w:p>
    <w:p w:rsidRPr="00544AB7" w:rsidR="00D41C6E">
      <w:pPr>
        <w:ind w:firstLine="708"/>
        <w:jc w:val="both"/>
      </w:pPr>
      <w:r w:rsidRPr="00544AB7">
        <w:t>•</w:t>
      </w:r>
      <w:r w:rsidRPr="00544AB7">
        <w:tab/>
        <w:t xml:space="preserve">“dacă, în perioada 2008-2016, a primit, a centralizat și, respectiv a transmis către membrii </w:t>
      </w:r>
      <w:r w:rsidRPr="00544AB7" w:rsidR="0075748D">
        <w:t>...W*...</w:t>
      </w:r>
      <w:r w:rsidRPr="00544AB7">
        <w:t xml:space="preserve"> estimări viitoare ale unor indicatori raportați în cadrul asociației (inclusiv documente în sprijinul răspunsului, dacă este cazul). în caz afirmativ, să precizeze care sunt acești indicatori, pentru ce perioadă s-a făcut acest schimb de estimări viitoare, să furnizeze liste cu întreprinderile care au transmis, respectiv care au primit informațiile menționate:</w:t>
      </w:r>
    </w:p>
    <w:p w:rsidRPr="00544AB7" w:rsidR="00D41C6E">
      <w:pPr>
        <w:ind w:firstLine="708"/>
        <w:jc w:val="both"/>
      </w:pPr>
      <w:r w:rsidRPr="00544AB7">
        <w:t>•</w:t>
      </w:r>
      <w:r w:rsidRPr="00544AB7">
        <w:tab/>
        <w:t xml:space="preserve">orice alte informații pe care le cunoaște cu privire la estimările viitoare ale indicatorilor schimbați în cadrul </w:t>
      </w:r>
      <w:r w:rsidRPr="00544AB7" w:rsidR="0075748D">
        <w:t>...W*...</w:t>
      </w:r>
      <w:r w:rsidRPr="00544AB7">
        <w:t>.”.</w:t>
      </w:r>
    </w:p>
    <w:p w:rsidRPr="00544AB7" w:rsidR="00D41C6E">
      <w:pPr>
        <w:ind w:firstLine="708"/>
        <w:jc w:val="both"/>
      </w:pPr>
      <w:r w:rsidRPr="00544AB7">
        <w:t xml:space="preserve">La momentul transmiterii acestei cereri, doamna </w:t>
      </w:r>
      <w:r w:rsidRPr="00544AB7" w:rsidR="00FC6A20">
        <w:t>...R...</w:t>
      </w:r>
      <w:r w:rsidRPr="00544AB7">
        <w:t xml:space="preserve"> era inspector de concurență, angajat al Consiliului Concurenței și acționar majoritar în </w:t>
      </w:r>
      <w:r w:rsidRPr="00544AB7" w:rsidR="0018311F">
        <w:t>...X...</w:t>
      </w:r>
      <w:r w:rsidRPr="00544AB7">
        <w:t xml:space="preserve">, deținând 55% din capitalul social subscris și vărsat, iar administratorul </w:t>
      </w:r>
      <w:r w:rsidRPr="00544AB7" w:rsidR="0018311F">
        <w:t>...X...</w:t>
      </w:r>
      <w:r w:rsidRPr="00544AB7">
        <w:t xml:space="preserve"> era soțul acesteia.</w:t>
      </w:r>
    </w:p>
    <w:p w:rsidRPr="00544AB7" w:rsidR="00D41C6E">
      <w:pPr>
        <w:ind w:firstLine="708"/>
        <w:jc w:val="both"/>
      </w:pPr>
      <w:r w:rsidRPr="00544AB7">
        <w:t xml:space="preserve">La solicitarea de informații suplimentare, domnul </w:t>
      </w:r>
      <w:r w:rsidRPr="00544AB7" w:rsidR="00FC6A20">
        <w:t>...K...</w:t>
      </w:r>
      <w:r w:rsidRPr="00544AB7">
        <w:t xml:space="preserve"> a răspuns prin adresa nr. </w:t>
      </w:r>
      <w:r w:rsidRPr="00544AB7" w:rsidR="002C0774">
        <w:t>..../..../10/14.07.2020</w:t>
      </w:r>
      <w:r w:rsidRPr="00544AB7">
        <w:t xml:space="preserve">, prin care, printre altele, se menționează că “responsabil direct pentru relația cu membrii </w:t>
      </w:r>
      <w:r w:rsidRPr="00544AB7" w:rsidR="0075748D">
        <w:t>...W*...</w:t>
      </w:r>
      <w:r w:rsidRPr="00544AB7">
        <w:t xml:space="preserve"> in domeniul pregătirii rapoartelor periodice este dl. </w:t>
      </w:r>
      <w:r w:rsidRPr="00544AB7" w:rsidR="004C2395">
        <w:t>...T...</w:t>
      </w:r>
      <w:r w:rsidRPr="00544AB7">
        <w:t xml:space="preserve">, care va poate oferi eventuale alte detalii. De asemenea, menţionează faptul că dl. </w:t>
      </w:r>
      <w:r w:rsidRPr="00544AB7" w:rsidR="004C2395">
        <w:t>...T...</w:t>
      </w:r>
      <w:r w:rsidRPr="00544AB7">
        <w:t xml:space="preserve"> nu mai lucrează la întreprinderea noastră de la finele anului 2016, adresa </w:t>
      </w:r>
      <w:r w:rsidRPr="00544AB7" w:rsidR="004C2395">
        <w:t>.............</w:t>
      </w:r>
      <w:r w:rsidRPr="00544AB7">
        <w:t>@</w:t>
      </w:r>
      <w:r w:rsidRPr="00544AB7" w:rsidR="004C2395">
        <w:t>.............</w:t>
      </w:r>
      <w:r w:rsidRPr="00544AB7">
        <w:t>.ro fiind desființată de la Începutul anului 2017. Aceasta a fost adresa dedicată de comunicare, adresa la care nu mai avem acces la această dată”.</w:t>
      </w:r>
    </w:p>
    <w:p w:rsidRPr="00544AB7" w:rsidR="00D41C6E">
      <w:pPr>
        <w:ind w:firstLine="708"/>
        <w:jc w:val="both"/>
      </w:pPr>
      <w:r w:rsidRPr="00544AB7">
        <w:t xml:space="preserve">Prin această afirmație, </w:t>
      </w:r>
      <w:r w:rsidRPr="00544AB7" w:rsidR="0018311F">
        <w:t>...X...</w:t>
      </w:r>
      <w:r w:rsidRPr="00544AB7">
        <w:t xml:space="preserve"> confirmă faptul că aceasta nu poate oferi informații concludente din domeniul pregătirii rapoartelor periodice, responsabil cu aceasta fiind domnul </w:t>
      </w:r>
      <w:r w:rsidRPr="00544AB7" w:rsidR="004C2395">
        <w:t>...T...</w:t>
      </w:r>
      <w:r w:rsidRPr="00544AB7">
        <w:t xml:space="preserve">, fost angajat al </w:t>
      </w:r>
      <w:r w:rsidRPr="00544AB7" w:rsidR="0018311F">
        <w:t>...X...</w:t>
      </w:r>
      <w:r w:rsidRPr="00544AB7">
        <w:t xml:space="preserve">. Această afirmație susține principiul confirm căruia, pentru ca o informație să aibă valoare probatorie, aceasta trebuie să provină de la persoana care le cunoaște propriu-zis. Or, din declarația expresă a domnului </w:t>
      </w:r>
      <w:r w:rsidRPr="00544AB7" w:rsidR="004C2395">
        <w:t>...K...</w:t>
      </w:r>
      <w:r w:rsidRPr="00544AB7">
        <w:t xml:space="preserve">, singura persoana care ar fi putut aduce clarificări și informații suplimentare în ceea ce privește raportările ar fi fost domnul </w:t>
      </w:r>
      <w:r w:rsidRPr="00544AB7" w:rsidR="004C2395">
        <w:t>...T...</w:t>
      </w:r>
      <w:r w:rsidRPr="00544AB7">
        <w:t xml:space="preserve">, orice informație în acest sens din partea administratorului </w:t>
      </w:r>
      <w:r w:rsidRPr="00544AB7" w:rsidR="0018311F">
        <w:t>...X...</w:t>
      </w:r>
      <w:r w:rsidRPr="00544AB7">
        <w:t xml:space="preserve"> fiind lipsită de forță probatorie. Din același motiv, nu pot fi luate în considerare nici declarațiile dnei </w:t>
      </w:r>
      <w:r w:rsidRPr="00544AB7" w:rsidR="00FC6A20">
        <w:t>...R...</w:t>
      </w:r>
      <w:r w:rsidRPr="00544AB7">
        <w:t xml:space="preserve">, aceasta neavând atribuții directe în prelucrarea/ transmiterea raportărilor. </w:t>
      </w:r>
    </w:p>
    <w:p w:rsidRPr="00544AB7" w:rsidR="00D41C6E">
      <w:pPr>
        <w:ind w:firstLine="708"/>
        <w:jc w:val="both"/>
      </w:pPr>
      <w:r w:rsidRPr="00544AB7">
        <w:t xml:space="preserve">În data de 25.08.2020, </w:t>
      </w:r>
      <w:r w:rsidRPr="00544AB7" w:rsidR="0018311F">
        <w:t>...X...</w:t>
      </w:r>
      <w:r w:rsidRPr="00544AB7">
        <w:t xml:space="preserve"> a transmis o completare a acestui răspuns, care a fost înregistrată ia Consiliul Concurenței cu nr. </w:t>
      </w:r>
      <w:r w:rsidRPr="00544AB7" w:rsidR="002C0774">
        <w:t>....-..../11/25.08.2020</w:t>
      </w:r>
      <w:r w:rsidRPr="00544AB7">
        <w:t xml:space="preserve">. </w:t>
      </w:r>
    </w:p>
    <w:p w:rsidRPr="00544AB7" w:rsidR="00D41C6E">
      <w:pPr>
        <w:ind w:firstLine="708"/>
        <w:jc w:val="both"/>
      </w:pPr>
      <w:r w:rsidRPr="00544AB7">
        <w:t xml:space="preserve">Prin această completare, </w:t>
      </w:r>
      <w:r w:rsidRPr="00544AB7" w:rsidR="0018311F">
        <w:t>...X...</w:t>
      </w:r>
      <w:r w:rsidRPr="00544AB7">
        <w:t xml:space="preserve"> a pus la dispoziția Consiliului Concurenței o nouă serie de documente, obținute ca urmare a reactivării adresei de email a domnului </w:t>
      </w:r>
      <w:r w:rsidRPr="00544AB7" w:rsidR="004C2395">
        <w:t>...T...</w:t>
      </w:r>
      <w:r w:rsidRPr="00544AB7">
        <w:t xml:space="preserve">, responsabil direct de relația cu membrii </w:t>
      </w:r>
      <w:r w:rsidRPr="00544AB7" w:rsidR="0075748D">
        <w:t>...W*...</w:t>
      </w:r>
      <w:r w:rsidRPr="00544AB7">
        <w:t xml:space="preserve">. </w:t>
      </w:r>
    </w:p>
    <w:p w:rsidRPr="00544AB7" w:rsidR="00D41C6E">
      <w:pPr>
        <w:ind w:firstLine="708"/>
        <w:jc w:val="both"/>
      </w:pPr>
      <w:r w:rsidRPr="00544AB7">
        <w:t xml:space="preserve">Având în vedere aspectele mai sus prezentate, este evident că explicațiile / interpretările furnizate de </w:t>
      </w:r>
      <w:r w:rsidRPr="00544AB7" w:rsidR="0018311F">
        <w:t>...X...</w:t>
      </w:r>
      <w:r w:rsidRPr="00544AB7">
        <w:t xml:space="preserve"> prin intermediul domnului </w:t>
      </w:r>
      <w:r w:rsidRPr="00544AB7" w:rsidR="00FC6A20">
        <w:t>...K...</w:t>
      </w:r>
      <w:r w:rsidRPr="00544AB7">
        <w:t xml:space="preserve"> nu pot fi luate în considerare, ținând cont de următoarele:</w:t>
      </w:r>
    </w:p>
    <w:p w:rsidRPr="00544AB7" w:rsidR="00D41C6E">
      <w:pPr>
        <w:ind w:firstLine="708"/>
        <w:jc w:val="both"/>
      </w:pPr>
      <w:r w:rsidRPr="00544AB7">
        <w:t>•</w:t>
      </w:r>
      <w:r w:rsidRPr="00544AB7">
        <w:tab/>
        <w:t xml:space="preserve">acesta a devenit administratorul </w:t>
      </w:r>
      <w:r w:rsidRPr="00544AB7" w:rsidR="0018311F">
        <w:t>...X...</w:t>
      </w:r>
      <w:r w:rsidRPr="00544AB7">
        <w:t xml:space="preserve"> după retragerea doamnei </w:t>
      </w:r>
      <w:r w:rsidRPr="00544AB7" w:rsidR="00F75C41">
        <w:t>...R...</w:t>
      </w:r>
      <w:r w:rsidRPr="00544AB7">
        <w:t xml:space="preserve"> (ca urmare a accederii într-o funcție publică în cadrul Consiliului Concurenței), neavând nicio implicare în activitatea reclamantei în perioada vizată de Investigație, respectiv 2013-2014;</w:t>
      </w:r>
    </w:p>
    <w:p w:rsidRPr="00544AB7" w:rsidR="00D41C6E">
      <w:pPr>
        <w:ind w:firstLine="708"/>
        <w:jc w:val="both"/>
      </w:pPr>
      <w:r w:rsidRPr="00544AB7">
        <w:t>•</w:t>
      </w:r>
      <w:r w:rsidRPr="00544AB7">
        <w:tab/>
        <w:t xml:space="preserve">este soțul doamnei </w:t>
      </w:r>
      <w:r w:rsidRPr="00544AB7" w:rsidR="00FC6A20">
        <w:t>...R...</w:t>
      </w:r>
      <w:r w:rsidRPr="00544AB7">
        <w:t>;</w:t>
      </w:r>
    </w:p>
    <w:p w:rsidRPr="00544AB7" w:rsidR="00D41C6E">
      <w:pPr>
        <w:ind w:firstLine="708"/>
        <w:jc w:val="both"/>
      </w:pPr>
      <w:r w:rsidRPr="00544AB7">
        <w:t>•</w:t>
      </w:r>
      <w:r w:rsidRPr="00544AB7">
        <w:tab/>
        <w:t xml:space="preserve">doamna </w:t>
      </w:r>
      <w:r w:rsidRPr="00544AB7" w:rsidR="00FC6A20">
        <w:t>...R...</w:t>
      </w:r>
      <w:r w:rsidRPr="00544AB7">
        <w:t xml:space="preserve"> este acționar majoritar în </w:t>
      </w:r>
      <w:r w:rsidRPr="00544AB7" w:rsidR="0018311F">
        <w:t>...X...</w:t>
      </w:r>
      <w:r w:rsidRPr="00544AB7">
        <w:t>, fiind într-un vădit conflict de interese.</w:t>
      </w:r>
    </w:p>
    <w:p w:rsidRPr="00544AB7" w:rsidR="00D41C6E">
      <w:pPr>
        <w:ind w:firstLine="708"/>
        <w:jc w:val="both"/>
      </w:pPr>
      <w:r w:rsidRPr="00544AB7">
        <w:t>III.2.</w:t>
      </w:r>
      <w:r w:rsidRPr="00544AB7">
        <w:tab/>
        <w:t xml:space="preserve">Declarația de recunoaștere a </w:t>
      </w:r>
      <w:r w:rsidRPr="00544AB7" w:rsidR="004C2395">
        <w:t>...Z...</w:t>
      </w:r>
      <w:r w:rsidRPr="00544AB7">
        <w:t xml:space="preserve"> nu poate reprezenta o probă a participării </w:t>
      </w:r>
      <w:r w:rsidRPr="00544AB7" w:rsidR="00FC492C">
        <w:t>...Y*...</w:t>
      </w:r>
      <w:r w:rsidRPr="00544AB7">
        <w:t xml:space="preserve"> la o practică anticoncurențială</w:t>
      </w:r>
    </w:p>
    <w:p w:rsidRPr="00544AB7" w:rsidR="00D41C6E">
      <w:pPr>
        <w:ind w:firstLine="708"/>
        <w:jc w:val="both"/>
      </w:pPr>
      <w:r w:rsidRPr="00544AB7">
        <w:t xml:space="preserve">La paragrafele 570-573 din Decizie, se menționează că, la data de 30.07.2020, anterior primirii celui de al doilea raport de investigație, prin adresa înregistrată la Consiliul Concurenței cu numărul RG </w:t>
      </w:r>
      <w:r w:rsidRPr="00544AB7" w:rsidR="004C2395">
        <w:t>........</w:t>
      </w:r>
      <w:r w:rsidRPr="00544AB7">
        <w:t xml:space="preserve">/30.07,2020, </w:t>
      </w:r>
      <w:bookmarkStart w:name="_Hlk236750573" w:id="3"/>
      <w:r w:rsidRPr="00544AB7" w:rsidR="004C2395">
        <w:t>...Z...</w:t>
      </w:r>
      <w:r w:rsidRPr="00544AB7">
        <w:t xml:space="preserve"> Romania IFN SA </w:t>
      </w:r>
      <w:bookmarkEnd w:id="3"/>
      <w:r w:rsidRPr="00544AB7">
        <w:t>a solicitat demararea procedurii recunoașterii și și-a manifestat disponibilitatea de a participa la discuții privind condițiile unei posibile recunoașteri a unor fapte care constituie obiectul investigației.</w:t>
      </w:r>
    </w:p>
    <w:p w:rsidRPr="00544AB7" w:rsidR="00D41C6E">
      <w:pPr>
        <w:ind w:firstLine="708"/>
        <w:jc w:val="both"/>
      </w:pPr>
      <w:r w:rsidRPr="00544AB7">
        <w:t xml:space="preserve">În urma unor întâlniri cu reprezentanții Consiliului Concurenței, anterior primirii raportului de investigație, </w:t>
      </w:r>
      <w:r w:rsidRPr="00544AB7" w:rsidR="004C2395">
        <w:t>...Z...</w:t>
      </w:r>
      <w:r w:rsidRPr="00544AB7">
        <w:t xml:space="preserve"> Romania IFN SA a înaintat o propunere de recunoaștere integrală al cărei conținut este prezentat în cele ce urmează:</w:t>
      </w:r>
    </w:p>
    <w:p w:rsidRPr="00544AB7" w:rsidR="00D41C6E">
      <w:pPr>
        <w:ind w:firstLine="708"/>
        <w:jc w:val="both"/>
      </w:pPr>
      <w:r w:rsidRPr="00544AB7">
        <w:t>“</w:t>
      </w:r>
      <w:r w:rsidRPr="00544AB7" w:rsidR="004C2395">
        <w:t>...Z...</w:t>
      </w:r>
      <w:r w:rsidRPr="00544AB7">
        <w:t xml:space="preserve"> România IFN S.A. se angajează să recunoască existența faptei anticoncurențiale. astfel cum aceasta rezultă din informare și pentru durata care rezultă din informare, respectiv “calitatea de participant a întreprinderii în perioada 20.02.2014 - 31.12.2014 la fapta anticoncurențială având ca obiect o înțelegere și/sau practică concertata săvârșită de către firme membre </w:t>
      </w:r>
      <w:r w:rsidRPr="00544AB7" w:rsidR="0075748D">
        <w:t>...W*...</w:t>
      </w:r>
      <w:r w:rsidRPr="00544AB7">
        <w:t xml:space="preserve"> prin participarea la un schimb de informații sensibile din punct de vedere comercial cu privire la cantități viitoare (valoarea nou finanțată), care a avut potențialul de a conduce la reducerea incertitudinii strategice de pe piață".</w:t>
      </w:r>
    </w:p>
    <w:p w:rsidRPr="00544AB7" w:rsidR="00D41C6E">
      <w:pPr>
        <w:ind w:firstLine="708"/>
        <w:jc w:val="both"/>
      </w:pPr>
      <w:r w:rsidRPr="00544AB7">
        <w:t xml:space="preserve">În pofida celor susținute în declarația de recunoaștere a </w:t>
      </w:r>
      <w:r w:rsidRPr="00544AB7" w:rsidR="004C2395">
        <w:t>...Z...</w:t>
      </w:r>
      <w:r w:rsidRPr="00544AB7">
        <w:t xml:space="preserve"> (referirile la existența unei practici anticoncurențiale săvârșite de membrii </w:t>
      </w:r>
      <w:r w:rsidRPr="00544AB7" w:rsidR="0075748D">
        <w:t>...W*...</w:t>
      </w:r>
      <w:r w:rsidRPr="00544AB7">
        <w:t xml:space="preserve">), aspectele cuprinse în aceasta (declarația de recunoaștere), nu sunt în măsură să dovedească o eventuală conduită anticoncurențială cu privire la alte părți în afară de </w:t>
      </w:r>
      <w:r w:rsidRPr="00544AB7" w:rsidR="004C2395">
        <w:t>...Z...</w:t>
      </w:r>
      <w:r w:rsidRPr="00544AB7">
        <w:t>.</w:t>
      </w:r>
    </w:p>
    <w:p w:rsidRPr="00544AB7" w:rsidR="00D41C6E">
      <w:pPr>
        <w:ind w:firstLine="708"/>
        <w:jc w:val="both"/>
      </w:pPr>
      <w:r w:rsidRPr="00544AB7">
        <w:t>Conform prevederilor art. 57 alin (2) teza întâi din Legea concurenței, “În cazul contravenţiilor prevăzute la art. 55 alin. (1), dacă întreprinderea recunoaşte, în mod expres, înainte de audieri, săvârşirea faptei anticoncurenţiale şi, acolo unde este cazul, propune remedii care duc la înlăturarea cauzelor încălcării, Consiliul Concurenţei poate aplica o reducere a amenzii cu un procent cuprins între 10% şi 30% din nivelul de bază determinat conform instrucţiunilor adoptate potrivit prevederilor alin. (1)”.</w:t>
      </w:r>
    </w:p>
    <w:p w:rsidRPr="00544AB7" w:rsidR="00D41C6E">
      <w:pPr>
        <w:ind w:firstLine="708"/>
        <w:jc w:val="both"/>
      </w:pPr>
      <w:r w:rsidRPr="00544AB7">
        <w:t>Reiese din dispoziția legală citată faptul că declarația de recunoaștere produce efecte juridice pentru întreprinderea care recurge la această măsură, în sensul ca va beneficia de reducerea amenzii, dar nu poate , în lipsa unui conținut specific în plan probator (să relateze prin sine însăși aspecte ale situației de fapt care să se coroboreze cu celelalte dovezi suplimentare administrate în cauză) , să reprezinte un mijloc de probă împotriva unui alt operator economic. Trebuie avut în vedere că legislația aplicabilă nu atașează o forță probatorie niciuneia dintre aceste proceduri  și nici nu ar putea să o facă întrucât simpla declarație a cuiva că se consideră vinovat că ar fi săvârșit o anumită faptă nu ar putea fi extinsă pentru a fi prezumată sau asimilată ca o dovadă a săvărșirii unei fapte de către alte persoane.</w:t>
      </w:r>
    </w:p>
    <w:p w:rsidRPr="00544AB7" w:rsidR="00D41C6E">
      <w:pPr>
        <w:ind w:firstLine="708"/>
        <w:jc w:val="both"/>
      </w:pPr>
      <w:r w:rsidRPr="00544AB7">
        <w:t xml:space="preserve">De asemenea, este extrem de important pentru analiza situației dedusă judecății în prezenta cauză și faptul că </w:t>
      </w:r>
      <w:r w:rsidRPr="00544AB7" w:rsidR="004C2395">
        <w:t>...Z...</w:t>
      </w:r>
      <w:r w:rsidRPr="00544AB7">
        <w:t xml:space="preserve"> este una din întreprinderile care nu numai că a primit, dar a și raportat valoarea estimată a finanțărilor pentru anul 2014, atât în transmiterea raportărilor pentru Q4 2013, cât și cele pentru Q1 2014. </w:t>
      </w:r>
    </w:p>
    <w:p w:rsidRPr="00544AB7" w:rsidR="00D41C6E">
      <w:pPr>
        <w:ind w:firstLine="708"/>
        <w:jc w:val="both"/>
      </w:pPr>
      <w:r w:rsidRPr="00544AB7">
        <w:t xml:space="preserve">În concluzie, recunoașterea poate avea forță probantă doar cu privire la faptele proprii operatorului economic ce recurge la aceasta, acesta neputând face o încadrare juridică a acestor fapte, respectiv calificarea lor ca reprezentând o practică anticoncurențială la care au participat și alți operatori economici, care să poată fi considerată aplicabilă tuturor celorlalte societăți implicate în investigație. Cu alte cuvinte, recunoașterea este strict personală, iar prin aceasta </w:t>
      </w:r>
      <w:r w:rsidRPr="00544AB7" w:rsidR="004C2395">
        <w:t>...Z...</w:t>
      </w:r>
      <w:r w:rsidRPr="00544AB7">
        <w:t xml:space="preserve"> poate dovedi doar fapte proprii, nu și existența unei practici anticoncurențiale la care se presupune că ar fi participat și </w:t>
      </w:r>
      <w:r w:rsidRPr="00544AB7" w:rsidR="00FC492C">
        <w:t>...Y*...</w:t>
      </w:r>
      <w:r w:rsidRPr="00544AB7">
        <w:t xml:space="preserve">. </w:t>
      </w:r>
    </w:p>
    <w:p w:rsidRPr="00544AB7" w:rsidR="00D41C6E">
      <w:pPr>
        <w:ind w:firstLine="708"/>
        <w:jc w:val="both"/>
      </w:pPr>
      <w:r w:rsidRPr="00544AB7">
        <w:t xml:space="preserve">De altfel, poziția Reclamantei cu privire la acest aspect este susținută și de jurisprudența Curții Europene de Justiție , prin care s-a reținut faptul că “declarația unei întreprinderi acuzate că a participat la o înțelegere, a cărei exactitate este contestată de mai multe întreprinderi acuzate, nu poate fi considerată o dovadă suficientă privind faptele în cauză dacă nu este susținută de alte elemente de probă”, adică o asemenea declarație nu poate fi nici măcar probă (i.e. să ateste faptele relatate, iar nu să reprezinte calificări juridice opozabile altora), în lipsa altor probe concludente. </w:t>
      </w:r>
    </w:p>
    <w:p w:rsidRPr="00544AB7" w:rsidR="00D41C6E">
      <w:pPr>
        <w:ind w:firstLine="708"/>
        <w:jc w:val="both"/>
      </w:pPr>
      <w:r w:rsidRPr="00544AB7">
        <w:t xml:space="preserve">În consecință, reiese fără dubiu faptul că solicitările </w:t>
      </w:r>
      <w:r w:rsidRPr="00544AB7" w:rsidR="004C2395">
        <w:t>...Z...</w:t>
      </w:r>
      <w:r w:rsidRPr="00544AB7">
        <w:t xml:space="preserve"> de aplicare a unui regim favorabil pentru recunoaștere respectiv de aplicare a unui regim de clemență nu sunt în </w:t>
      </w:r>
      <w:r w:rsidRPr="00544AB7">
        <w:t xml:space="preserve">măsură a proba implicarea în vreun fel a </w:t>
      </w:r>
      <w:r w:rsidRPr="00544AB7" w:rsidR="00FC492C">
        <w:t>...Y*...</w:t>
      </w:r>
      <w:r w:rsidRPr="00544AB7">
        <w:t xml:space="preserve"> la presupusa practică anticoncurențială recunoscută de </w:t>
      </w:r>
      <w:r w:rsidRPr="00544AB7" w:rsidR="004C2395">
        <w:t>...Z...</w:t>
      </w:r>
      <w:r w:rsidRPr="00544AB7">
        <w:t>, aceste acte neavând nicio forță probatorie împotriva Reclamantei, cum la fel nici măcar vreun conținut de ordin probatoriu, de altfel.</w:t>
      </w:r>
    </w:p>
    <w:p w:rsidRPr="00544AB7" w:rsidR="00D41C6E">
      <w:pPr>
        <w:ind w:firstLine="708"/>
        <w:jc w:val="both"/>
      </w:pPr>
    </w:p>
    <w:p w:rsidRPr="00544AB7" w:rsidR="00D41C6E">
      <w:pPr>
        <w:ind w:firstLine="708"/>
        <w:jc w:val="both"/>
      </w:pPr>
      <w:r w:rsidRPr="00544AB7">
        <w:t>IV.</w:t>
      </w:r>
      <w:r w:rsidRPr="00544AB7">
        <w:tab/>
        <w:t>Apărări cu privire la fapta reținută prin decizie</w:t>
      </w:r>
    </w:p>
    <w:p w:rsidRPr="00544AB7" w:rsidR="00D41C6E">
      <w:pPr>
        <w:ind w:firstLine="708"/>
        <w:jc w:val="both"/>
      </w:pPr>
      <w:r w:rsidRPr="00544AB7">
        <w:t>IV.1.</w:t>
      </w:r>
      <w:r w:rsidRPr="00544AB7">
        <w:tab/>
        <w:t>Aspecte prealabile – Fapta reținută de Consiliul Concurenței</w:t>
      </w:r>
    </w:p>
    <w:p w:rsidRPr="00544AB7" w:rsidR="00D41C6E">
      <w:pPr>
        <w:ind w:firstLine="708"/>
        <w:jc w:val="both"/>
      </w:pPr>
      <w:r w:rsidRPr="00544AB7">
        <w:t xml:space="preserve">În cuprinsul Deciziei, se revelează cu lux de amănunte modalitatea de raportare și de schimb de informații între membrii </w:t>
      </w:r>
      <w:r w:rsidRPr="00544AB7" w:rsidR="0075748D">
        <w:t>...W*...</w:t>
      </w:r>
      <w:r w:rsidRPr="00544AB7">
        <w:t xml:space="preserve"> pe parcursul a mai bine de 8 ani de zile, fiind foarte dificil, fără o analiză foarte atentă a Deciziei, să fie decelată fapta sancționată. </w:t>
      </w:r>
    </w:p>
    <w:p w:rsidRPr="00544AB7" w:rsidR="00D41C6E">
      <w:pPr>
        <w:ind w:firstLine="708"/>
        <w:jc w:val="both"/>
      </w:pPr>
      <w:r w:rsidRPr="00544AB7">
        <w:t xml:space="preserve">Prezentarea detaliată și cu ton incriminator a modalității de raportare între membrii </w:t>
      </w:r>
      <w:r w:rsidRPr="00544AB7" w:rsidR="0075748D">
        <w:t>...W*...</w:t>
      </w:r>
      <w:r w:rsidRPr="00544AB7">
        <w:t xml:space="preserve"> a unor informații comerciale se întinde pe 37 de pagini ale Deciziei (pag 25-62 din Decizie), Consiliul Concurenței părând că prezintă toate informațiile incluse raportările periodice ca având caracter de informații sensibile.</w:t>
      </w:r>
    </w:p>
    <w:p w:rsidRPr="00544AB7" w:rsidR="00D41C6E">
      <w:pPr>
        <w:ind w:firstLine="708"/>
        <w:jc w:val="both"/>
      </w:pPr>
      <w:r w:rsidRPr="00544AB7">
        <w:t>Cu toate acestea, la o analiză mai amănunțită a Deciziei, se va observa că pretinsa “faptă” pentru care operatorii economici au fost sancționați este exclusiv raportarea/primirea, în cadrul unor raportări obișnuite, a unor informații cu privire la valoarea estimată a finanțărilor pentru anul 2014, informații incluse doar în raportările aferente Q4 2013 și Q1 2014.</w:t>
      </w:r>
    </w:p>
    <w:p w:rsidRPr="00544AB7" w:rsidR="00D41C6E">
      <w:pPr>
        <w:ind w:firstLine="708"/>
        <w:jc w:val="both"/>
      </w:pPr>
      <w:r w:rsidRPr="00544AB7">
        <w:t xml:space="preserve">Deși primul Raport reținea că toate informațiile incluse în raportările periodice dintre membrii </w:t>
      </w:r>
      <w:r w:rsidRPr="00544AB7" w:rsidR="0075748D">
        <w:t>...W*...</w:t>
      </w:r>
      <w:r w:rsidRPr="00544AB7">
        <w:t xml:space="preserve"> sunt informații cu caracter sensibil, a căror schimbare determină participarea la o practică anticoncurențială, ulterior retrimiterii cauzei înapoi echipei de investigație în vederea re-analizării, cel de al doilea Raport nu a mai reținut acest lucru, astfel că s-a confirmat chiar de autoritatea de concurență că informațiile incluse în raportări între anii 2008-2016 nu au avut caracter sensibil din punct de vedere comercial, schimbul de informații fiind perfect legitim.</w:t>
      </w:r>
    </w:p>
    <w:p w:rsidRPr="00544AB7" w:rsidR="00D41C6E">
      <w:pPr>
        <w:ind w:firstLine="708"/>
        <w:jc w:val="both"/>
      </w:pPr>
      <w:r w:rsidRPr="00544AB7">
        <w:t xml:space="preserve">Concluzia evidentă care se poate extrage din această conduită a Consiliului Concurenței este că, în încercarea de a exacerba importanța informațiilor schimbate, aceasta a recurs la metode șicanatoare de a induce în eroare instanța de judecată, prin introducerea în cadrul Deciziei a unui volum impresionant de informații fără nicio relevanță și prin prezentarea unui amalgam de argumente cu privire la pretinsul caracter sensibil al tuturor informațiilor schimbate între membrii </w:t>
      </w:r>
      <w:r w:rsidRPr="00544AB7" w:rsidR="0075748D">
        <w:t>...W*...</w:t>
      </w:r>
      <w:r w:rsidRPr="00544AB7">
        <w:t xml:space="preserve">, menționând doar printre rânduri faptul că, din punct de vedere concurențial, obiectul pretinsei practici anticoncurențiale ar fi reprezentat exclusiv de raportarea/ridicarea raportărilor care includeau informații privind valoarea estimată a finanțărilor pentru anul 2014 (informații incluse în doar două raportări trimestriale – Q4 2014 și Q1 2014), raportări ce au fost făcute de un număr extrem de limitat de membrii </w:t>
      </w:r>
      <w:r w:rsidRPr="00544AB7" w:rsidR="0075748D">
        <w:t>...W*...</w:t>
      </w:r>
      <w:r w:rsidRPr="00544AB7">
        <w:t xml:space="preserve">. Cu alte cuvinte, din analiza Deciziei, abia la pagina 66, după o prezentare voluminoasă a schimbului de informații dintre membrii </w:t>
      </w:r>
      <w:r w:rsidRPr="00544AB7" w:rsidR="0075748D">
        <w:t>...W*...</w:t>
      </w:r>
      <w:r w:rsidRPr="00544AB7">
        <w:t>, pentru o perioadă de peste 8 ani, se menționează că, de fapt, problematică ar fi fost doar  raportarea privind cu valoarea estimată a finanțărilor exclusiv pentru anul 2014.</w:t>
      </w:r>
    </w:p>
    <w:p w:rsidRPr="00544AB7" w:rsidR="00D41C6E">
      <w:pPr>
        <w:ind w:firstLine="708"/>
        <w:jc w:val="both"/>
      </w:pPr>
      <w:r w:rsidRPr="00544AB7">
        <w:t xml:space="preserve">Mai mult, în încercarea de a induce în eroare organele de control judiciar, Consiliul Concurenței menționează în Decizie, faptul că membrii </w:t>
      </w:r>
      <w:r w:rsidRPr="00544AB7" w:rsidR="0075748D">
        <w:t>...W*...</w:t>
      </w:r>
      <w:r w:rsidRPr="00544AB7">
        <w:t xml:space="preserve"> ar fi decis introducerea în raportările periodice informații cu privire la valorile noi finanțate, pentru Q4 2013 și  Q1 2014 (e.g. pag. 222, para 729: “în anul 2013, întreprinderile </w:t>
      </w:r>
      <w:r w:rsidRPr="00544AB7" w:rsidR="0075748D">
        <w:t>...W*...</w:t>
      </w:r>
      <w:r w:rsidRPr="00544AB7">
        <w:t xml:space="preserve"> au decis modificarea modelului de raportare astfel încât acesta să includă o foaie Excel nouă (un sheet nou), conținând indicatorul valoare nou finanțată”).</w:t>
      </w:r>
    </w:p>
    <w:p w:rsidRPr="00544AB7" w:rsidR="00D41C6E">
      <w:pPr>
        <w:ind w:firstLine="708"/>
        <w:jc w:val="both"/>
      </w:pPr>
      <w:r w:rsidRPr="00544AB7">
        <w:t xml:space="preserve">Însă, din probele existente la dosarul cauzei format la Consiliu, modificarea modelului de raportare s-a efectuat fără consultarea și acordul membrilor </w:t>
      </w:r>
      <w:r w:rsidRPr="00544AB7" w:rsidR="0075748D">
        <w:t>...W*...</w:t>
      </w:r>
      <w:r w:rsidRPr="00544AB7">
        <w:t xml:space="preserve">, în mod unilateral, de către </w:t>
      </w:r>
      <w:r w:rsidRPr="00544AB7" w:rsidR="0018311F">
        <w:t>...X...</w:t>
      </w:r>
      <w:r w:rsidRPr="00544AB7">
        <w:t xml:space="preserve">, Societatea care a sesizat Consiliul Concurenței cu privire la existența unei pretinse fapte anticoncurențiale și care a beneficiat de imunitate la amendă. </w:t>
      </w:r>
    </w:p>
    <w:p w:rsidRPr="00544AB7" w:rsidR="00D41C6E">
      <w:pPr>
        <w:ind w:firstLine="708"/>
        <w:jc w:val="both"/>
      </w:pPr>
      <w:r w:rsidRPr="00544AB7">
        <w:t xml:space="preserve">Cu toate acestea, deși la dosarul cauzei există probe care demonstrează că societățile membre </w:t>
      </w:r>
      <w:r w:rsidRPr="00544AB7" w:rsidR="0075748D">
        <w:t>...W*...</w:t>
      </w:r>
      <w:r w:rsidRPr="00544AB7">
        <w:t xml:space="preserve"> nu numai că nu au decis introducerea unor astfel de raportări, ci, dimpotrivă,  chiar au și semnalat faptul că această introducere  nu a făcut obiectul discuțiilor ședințelor de stabilire a conținutului raportărilor, Consiliul Concurenței menționează în mod expres contrariul, fiind evident, încă de la bun început că Decizia se bazează pe o premisă falsă.</w:t>
      </w:r>
    </w:p>
    <w:p w:rsidRPr="00544AB7" w:rsidR="00D41C6E">
      <w:pPr>
        <w:ind w:firstLine="708"/>
        <w:jc w:val="both"/>
      </w:pPr>
      <w:r w:rsidRPr="00544AB7">
        <w:t>IV.2.</w:t>
      </w:r>
      <w:r w:rsidRPr="00544AB7">
        <w:tab/>
        <w:t>Piața relevantă a fost reținută greșit în Decizie</w:t>
      </w:r>
    </w:p>
    <w:p w:rsidRPr="00544AB7" w:rsidR="00D41C6E">
      <w:pPr>
        <w:ind w:firstLine="708"/>
        <w:jc w:val="both"/>
      </w:pPr>
      <w:r w:rsidRPr="00544AB7">
        <w:t xml:space="preserve">Decizia reține faptul că pretinsa încălcare a regulilor de concurență a avut loc pe piața relevantă a serviciilor de leasing financiar, piață ce are o dimensiune națională. </w:t>
      </w:r>
    </w:p>
    <w:p w:rsidRPr="00544AB7" w:rsidR="00D41C6E">
      <w:pPr>
        <w:ind w:firstLine="708"/>
        <w:jc w:val="both"/>
      </w:pPr>
      <w:r w:rsidRPr="00544AB7">
        <w:t xml:space="preserve">Concluzia cu privire la piața relevantă pe care a avut loc încălcarea vine în urma unei analize sumare prin care se evidențiază unele aspecte ce diferențiază leasingul financiar de creditul de consum, respectiv de leasingul operațional, Consiliul trăgând concluzia că produsele nu sunt substituibile. Printre elementele de diferențiere între leasingul financiar și creditul bancar invocate prin Decizie se numără: </w:t>
      </w:r>
    </w:p>
    <w:p w:rsidRPr="00544AB7" w:rsidR="00D41C6E">
      <w:pPr>
        <w:ind w:firstLine="708"/>
        <w:jc w:val="both"/>
      </w:pPr>
      <w:r w:rsidRPr="00544AB7">
        <w:t>i.</w:t>
      </w:r>
      <w:r w:rsidRPr="00544AB7">
        <w:tab/>
        <w:t>lipsa transferului imediat al dreptului de proprietate în cazul leasingului financiar</w:t>
      </w:r>
    </w:p>
    <w:p w:rsidRPr="00544AB7" w:rsidR="00D41C6E">
      <w:pPr>
        <w:ind w:firstLine="708"/>
        <w:jc w:val="both"/>
      </w:pPr>
      <w:r w:rsidRPr="00544AB7">
        <w:t>ii.</w:t>
      </w:r>
      <w:r w:rsidRPr="00544AB7">
        <w:tab/>
        <w:t xml:space="preserve">existența unor canale de vânzări mai diversificate în cazul leasingului financiar </w:t>
      </w:r>
    </w:p>
    <w:p w:rsidRPr="00544AB7" w:rsidR="00D41C6E">
      <w:pPr>
        <w:ind w:firstLine="708"/>
        <w:jc w:val="both"/>
      </w:pPr>
      <w:r w:rsidRPr="00544AB7">
        <w:t>iii.</w:t>
      </w:r>
      <w:r w:rsidRPr="00544AB7">
        <w:tab/>
        <w:t>posibilitatea acordării unui leasing financiar într-o perioadă de timp mai scurtă decât în cazul aprobării unui credit bancar</w:t>
      </w:r>
    </w:p>
    <w:p w:rsidRPr="00544AB7" w:rsidR="00D41C6E">
      <w:pPr>
        <w:ind w:firstLine="708"/>
        <w:jc w:val="both"/>
      </w:pPr>
      <w:r w:rsidRPr="00544AB7">
        <w:t>iv.</w:t>
      </w:r>
      <w:r w:rsidRPr="00544AB7">
        <w:tab/>
        <w:t>faptul că leasingul financiar ar fi un produs adresat companiilor nebancabile.</w:t>
      </w:r>
    </w:p>
    <w:p w:rsidRPr="00544AB7" w:rsidR="00D41C6E">
      <w:pPr>
        <w:ind w:firstLine="708"/>
        <w:jc w:val="both"/>
      </w:pPr>
      <w:r w:rsidRPr="00544AB7">
        <w:t>Definirea pieței relevante a produsului / serviciului printr-o limitare strict la serviciile de leasing financiar, fără a lua în considerare și serviciile de creditare, este eronată. Astfel cum se poate observa din cuprinsul Deciziei, concluzia Consiliul cu privire la lipsa de substituibilitate nu are la bază o minimă analiză economică ori cel puțin prezentarea succintă a unor date din care să reiasă realitățile din piață. În acest sens, reclamanta aduce o serie de argumente pentru a susține substituibilitatea între leasingul financiar și creditul bancar.</w:t>
      </w:r>
    </w:p>
    <w:p w:rsidRPr="00544AB7" w:rsidR="00D41C6E">
      <w:pPr>
        <w:ind w:firstLine="708"/>
        <w:jc w:val="both"/>
      </w:pPr>
      <w:r w:rsidRPr="00544AB7">
        <w:t>(106)</w:t>
      </w:r>
      <w:r w:rsidRPr="00544AB7">
        <w:tab/>
        <w:t>Prealabil, arătă că definirea pieței relevante se face în conformitate cu Instrucţiunile din 5 august 2010 privind definirea pieţei relevante, aprobate prin Ordinul Președintelui Consiliului Concurenței nr. 388 din 5 august 2010. Potrivit acestor Instrucțiuni:</w:t>
      </w:r>
    </w:p>
    <w:p w:rsidRPr="00544AB7" w:rsidR="00D41C6E">
      <w:pPr>
        <w:ind w:firstLine="708"/>
        <w:jc w:val="both"/>
      </w:pPr>
      <w:r w:rsidRPr="00544AB7">
        <w:t>-</w:t>
      </w:r>
      <w:r w:rsidRPr="00544AB7">
        <w:tab/>
        <w:t>piaţa relevantă a produsului cuprinde toate produsele şi/sau serviciile pe care consumatorul le consideră interschimbabile sau substituibile, datorită caracteristicilor, preţurilor şi utilizării acestora (pct. 8)</w:t>
      </w:r>
    </w:p>
    <w:p w:rsidRPr="00544AB7" w:rsidR="00D41C6E">
      <w:pPr>
        <w:ind w:firstLine="708"/>
        <w:jc w:val="both"/>
      </w:pPr>
      <w:r w:rsidRPr="00544AB7">
        <w:t>-</w:t>
      </w:r>
      <w:r w:rsidRPr="00544AB7">
        <w:tab/>
        <w:t>Din punct de vedere economic, pentru definirea pieţei relevante, substituibilitatea la nivelul cererii reprezintă cel mai rapid şi eficace element disciplinar care acţionează asupra furnizorilor unui anumit produs, în special în ceea ce priveşte deciziile acestora în materie de preţuri. O întreprindere sau o asociaţie de întreprinderi nu poate avea un impact semnificativ asupra condiţiilor de vânzare existente, de exemplu, asupra preţurilor, atunci când clienţii săi sunt în măsură să se orienteze fără dificultate spre produse substituibile sau spre furnizori situaţi în altă parte. De aceea, procesul de definire a pieţei relevante constă, în principal, în identificarea surselor alternative reale de aprovizionare la care clienţii întreprinderilor în cauză pot apela, atât sub aspectul produselor/serviciilor propuse de ceilalţi furnizori, cât şi sub aspectul localizării geografice a acestora. (pct. 12)</w:t>
      </w:r>
    </w:p>
    <w:p w:rsidRPr="00544AB7" w:rsidR="00D41C6E">
      <w:pPr>
        <w:ind w:firstLine="708"/>
        <w:jc w:val="both"/>
      </w:pPr>
      <w:r w:rsidRPr="00544AB7">
        <w:t>-</w:t>
      </w:r>
      <w:r w:rsidRPr="00544AB7">
        <w:tab/>
        <w:t>Evaluarea substituibilităţii la nivelul cererii presupune determinarea gamei de produse considerate de către consumator ca fiind substituibile. (pct. 13)</w:t>
      </w:r>
    </w:p>
    <w:p w:rsidRPr="00544AB7" w:rsidR="00D41C6E">
      <w:pPr>
        <w:ind w:firstLine="708"/>
        <w:jc w:val="both"/>
      </w:pPr>
      <w:r w:rsidRPr="00544AB7">
        <w:t xml:space="preserve">Or, în primul rând, se constată cu ușurință încălcarea de către Consiliu a propriilor Instrucțiuni, în condițiile în care Decizia nu cuprinde niciun fel de analiză cu privire la perspectiva consumatorilor. </w:t>
      </w:r>
    </w:p>
    <w:p w:rsidRPr="00544AB7" w:rsidR="00D41C6E">
      <w:pPr>
        <w:ind w:firstLine="708"/>
        <w:jc w:val="both"/>
      </w:pPr>
      <w:r w:rsidRPr="00544AB7">
        <w:t xml:space="preserve">Surprinzător, încercând să susțină lipsa substituibilității între leasing și credit, chiar Consiliul Concurenței prezintă în cuprinsul Deciziei argumentul contrar, prin redarea declarației dlui </w:t>
      </w:r>
      <w:r w:rsidRPr="00544AB7" w:rsidR="00A76891">
        <w:t>...</w:t>
      </w:r>
      <w:r w:rsidRPr="00544AB7" w:rsidR="00003E0D">
        <w:t>A</w:t>
      </w:r>
      <w:r w:rsidRPr="00544AB7" w:rsidR="00A76891">
        <w:t>...</w:t>
      </w:r>
      <w:r w:rsidRPr="00544AB7">
        <w:t xml:space="preserve">, fost președinte </w:t>
      </w:r>
      <w:r w:rsidRPr="00544AB7" w:rsidR="0075748D">
        <w:t>...W*...</w:t>
      </w:r>
      <w:r w:rsidRPr="00544AB7">
        <w:t xml:space="preserve">, care menționează “la nivelul Asociației avem o prioritate din a explica leasingul și de a-i ajuta pe clienți să înțeleagă care este diferența între </w:t>
      </w:r>
      <w:r w:rsidRPr="00544AB7">
        <w:t>credit și leasing. Mulți clienți vin și adresează nevoi de finanțare fără să se uite un pic mai departe și să înțeleagă de ce trebuie să aleagă leasingul și de ce creditul” (para. 172, pag. 59 din Decizie).  Din această declarație reiese cât se poate de clar că pentru clienți este importantă acoperirea nevoii de finanțare, aceștia neînțelegând de cele mai multe ori diferențele de ordin juridic și alegând între leasing și credit potrivit altor criterii.</w:t>
      </w:r>
    </w:p>
    <w:p w:rsidRPr="00544AB7" w:rsidR="00D41C6E">
      <w:pPr>
        <w:ind w:firstLine="708"/>
        <w:jc w:val="both"/>
      </w:pPr>
      <w:r w:rsidRPr="00544AB7">
        <w:t xml:space="preserve">Mai mult, chiar instituțiile bancare prezintă cele două produse ca surse alternative de finanțare, ghidând clienții pentru a alege una dintre variante conform preferințelor acestora.  </w:t>
      </w:r>
    </w:p>
    <w:p w:rsidRPr="00544AB7" w:rsidR="00D41C6E">
      <w:pPr>
        <w:ind w:firstLine="708"/>
        <w:jc w:val="both"/>
      </w:pPr>
      <w:r w:rsidRPr="00544AB7">
        <w:t xml:space="preserve">În al doilea rând, existența unei singure piețe relevante care cuprinde atât leasingul, cât și creditul de consum, reiese chiar din deciziile anterioare ale autorității de concurență în materia concentrărilor economice, ocazie cu care Consiliul Concurenței a considerat, ca piață relevantă raportată la </w:t>
      </w:r>
      <w:bookmarkStart w:name="_Hlk236751030" w:id="4"/>
      <w:r w:rsidRPr="00544AB7" w:rsidR="007604E8">
        <w:t>...G.1...</w:t>
      </w:r>
      <w:r w:rsidRPr="00544AB7">
        <w:t xml:space="preserve"> IFN S.A. și </w:t>
      </w:r>
      <w:r w:rsidRPr="00544AB7" w:rsidR="007604E8">
        <w:t>...G.2...</w:t>
      </w:r>
      <w:r w:rsidRPr="00544AB7">
        <w:t xml:space="preserve"> IFN S.A.</w:t>
      </w:r>
      <w:bookmarkEnd w:id="4"/>
      <w:r w:rsidRPr="00544AB7">
        <w:t xml:space="preserve">, piața serviciilor financiar-bancare, fără alte sub-segmentări. </w:t>
      </w:r>
    </w:p>
    <w:p w:rsidRPr="00544AB7" w:rsidR="00D41C6E">
      <w:pPr>
        <w:ind w:firstLine="708"/>
        <w:jc w:val="both"/>
      </w:pPr>
      <w:r w:rsidRPr="00544AB7">
        <w:t xml:space="preserve">În al treilea rând, niciunul dintre argumentele aduse de Consiliu pentru susținerea lipsei substituibilității nu se susține. </w:t>
      </w:r>
    </w:p>
    <w:p w:rsidRPr="00544AB7" w:rsidR="00D41C6E">
      <w:pPr>
        <w:ind w:firstLine="708"/>
        <w:jc w:val="both"/>
      </w:pPr>
      <w:r w:rsidRPr="00544AB7">
        <w:t>În privința momentului în care intervine transferul de proprietate ca element decisiv și distinctiv între leasingul financiar și creditul bancar, menţioneazăcă acest element de distincție nu prezintă relevanță pentru consumatorul obișnuit. Din perspectiva cererii, nevoia clientului care apelează la un IFN pentru un credit de consum, respectiv pentru un leasing financiar, este aceeași: nevoia de obținere a unei finanțări. Pentru consumatorul obișnuit, este lipsit de relevanță sau cel puțin nu este un element determinant momentul în care va intra efectiv în proprietatea bunului, acest aspect fiind mai degrabă un element subsidiar. Principalul obiectiv al consumatorului este acela de a accesa un produs de finanțare care să-i permită dobândirea folosinței bunului urmărit, fie că vorbim de autovehicule, echipamente, imobile etc. De altfel, dacă ar fi cercetat, Consiliul ar fi aflat că la nivelul pieței sunt numeroase și frecvente cazurile în care finanțările de tip leasing au fost refinanțate prin finanțări de natura creditului bancar, ori produse de tip credit bancar au fost refinanțate prin operațiuni de leasing, după cum se poate observa și în tabelul prezentat în Anexa A.</w:t>
      </w:r>
    </w:p>
    <w:p w:rsidRPr="00544AB7" w:rsidR="00D41C6E">
      <w:pPr>
        <w:ind w:firstLine="708"/>
        <w:jc w:val="both"/>
      </w:pPr>
      <w:r w:rsidRPr="00544AB7">
        <w:t xml:space="preserve">Mai mult chiar, susținerea că utilizatorul are posibilitatea de a cumpăra bunul la finalul contractului de leasing sau de a renunța la acesta nu se justifică. Pe de o parte, deși Consiliul Concurenței nu a analizat acest aspect, în cea mai mare parte, societățile de leasing oferă produsul de leasing financiar doar cu opțiunea de cumpărare a bunului exprimată de utilizator la începutul contractului (practic, utilizatorul se obligă de la începutul contractului să achiziționeze bunul). </w:t>
      </w:r>
    </w:p>
    <w:p w:rsidRPr="00544AB7" w:rsidR="00D41C6E">
      <w:pPr>
        <w:ind w:firstLine="708"/>
        <w:jc w:val="both"/>
      </w:pPr>
      <w:r w:rsidRPr="00544AB7">
        <w:t>Pe de altă parte, o analiză a reglementarilor contabile aplicabile ar fi condus la o concluzie contrară celei adoptate de Consiliu. Marea majoritate a societăților de leasing investigate sunt parte fie din grupuri bancare, fie parte din grupuri în care sunt incluși producători, iar datorită caracterului internațional al grupurilor, aceste societăți de leasing sunt obligate să respecte standardele internaționale de raportare contabilă/fiscală. Potrivit acestor standarde (IAS 17, IFRS 16), un leasing este catalogat drept financiar dacă transferă substanțial toate riscurile și avantajele dreptului de proprietate către utilizator. Acest lucru se realizează atunci când:</w:t>
      </w:r>
    </w:p>
    <w:p w:rsidRPr="00544AB7" w:rsidR="00D41C6E">
      <w:pPr>
        <w:ind w:firstLine="708"/>
        <w:jc w:val="both"/>
      </w:pPr>
      <w:r w:rsidRPr="00544AB7">
        <w:t>-</w:t>
      </w:r>
      <w:r w:rsidRPr="00544AB7">
        <w:tab/>
        <w:t>leasingul transferă locatarului titlul de proprietate asupra bunului până la sfârșitul duratei contractului de leasing;</w:t>
      </w:r>
    </w:p>
    <w:p w:rsidRPr="00544AB7" w:rsidR="00D41C6E">
      <w:pPr>
        <w:ind w:firstLine="708"/>
        <w:jc w:val="both"/>
      </w:pPr>
      <w:r w:rsidRPr="00544AB7">
        <w:t>-</w:t>
      </w:r>
      <w:r w:rsidRPr="00544AB7">
        <w:tab/>
        <w:t>locatarul are opțiunea de a cumpăra bunul la un preț estimat a fi suficient de mic în comparație cu valoarea justă la data la care opțiunea devine exercitabilă, astfel încât, la începutul contractului de leasing, există în mod rezonabil certitudinea că opțiunea va fi exercitată. Altfel spus, în măsura în care utilizatorul nu și-ar fi exercitat opțiunea de cumpărare de la semnarea contractului de leasing (ci urmează să se decidă la finalul contractului de leasing), atunci prețul de cumpărare (valoarea reziduală) raportat la valoarea de piață este suficient de mic încât neexercitarea opțiunii să nu fie justificată economic.</w:t>
      </w:r>
    </w:p>
    <w:p w:rsidRPr="00544AB7" w:rsidR="00D41C6E">
      <w:pPr>
        <w:ind w:firstLine="708"/>
        <w:jc w:val="both"/>
      </w:pPr>
      <w:r w:rsidRPr="00544AB7">
        <w:t xml:space="preserve">În privința existenței unor canale de vânzări mai diversificate în cazul leasingului financiar, spre deosebire de creditul bancar, ca element decisiv în definirea unor piețe relevante distincte, facă precizarea că activitatea de leasing financiar este permisă atât IFN-urilor, cât și băncilor comerciale. De exemplu, în piață există bănci care desfășoară această activitate, precum </w:t>
      </w:r>
      <w:bookmarkStart w:name="_Hlk236751164" w:id="5"/>
      <w:r w:rsidRPr="00544AB7" w:rsidR="00FC305A">
        <w:t>...C.1...</w:t>
      </w:r>
      <w:r w:rsidRPr="00544AB7">
        <w:t xml:space="preserve"> sau </w:t>
      </w:r>
      <w:r w:rsidRPr="00544AB7" w:rsidR="00FC305A">
        <w:t>...C.2...</w:t>
      </w:r>
      <w:bookmarkEnd w:id="5"/>
      <w:r w:rsidRPr="00544AB7">
        <w:t>. Faptul că băncile nu oferă produsul de leasing financiar în mod obișnuit și la modul intensiv ține mai degrabă de modul în care acestea înțeleg să se organizeze din punct de vedere funcțional și de existența know-how-ului intern necesar, neexistând niciun fel de barieră legislativă, administrativă, financiară care să le împiedice să ofere ambele produse. De altfel, chiar unele dintre IFN-urile investigate de Consiliul Concurenței au în oferta lor produse numeroase și diverse, atât credite, cât și produse de leasing. În final, decizia de a opta pentru un tip de produs sau altul, respectiv de a alege un credit sau un produs de leasing, va aparține clientului și va fi luată în funcție de bunul urmărit, de prețul pe care îl are produsul de finanțare (dobânda creditului sau a leasingului), de implicațiile fiscale etc. Așadar, putem concluziona că substituibilitatea există nu doar din perspectiva cererii consumatorilor, ci și din perspectiva ofertei, al doilea cel mai important factor de presiune concurențială atunci când se evaluează gradul de substituibilitate al produselor și se definește piața relevantă.</w:t>
      </w:r>
    </w:p>
    <w:p w:rsidRPr="00544AB7" w:rsidR="00D41C6E">
      <w:pPr>
        <w:ind w:firstLine="708"/>
        <w:jc w:val="both"/>
      </w:pPr>
      <w:r w:rsidRPr="00544AB7">
        <w:t>În ce privește faptul că leasingul financiar necesită în general o perioadă de evaluare a cererii mai scurtă decât în cazul creditului bancar, procesul de acordare fiind unul mai rapid în cazul primului, facă mențiunea că această caracteristică nu poate fi reținută ca una decisivă, care să susțină lipsa de substituibilitate între cele două produse. În practică, durata de evaluare necesară aprobării unui produs sau altul diferă de la o companie la alta, putând exista situații în care aprobarea pentru un credit bancar să fie acordată mult mai repede decât cea pentru leasing financiar, diferențele putând veni atât din modul în care potențialul client își documentează solicitarea, cât și din agilitatea și rapiditatea în reacție a companiilor creditoare.</w:t>
      </w:r>
    </w:p>
    <w:p w:rsidRPr="00544AB7" w:rsidR="00D41C6E">
      <w:pPr>
        <w:ind w:firstLine="708"/>
        <w:jc w:val="both"/>
      </w:pPr>
      <w:r w:rsidRPr="00544AB7">
        <w:t xml:space="preserve">De asemenea, susținerea Consiliului Concurenței privind pretinsa durată mai scurtă a obținerii unui leasing financiar decât a unui credit nu se confirmă, intrucât există multe produse financiare (e.g. creditele rapide oferite de bănci și IFN-uri) a căror durată de aprobare și procesare este mult mai scurtă decât în cazul leasingului financiar (Anexa 17 – Extras Google Search – credite rapide) </w:t>
      </w:r>
    </w:p>
    <w:p w:rsidRPr="00544AB7" w:rsidR="00D41C6E">
      <w:pPr>
        <w:ind w:firstLine="708"/>
        <w:jc w:val="both"/>
      </w:pPr>
      <w:r w:rsidRPr="00544AB7">
        <w:t>Un alt aspect invocat de către Consiliul Concurenței este acela că piața de leasing s-ar diferenția de piața bancară prin aceea că se adresează unor clienți diferiți, anume clienții nebancabili. Acest lucru nu ține cont de constrângerile legale și de reglementare existente:</w:t>
      </w:r>
    </w:p>
    <w:p w:rsidRPr="00544AB7" w:rsidR="00D41C6E">
      <w:pPr>
        <w:ind w:firstLine="708"/>
        <w:jc w:val="both"/>
      </w:pPr>
      <w:r w:rsidRPr="00544AB7">
        <w:t>-</w:t>
      </w:r>
      <w:r w:rsidRPr="00544AB7">
        <w:tab/>
        <w:t>Regulamentul BNR 20/2009 obligă IFN-urile să intre într-o relație de finanțare doar în urma analizei performanței financiare a contrapartidei;</w:t>
      </w:r>
    </w:p>
    <w:p w:rsidRPr="00544AB7" w:rsidR="00D41C6E">
      <w:pPr>
        <w:ind w:firstLine="708"/>
        <w:jc w:val="both"/>
      </w:pPr>
      <w:r w:rsidRPr="00544AB7">
        <w:t>-</w:t>
      </w:r>
      <w:r w:rsidRPr="00544AB7">
        <w:tab/>
        <w:t>Regulamentul BNR 17/2012 obligă IFN-urile să se asigure ca debitorii au posibilitatea de a rambursa împrumutul, chiar și în condițiile în care moneda națională s-ar deprecia semnificativ.</w:t>
      </w:r>
    </w:p>
    <w:p w:rsidRPr="00544AB7" w:rsidR="00D41C6E">
      <w:pPr>
        <w:ind w:firstLine="708"/>
        <w:jc w:val="both"/>
      </w:pPr>
      <w:r w:rsidRPr="00544AB7">
        <w:t xml:space="preserve">Toate IFN-urile sunt obligate să își organizeze activitatea de creditare în baza unor norme de creditare (care să includă și condițiile pe care trebuie să le îndeplinească o contrapartidă). Deși Consiliul Concurenței avea la dispoziție aceste informații, (pentru </w:t>
      </w:r>
      <w:r w:rsidRPr="00544AB7" w:rsidR="00FC492C">
        <w:t>...Y*...</w:t>
      </w:r>
      <w:r w:rsidRPr="00544AB7">
        <w:t xml:space="preserve">, aceasta au fost transmise Consiliului încă din anul 2018, ca Anexele 10-16 la adresa înregistrată la Consiliu cu nr. </w:t>
      </w:r>
      <w:r w:rsidRPr="00544AB7" w:rsidR="00606F5A">
        <w:t>.....</w:t>
      </w:r>
      <w:r w:rsidRPr="00544AB7">
        <w:t>/16.07.2018), nu a făcut o analiză pentru a stabili dacă societățile investigate aveau criterii de calificare pentru accesarea unei finanțări de către clienți, de genul:</w:t>
      </w:r>
    </w:p>
    <w:p w:rsidRPr="00544AB7" w:rsidR="00D41C6E">
      <w:pPr>
        <w:ind w:firstLine="708"/>
        <w:jc w:val="both"/>
      </w:pPr>
      <w:r w:rsidRPr="00544AB7">
        <w:t>i.</w:t>
      </w:r>
      <w:r w:rsidRPr="00544AB7">
        <w:tab/>
        <w:t>neacceptării la finanțare a unor societăți cu vechime redusă - start-up-uri ori impunerea unui nivel de aprobare mai ridicat;</w:t>
      </w:r>
    </w:p>
    <w:p w:rsidRPr="00544AB7" w:rsidR="00D41C6E">
      <w:pPr>
        <w:ind w:firstLine="708"/>
        <w:jc w:val="both"/>
      </w:pPr>
      <w:r w:rsidRPr="00544AB7">
        <w:t>ii.</w:t>
      </w:r>
      <w:r w:rsidRPr="00544AB7">
        <w:tab/>
        <w:t>inexistența unor incidente majore în Centrala Incidentelor de Plăți;</w:t>
      </w:r>
    </w:p>
    <w:p w:rsidRPr="00544AB7" w:rsidR="00D41C6E">
      <w:pPr>
        <w:ind w:firstLine="708"/>
        <w:jc w:val="both"/>
      </w:pPr>
      <w:r w:rsidRPr="00544AB7">
        <w:t>iii.</w:t>
      </w:r>
      <w:r w:rsidRPr="00544AB7">
        <w:tab/>
        <w:t xml:space="preserve">istoric bun de plată conform Centralei Riscului de Credit. </w:t>
      </w:r>
    </w:p>
    <w:p w:rsidRPr="00544AB7" w:rsidR="00D41C6E">
      <w:pPr>
        <w:ind w:firstLine="708"/>
        <w:jc w:val="both"/>
      </w:pPr>
      <w:r w:rsidRPr="00544AB7">
        <w:t xml:space="preserve">Aceste aspecte sunt vizate de către toate societățile de leasing. Chiar dacă au caracter confidențial, și acestea au transmis normele proprii de creditare Consiliului Concurenței în cursul investigației. </w:t>
      </w:r>
    </w:p>
    <w:p w:rsidRPr="00544AB7" w:rsidR="00D41C6E">
      <w:pPr>
        <w:ind w:firstLine="708"/>
        <w:jc w:val="both"/>
      </w:pPr>
      <w:r w:rsidRPr="00544AB7">
        <w:t xml:space="preserve">În lumina celor expuse mai sus, reiese cu evidență că se impune redefinirea pieței relevante și reținerea ei ca fiind reprezentată de piața leasingului financiar și a creditului de consum/investiții, la nivel național, fără o sub-segmentare între cele două produse. O astfel de abordare, corectă, de altfel, ținând cont de argumentele invocate mai sus, ar arăta în primul rând faptul că, pe o piață atât de extinsă, cu atât de mulți jucători și implicit grad scăzut de concentrare, pretinsul schimb de informații sensibile n-ar fi avut nici un sens și nici o perspectivă pentru cele câteva companii membre </w:t>
      </w:r>
      <w:r w:rsidRPr="00544AB7" w:rsidR="0075748D">
        <w:t>...W*...</w:t>
      </w:r>
      <w:r w:rsidRPr="00544AB7">
        <w:t xml:space="preserve"> care fie au raportat, fie au accesat eventuale informații privind valorile nou finanțate pentru anul 2014. Pe o astfel de piață relevantă, o eventuală coordonare a comportamentelor printr-un schimb de informații sensibile concurențial, schimb ce s-ar fi realizat doar în două trimestre (Q4 2013, Q1 2014) cuprinzând estimări grosiere pentru anul 2014, este imposibil de imaginat.</w:t>
      </w:r>
    </w:p>
    <w:p w:rsidRPr="00544AB7" w:rsidR="00D41C6E">
      <w:pPr>
        <w:ind w:firstLine="708"/>
        <w:jc w:val="both"/>
      </w:pPr>
      <w:r w:rsidRPr="00544AB7">
        <w:t>IV.3.</w:t>
      </w:r>
      <w:r w:rsidRPr="00544AB7">
        <w:tab/>
        <w:t xml:space="preserve">Pretinsa faptă anticoncurențială nu există prin raportare la </w:t>
      </w:r>
      <w:r w:rsidRPr="00544AB7" w:rsidR="00FC492C">
        <w:t>...Y*...</w:t>
      </w:r>
      <w:r w:rsidRPr="00544AB7">
        <w:t xml:space="preserve"> </w:t>
      </w:r>
    </w:p>
    <w:p w:rsidRPr="00544AB7" w:rsidR="00D41C6E">
      <w:pPr>
        <w:ind w:firstLine="708"/>
        <w:jc w:val="both"/>
      </w:pPr>
      <w:r w:rsidRPr="00544AB7">
        <w:t>A.</w:t>
      </w:r>
      <w:r w:rsidRPr="00544AB7">
        <w:tab/>
      </w:r>
      <w:r w:rsidRPr="00544AB7" w:rsidR="00FC492C">
        <w:t>...Y*...</w:t>
      </w:r>
      <w:r w:rsidRPr="00544AB7">
        <w:t xml:space="preserve"> nu a avut nicio legătură cu includerea informațiilor pretins sensibile în modelul de raportări și nu a acceptat transmiterea unor astfel de informații</w:t>
      </w:r>
    </w:p>
    <w:p w:rsidRPr="00544AB7" w:rsidR="00D41C6E">
      <w:pPr>
        <w:ind w:firstLine="708"/>
        <w:jc w:val="both"/>
      </w:pPr>
      <w:r w:rsidRPr="00544AB7">
        <w:t xml:space="preserve">După cum a arătat, presupusul schimb de informații sancționat de către Consiliul Concurenței vizează raportările societăților de leasing aferente perioadei Q4 2013 și Q1 2014, care ar fi conținut, pe lângă informațiile obișnuite furnizate/primite de membrii </w:t>
      </w:r>
      <w:r w:rsidRPr="00544AB7" w:rsidR="0075748D">
        <w:t>...W*...</w:t>
      </w:r>
      <w:r w:rsidRPr="00544AB7">
        <w:t>, informații fără caracter sensibil, după cum reiese și din Decizie, o rubrică privind valoarea estimată a valorii finanțare pentru anul 2014. Cu privire la aceste raportări, se impune clarificarea modalității de stabilire a modelelor de raportare și a situației de fapt din prezenta cauză.</w:t>
      </w:r>
    </w:p>
    <w:p w:rsidRPr="00544AB7" w:rsidR="00D41C6E">
      <w:pPr>
        <w:ind w:firstLine="708"/>
        <w:jc w:val="both"/>
      </w:pPr>
      <w:r w:rsidRPr="00544AB7">
        <w:t>După cum reiese și din Decizie (para.111), procedura de raportare implica următoarele etape:</w:t>
      </w:r>
    </w:p>
    <w:p w:rsidRPr="00544AB7" w:rsidR="00D41C6E">
      <w:pPr>
        <w:ind w:firstLine="708"/>
        <w:jc w:val="both"/>
      </w:pPr>
      <w:r w:rsidRPr="00544AB7">
        <w:t>-</w:t>
      </w:r>
      <w:r w:rsidRPr="00544AB7">
        <w:tab/>
        <w:t xml:space="preserve">pentru fiecare raportare, </w:t>
      </w:r>
      <w:r w:rsidRPr="00544AB7" w:rsidR="0018311F">
        <w:t>...X...</w:t>
      </w:r>
      <w:r w:rsidRPr="00544AB7">
        <w:t xml:space="preserve"> transmitea membrilor asociației modelul de raportare, perioada aferentă raportării și data până la care trebuiau transmise informațiile respective. În această etapă, </w:t>
      </w:r>
      <w:r w:rsidRPr="00544AB7" w:rsidR="0075748D">
        <w:t>...W*...</w:t>
      </w:r>
      <w:r w:rsidRPr="00544AB7">
        <w:t xml:space="preserve"> informa părțile dacă s-au efectuat modificări față de raportarea precedentă;</w:t>
      </w:r>
    </w:p>
    <w:p w:rsidRPr="00544AB7" w:rsidR="00D41C6E">
      <w:pPr>
        <w:ind w:firstLine="708"/>
        <w:jc w:val="both"/>
      </w:pPr>
      <w:r w:rsidRPr="00544AB7">
        <w:t>-</w:t>
      </w:r>
      <w:r w:rsidRPr="00544AB7">
        <w:tab/>
        <w:t xml:space="preserve">centralizarea de către </w:t>
      </w:r>
      <w:r w:rsidRPr="00544AB7" w:rsidR="0018311F">
        <w:t>...X...</w:t>
      </w:r>
      <w:r w:rsidRPr="00544AB7">
        <w:t xml:space="preserve"> a informațiilor primite de la membrii </w:t>
      </w:r>
      <w:r w:rsidRPr="00544AB7" w:rsidR="0075748D">
        <w:t>...W*...</w:t>
      </w:r>
      <w:r w:rsidRPr="00544AB7">
        <w:t>;</w:t>
      </w:r>
    </w:p>
    <w:p w:rsidRPr="00544AB7" w:rsidR="00D41C6E">
      <w:pPr>
        <w:ind w:firstLine="708"/>
        <w:jc w:val="both"/>
      </w:pPr>
      <w:r w:rsidRPr="00544AB7">
        <w:t>-</w:t>
      </w:r>
      <w:r w:rsidRPr="00544AB7">
        <w:tab/>
        <w:t xml:space="preserve">transmiterea de către </w:t>
      </w:r>
      <w:r w:rsidRPr="00544AB7" w:rsidR="0018311F">
        <w:t>...X...</w:t>
      </w:r>
      <w:r w:rsidRPr="00544AB7">
        <w:t xml:space="preserve"> a rezultatelor centralizate către membrii </w:t>
      </w:r>
      <w:r w:rsidRPr="00544AB7" w:rsidR="0075748D">
        <w:t>...W*...</w:t>
      </w:r>
      <w:r w:rsidRPr="00544AB7">
        <w:t xml:space="preserve">. Raportările </w:t>
      </w:r>
      <w:r w:rsidRPr="00544AB7" w:rsidR="0018311F">
        <w:t>...X...</w:t>
      </w:r>
      <w:r w:rsidRPr="00544AB7">
        <w:t xml:space="preserve"> SRL erau ridicate personal de către fiecare reprezentant al întreprinderilor membre </w:t>
      </w:r>
      <w:r w:rsidRPr="00544AB7" w:rsidR="0075748D">
        <w:t>...W*...</w:t>
      </w:r>
      <w:r w:rsidRPr="00544AB7">
        <w:t xml:space="preserve"> împuternicit în acest sens. </w:t>
      </w:r>
    </w:p>
    <w:p w:rsidRPr="00544AB7" w:rsidR="00D41C6E">
      <w:pPr>
        <w:ind w:firstLine="708"/>
        <w:jc w:val="both"/>
      </w:pPr>
      <w:r w:rsidRPr="00544AB7">
        <w:t xml:space="preserve">Anterior transmiterii modelelor de raportare pentru Q4 2014, a avut loc o întâlnire a Grupului de lucru, constituit pe marginea modelului de raportare, din care </w:t>
      </w:r>
      <w:r w:rsidRPr="00544AB7" w:rsidR="00FC492C">
        <w:t>...Y*...</w:t>
      </w:r>
      <w:r w:rsidRPr="00544AB7">
        <w:t xml:space="preserve"> nu făcea parte, grup în cadrul căruia s-a decis ce tip de informații se vor include în raportări (para. 134 din Decizie). Se poate observa cu ușurință din relatările Consiliului Concurenței și din extrasul din minuta Grupului de lucru din data de 14.11.2013 (pag. 45 din Decizie), că membrii </w:t>
      </w:r>
      <w:r w:rsidRPr="00544AB7" w:rsidR="0075748D">
        <w:t>...W*...</w:t>
      </w:r>
      <w:r w:rsidRPr="00544AB7">
        <w:t xml:space="preserve"> nu numai că nu au agreat introducerea raportărilor privind valoarea estimată a finanțărilor, dar acest aspect nici măcar nu a făcut obiectul discuțiilor.  </w:t>
      </w:r>
    </w:p>
    <w:p w:rsidRPr="00544AB7" w:rsidR="00D41C6E">
      <w:pPr>
        <w:ind w:firstLine="708"/>
        <w:jc w:val="both"/>
      </w:pPr>
      <w:r w:rsidRPr="00544AB7">
        <w:t xml:space="preserve">Cu toate acestea, când membrii </w:t>
      </w:r>
      <w:r w:rsidRPr="00544AB7" w:rsidR="0075748D">
        <w:t>...W*...</w:t>
      </w:r>
      <w:r w:rsidRPr="00544AB7">
        <w:t xml:space="preserve"> au primit matricea ce urma a fi completată spre raportare (document Excel), aceasta conținea o pagină (eng.: sheet) nou, numit Institutional info, în care era prevăzută rubrica privind finanțările viitoare estimate, spre a fi completată de instituțiile raportoare. Or, în lipsa oricăror discuții ori decizii cu privire la modelele noilor raportări, este evident că pagina Institutional info, respectiv rubrica privind estimările a fost introdusă în matricea de raportare în mod unilateral de </w:t>
      </w:r>
      <w:r w:rsidRPr="00544AB7" w:rsidR="0018311F">
        <w:t>...X...</w:t>
      </w:r>
      <w:r w:rsidRPr="00544AB7">
        <w:t xml:space="preserve">, atât timp cât nu există absolut nicio probă din care să rezulte că decizia în această privință provine de la membrii </w:t>
      </w:r>
      <w:r w:rsidRPr="00544AB7" w:rsidR="0075748D">
        <w:t>...W*...</w:t>
      </w:r>
      <w:r w:rsidRPr="00544AB7">
        <w:t>.</w:t>
      </w:r>
    </w:p>
    <w:p w:rsidRPr="00544AB7" w:rsidR="00D41C6E">
      <w:pPr>
        <w:ind w:firstLine="708"/>
        <w:jc w:val="both"/>
      </w:pPr>
      <w:r w:rsidRPr="00544AB7">
        <w:t xml:space="preserve">Modificarea modelului de raportare s-a efectuat, deci, fără acordul membrilor </w:t>
      </w:r>
      <w:r w:rsidRPr="00544AB7" w:rsidR="0075748D">
        <w:t>...W*...</w:t>
      </w:r>
      <w:r w:rsidRPr="00544AB7">
        <w:t xml:space="preserve">, după cum reiese chiar și din probele aflate la dosarul cauzei. În acest sens, redă mai jos o </w:t>
      </w:r>
      <w:r w:rsidRPr="00544AB7">
        <w:t xml:space="preserve">corespondență din luna februarie 2014, prin care una dintre societățile membre </w:t>
      </w:r>
      <w:r w:rsidRPr="00544AB7" w:rsidR="0075748D">
        <w:t>...W*...</w:t>
      </w:r>
      <w:r w:rsidRPr="00544AB7">
        <w:t xml:space="preserve"> solicită lămuriri cu privire la modalitatea în care s-a decis modificarea modelului de raportare.</w:t>
      </w:r>
    </w:p>
    <w:p w:rsidRPr="00544AB7" w:rsidR="00D41C6E">
      <w:pPr>
        <w:ind w:firstLine="708"/>
        <w:jc w:val="both"/>
      </w:pPr>
      <w:r w:rsidRPr="00544AB7">
        <w:t xml:space="preserve">From: </w:t>
      </w:r>
      <w:bookmarkStart w:name="_Hlk236751696" w:id="6"/>
      <w:r w:rsidRPr="00544AB7" w:rsidR="00201445">
        <w:t>...B.1...</w:t>
      </w:r>
      <w:r w:rsidRPr="00544AB7">
        <w:t xml:space="preserve"> </w:t>
      </w:r>
      <w:bookmarkEnd w:id="6"/>
      <w:r w:rsidRPr="00544AB7">
        <w:t>(</w:t>
      </w:r>
      <w:r w:rsidRPr="00544AB7" w:rsidR="00E87CB3">
        <w:t>...G.3...</w:t>
      </w:r>
      <w:r w:rsidRPr="00544AB7">
        <w:t>)</w:t>
      </w:r>
    </w:p>
    <w:p w:rsidRPr="00544AB7" w:rsidR="00D41C6E">
      <w:pPr>
        <w:ind w:firstLine="708"/>
        <w:jc w:val="both"/>
      </w:pPr>
      <w:r w:rsidRPr="00544AB7">
        <w:t xml:space="preserve">To: </w:t>
      </w:r>
      <w:r w:rsidRPr="00544AB7" w:rsidR="004C2395">
        <w:t>...T...</w:t>
      </w:r>
    </w:p>
    <w:p w:rsidRPr="00544AB7" w:rsidR="00D41C6E">
      <w:pPr>
        <w:ind w:firstLine="708"/>
        <w:jc w:val="both"/>
      </w:pPr>
      <w:r w:rsidRPr="00544AB7">
        <w:t xml:space="preserve">“Buna </w:t>
      </w:r>
      <w:r w:rsidRPr="00544AB7" w:rsidR="00D02E14">
        <w:t>...T...</w:t>
      </w:r>
      <w:r w:rsidRPr="00544AB7">
        <w:t>. Am inteles ca deja s-a transmis un alt format de raportari. Poti te rog sa imi spui cand s-a luat decizia de modificare? In acel meeting de task force din 14.11.2013 a ramas ca veti transmite pe mail toate modificarile propuse (definitiile noilor termini, ce se va introduce etc)</w:t>
      </w:r>
    </w:p>
    <w:p w:rsidRPr="00544AB7" w:rsidR="00D41C6E">
      <w:pPr>
        <w:ind w:firstLine="708"/>
        <w:jc w:val="both"/>
      </w:pPr>
      <w:r w:rsidRPr="00544AB7">
        <w:t>Eu nu am primit nimic. Poti sa imi trimiti te rog acel mail?</w:t>
      </w:r>
    </w:p>
    <w:p w:rsidRPr="00544AB7" w:rsidR="00D41C6E">
      <w:pPr>
        <w:ind w:firstLine="708"/>
        <w:jc w:val="both"/>
      </w:pPr>
      <w:r w:rsidRPr="00544AB7">
        <w:t xml:space="preserve">Mai mult, urmare a primirii matricei de raportare, doamna </w:t>
      </w:r>
      <w:bookmarkStart w:name="_Hlk236751709" w:id="7"/>
      <w:r w:rsidRPr="00544AB7" w:rsidR="00201445">
        <w:t>...B.2...</w:t>
      </w:r>
      <w:r w:rsidRPr="00544AB7">
        <w:t xml:space="preserve"> </w:t>
      </w:r>
      <w:bookmarkEnd w:id="7"/>
      <w:r w:rsidRPr="00544AB7">
        <w:t xml:space="preserve">de la </w:t>
      </w:r>
      <w:bookmarkStart w:name="_Hlk236751617" w:id="8"/>
      <w:r w:rsidRPr="00544AB7" w:rsidR="00E87CB3">
        <w:t>...G.4...</w:t>
      </w:r>
      <w:r w:rsidRPr="00544AB7">
        <w:t xml:space="preserve"> IFN SA (actuala </w:t>
      </w:r>
      <w:r w:rsidRPr="00544AB7" w:rsidR="00E87CB3">
        <w:t>...G.4*...</w:t>
      </w:r>
      <w:r w:rsidRPr="00544AB7">
        <w:t xml:space="preserve"> IFN SA) </w:t>
      </w:r>
      <w:bookmarkEnd w:id="8"/>
      <w:r w:rsidRPr="00544AB7">
        <w:t xml:space="preserve">a semnalat faptul că nu s-a discutat, respectiv decis, în cadrul dezbaterilor privind modelul de raportare, includerea în raportări a informațiilor privind estimările viitoare, transmițând un e-mail în acest sens către </w:t>
      </w:r>
      <w:r w:rsidRPr="00544AB7" w:rsidR="0018311F">
        <w:t>...X...</w:t>
      </w:r>
      <w:r w:rsidRPr="00544AB7">
        <w:t xml:space="preserve"> (pag. 194 – 195 din Decizie).</w:t>
      </w:r>
    </w:p>
    <w:p w:rsidRPr="00544AB7" w:rsidR="00D41C6E">
      <w:pPr>
        <w:ind w:firstLine="708"/>
        <w:jc w:val="both"/>
      </w:pPr>
      <w:r w:rsidRPr="00544AB7">
        <w:t xml:space="preserve">Or, reiese chiar din probele aflate la dosarului Consiliului Concurenței că sheet-ul cu informații pretins sensibile a fost introdus de </w:t>
      </w:r>
      <w:r w:rsidRPr="00544AB7" w:rsidR="0018311F">
        <w:t>...X...</w:t>
      </w:r>
      <w:r w:rsidRPr="00544AB7">
        <w:t xml:space="preserve"> în mod unilateral, fără ca membrii societățile membre </w:t>
      </w:r>
      <w:r w:rsidRPr="00544AB7" w:rsidR="0075748D">
        <w:t>...W*...</w:t>
      </w:r>
      <w:r w:rsidRPr="00544AB7">
        <w:t xml:space="preserve"> să decidă sau măcar să aibă cunoștința în prealabil de introducerea acestei noi informații în raportările dintre părți.</w:t>
      </w:r>
    </w:p>
    <w:p w:rsidRPr="00544AB7" w:rsidR="00D41C6E">
      <w:pPr>
        <w:ind w:firstLine="708"/>
        <w:jc w:val="both"/>
      </w:pPr>
      <w:r w:rsidRPr="00544AB7">
        <w:t xml:space="preserve">Prin introducerea în mod unilateral în matricea de raportare și includerea informației în raportările trimestriale ce erau comunicate către ceilalți membrii </w:t>
      </w:r>
      <w:r w:rsidRPr="00544AB7" w:rsidR="0075748D">
        <w:t>...W*...</w:t>
      </w:r>
      <w:r w:rsidRPr="00544AB7">
        <w:t xml:space="preserve">, </w:t>
      </w:r>
      <w:r w:rsidRPr="00544AB7" w:rsidR="0018311F">
        <w:t>...X...</w:t>
      </w:r>
      <w:r w:rsidRPr="00544AB7">
        <w:t xml:space="preserve"> a generat practic, prin metode înșelătoare, situația ce a dus la schimbul de informații blamat de Consiliul Concurenței. </w:t>
      </w:r>
    </w:p>
    <w:p w:rsidRPr="00544AB7" w:rsidR="00D41C6E">
      <w:pPr>
        <w:ind w:firstLine="708"/>
        <w:jc w:val="both"/>
      </w:pPr>
      <w:r w:rsidRPr="00544AB7">
        <w:t xml:space="preserve">Or, la ridicarea raportărilor, membrii </w:t>
      </w:r>
      <w:r w:rsidRPr="00544AB7" w:rsidR="0075748D">
        <w:t>...W*...</w:t>
      </w:r>
      <w:r w:rsidRPr="00544AB7">
        <w:t xml:space="preserve"> nu puteau ști că </w:t>
      </w:r>
      <w:r w:rsidRPr="00544AB7" w:rsidR="0018311F">
        <w:t>...X...</w:t>
      </w:r>
      <w:r w:rsidRPr="00544AB7">
        <w:t xml:space="preserve"> va include și informația privind valoarea finanțării estimate totale pentru fiecare societate în parte, acestea având prefigurarea faptului că vor ridica raportări similare cu cele anterioare, adică raportări care nu includ informații privind estimări viitoare individuale. </w:t>
      </w:r>
    </w:p>
    <w:p w:rsidRPr="00544AB7" w:rsidR="00D41C6E">
      <w:pPr>
        <w:ind w:firstLine="708"/>
        <w:jc w:val="both"/>
      </w:pPr>
      <w:r w:rsidRPr="00544AB7">
        <w:t xml:space="preserve">În ceea ce privește </w:t>
      </w:r>
      <w:r w:rsidRPr="00544AB7" w:rsidR="00FC492C">
        <w:t>...Y*...</w:t>
      </w:r>
      <w:r w:rsidRPr="00544AB7">
        <w:t>, aceasta nu a completat rubricile din matricele de raportare din sheet-ul Institutional Info, respectiv informațiile pirivind estimările finanțărilor pentru 2014.</w:t>
      </w:r>
    </w:p>
    <w:p w:rsidRPr="00544AB7" w:rsidR="00D41C6E">
      <w:pPr>
        <w:ind w:firstLine="708"/>
        <w:jc w:val="both"/>
      </w:pPr>
      <w:r w:rsidRPr="00544AB7">
        <w:t>B.</w:t>
      </w:r>
      <w:r w:rsidRPr="00544AB7">
        <w:tab/>
      </w:r>
      <w:r w:rsidRPr="00544AB7" w:rsidR="00FC492C">
        <w:t>...Y*...</w:t>
      </w:r>
      <w:r w:rsidRPr="00544AB7">
        <w:t xml:space="preserve"> nu a transmis, nici nu a primit raportări de natura celor considerate sensibile  </w:t>
      </w:r>
    </w:p>
    <w:p w:rsidRPr="00544AB7" w:rsidR="00D41C6E">
      <w:pPr>
        <w:ind w:firstLine="708"/>
        <w:jc w:val="both"/>
      </w:pPr>
      <w:r w:rsidRPr="00544AB7">
        <w:tab/>
        <w:t xml:space="preserve">Elementele probatorii care, conform echipei Consiliului Concurenței, atestă săvârșirea faptelor de către </w:t>
      </w:r>
      <w:r w:rsidRPr="00544AB7" w:rsidR="00FC492C">
        <w:t>...Y*...</w:t>
      </w:r>
      <w:r w:rsidRPr="00544AB7">
        <w:t>, sunt următoarele:</w:t>
      </w:r>
    </w:p>
    <w:p w:rsidRPr="00544AB7" w:rsidR="00D41C6E">
      <w:pPr>
        <w:ind w:firstLine="708"/>
        <w:jc w:val="both"/>
      </w:pPr>
      <w:r w:rsidRPr="00544AB7">
        <w:t>i.</w:t>
      </w:r>
      <w:r w:rsidRPr="00544AB7">
        <w:tab/>
        <w:t xml:space="preserve">împuterniciri oficiale din partea </w:t>
      </w:r>
      <w:r w:rsidRPr="00544AB7" w:rsidR="00FC492C">
        <w:t>...Y*...</w:t>
      </w:r>
      <w:r w:rsidRPr="00544AB7">
        <w:t xml:space="preserve"> (cu semnătura directorului general/reprezentantului legal, cât și ștampila);</w:t>
      </w:r>
    </w:p>
    <w:p w:rsidRPr="00544AB7" w:rsidR="00D41C6E">
      <w:pPr>
        <w:ind w:firstLine="708"/>
        <w:jc w:val="both"/>
      </w:pPr>
      <w:r w:rsidRPr="00544AB7">
        <w:t>ii.</w:t>
      </w:r>
      <w:r w:rsidRPr="00544AB7">
        <w:tab/>
        <w:t xml:space="preserve">proces verbal de predare-primire (semnat de persoana împuternicită de </w:t>
      </w:r>
      <w:r w:rsidRPr="00544AB7" w:rsidR="00FC492C">
        <w:t>...Y*...</w:t>
      </w:r>
      <w:r w:rsidRPr="00544AB7">
        <w:t xml:space="preserve"> pentru preluarea raportărilor).</w:t>
      </w:r>
    </w:p>
    <w:p w:rsidRPr="00544AB7" w:rsidR="00D41C6E">
      <w:pPr>
        <w:ind w:firstLine="708"/>
        <w:jc w:val="both"/>
      </w:pPr>
      <w:r w:rsidRPr="00544AB7">
        <w:t xml:space="preserve">Împuternicirile și procesele verbale  invocate ca probatoriu în cazul </w:t>
      </w:r>
      <w:r w:rsidRPr="00544AB7" w:rsidR="00FC492C">
        <w:t>...Y*...</w:t>
      </w:r>
      <w:r w:rsidRPr="00544AB7">
        <w:t xml:space="preserve"> au fost identificate doar la </w:t>
      </w:r>
      <w:r w:rsidRPr="00544AB7" w:rsidR="0018311F">
        <w:t>...X...</w:t>
      </w:r>
      <w:r w:rsidRPr="00544AB7">
        <w:t>, în urma inspecției inopinate desfășurate la sediul acesteia.</w:t>
      </w:r>
    </w:p>
    <w:p w:rsidRPr="00544AB7" w:rsidR="00D41C6E">
      <w:pPr>
        <w:ind w:firstLine="708"/>
        <w:jc w:val="both"/>
      </w:pPr>
      <w:r w:rsidRPr="00544AB7">
        <w:t>În ceea ce privește fapta imputată Reclamantei, prezintă în cele ce urmează comentariile cu privire la fiecare dintre cele două raportări reținute în Decizie.</w:t>
      </w:r>
    </w:p>
    <w:p w:rsidRPr="00544AB7" w:rsidR="00D41C6E">
      <w:pPr>
        <w:ind w:firstLine="708"/>
        <w:jc w:val="both"/>
      </w:pPr>
      <w:r w:rsidRPr="00544AB7">
        <w:t>a.</w:t>
      </w:r>
      <w:r w:rsidRPr="00544AB7">
        <w:tab/>
        <w:t>Raportarea aferentă perioadei Q4 2013</w:t>
      </w:r>
    </w:p>
    <w:p w:rsidRPr="00544AB7" w:rsidR="00D41C6E">
      <w:pPr>
        <w:ind w:firstLine="708"/>
        <w:jc w:val="both"/>
      </w:pPr>
      <w:r w:rsidRPr="00544AB7">
        <w:t xml:space="preserve">Decizia reține că </w:t>
      </w:r>
      <w:r w:rsidRPr="00544AB7" w:rsidR="00FC492C">
        <w:t>...Y*...</w:t>
      </w:r>
      <w:r w:rsidRPr="00544AB7">
        <w:t xml:space="preserve"> nu a transmis estimări cu privire la valoarea finanțată, dar a primit estimările altor societăți membre </w:t>
      </w:r>
      <w:r w:rsidRPr="00544AB7" w:rsidR="0075748D">
        <w:t>...W*...</w:t>
      </w:r>
      <w:r w:rsidRPr="00544AB7">
        <w:t>. În ceea ce privește elementele probatorii care, conform Consiliului Concurenței, atestă săvârșirea unei fapte anticoncurențiale cu privire la raportarea aferentă Q4 2013, precizează următoarele:</w:t>
      </w:r>
    </w:p>
    <w:p w:rsidRPr="00544AB7" w:rsidR="00D41C6E">
      <w:pPr>
        <w:ind w:firstLine="708"/>
        <w:jc w:val="both"/>
      </w:pPr>
      <w:r w:rsidRPr="00544AB7">
        <w:t>-</w:t>
      </w:r>
      <w:r w:rsidRPr="00544AB7">
        <w:tab/>
        <w:t xml:space="preserve">cu privire la împuternicire – printre probele administrate în cauză nu a fost identificată nicio împuternicire în ce privește </w:t>
      </w:r>
      <w:r w:rsidRPr="00544AB7" w:rsidR="00FC492C">
        <w:t>...Y*...</w:t>
      </w:r>
      <w:r w:rsidRPr="00544AB7">
        <w:t xml:space="preserve"> pentru ridicarea raportului aferent perioadei Q4 2013;</w:t>
      </w:r>
    </w:p>
    <w:p w:rsidRPr="00544AB7" w:rsidR="00D41C6E">
      <w:pPr>
        <w:ind w:firstLine="708"/>
        <w:jc w:val="both"/>
      </w:pPr>
      <w:r w:rsidRPr="00544AB7">
        <w:t>-</w:t>
      </w:r>
      <w:r w:rsidRPr="00544AB7">
        <w:tab/>
        <w:t>cu privire la procesul-verbal de ridicare – în ceea ce privește procesul verbal de ridicare reținut prin Decizie ca probând ridicarea raportărilor aferente perioadei Q4 2013, subliniază în primul rând că acesta poartă denumirea de Raportări 31.12.2013. Analizând celelalte procese verbale de predare-primire aflate la dosarul cauzei, se poate observa că atunci când raportarea cuprindea informații referitoare la un anumit interval de timp, în procesul verbal era menționată respectiva perioadă. Așadar, dacă respectivul proces s-ar fi referit la raportările din perioada Q4 2013, acesta ar fi trebuit să poarte de fapt denumirea Raportări 31.10.2013-31.12.2013. Ca atare, procesul verbal reținut de Consiliul Concurenței pentru probarea ridicării rapoartelor aferente perioadei Q4 2013 (i) nu atestă în niciun caz că informațiile se referă la perioada Q4 2013, (ii) nu atestă ce tip de informații erau cuprinse în respectivele raportări, (iii) nu atestă că raportările ridicate cuprindeau estimări privind valorile nou finanțate. În lipsa oricăror alte elemente care să confere certitudine cu privire la natura informațiilor ridicate prin semnarea procesului verbal purtând denumirea Raportări 31.12.2013 și luând în considerare modul în care sunt denumite celelalte procese verbale aflate la Dosarul cauzei, procesul verbal  Raportări 31.12.2013 ar trebui considerat ca referindu-se strict la raportări lunare aferente lunii decembrie 2013.</w:t>
      </w:r>
    </w:p>
    <w:p w:rsidRPr="00544AB7" w:rsidR="00D41C6E">
      <w:pPr>
        <w:ind w:firstLine="708"/>
        <w:jc w:val="both"/>
      </w:pPr>
      <w:r w:rsidRPr="00544AB7">
        <w:t>Cu privire la fișierul cuprinzând raportarea efectivă, subliniază următoarele:</w:t>
      </w:r>
    </w:p>
    <w:p w:rsidRPr="00544AB7" w:rsidR="00D41C6E">
      <w:pPr>
        <w:ind w:firstLine="708"/>
        <w:jc w:val="both"/>
      </w:pPr>
      <w:r w:rsidRPr="00544AB7">
        <w:t>•</w:t>
      </w:r>
      <w:r w:rsidRPr="00544AB7">
        <w:tab/>
        <w:t xml:space="preserve">Documentul reținut de Consiliul Concurenței ca fiind transmis membrilor </w:t>
      </w:r>
      <w:r w:rsidRPr="00544AB7" w:rsidR="0075748D">
        <w:t>...W*...</w:t>
      </w:r>
      <w:r w:rsidRPr="00544AB7">
        <w:t xml:space="preserve"> perioada Q4 2013 și incluzând estimările viitoare ale volumului nou finanțat este un fișier excel, ce poartă denumirea “(3)Tabel centralizator 01.01 - 31.12.2013.xls”. Acesta a fost ridicat în cadrul inspecției inopinate desfășurate la sediul </w:t>
      </w:r>
      <w:r w:rsidRPr="00544AB7" w:rsidR="0018311F">
        <w:t>...X...</w:t>
      </w:r>
      <w:r w:rsidRPr="00544AB7">
        <w:t xml:space="preserve"> în format editabil (fiind cel mai probabil o variantă de lucru), aspect care pune sub semnul întrebării conținutul fișierului, care putea fi modificat de multiple ori până la data ridicării lui de către Consiliul Concurenței. Dovada în acest sens este că, verificând proprietățile fișierului (3)Tabel centralizator 01.01 - 31.12.2013.xls, se constată că acesta a suferit ultima oară modificări la 10.05.2016:</w:t>
      </w:r>
    </w:p>
    <w:p w:rsidRPr="00544AB7" w:rsidR="00D41C6E">
      <w:pPr>
        <w:ind w:firstLine="708"/>
        <w:jc w:val="both"/>
      </w:pPr>
      <w:r w:rsidRPr="00544AB7">
        <w:t>•</w:t>
      </w:r>
      <w:r w:rsidRPr="00544AB7">
        <w:tab/>
        <w:t xml:space="preserve">Este de reținut că presupusele raportări ridicate de membrii </w:t>
      </w:r>
      <w:r w:rsidRPr="00544AB7" w:rsidR="0075748D">
        <w:t>...W*...</w:t>
      </w:r>
      <w:r w:rsidRPr="00544AB7">
        <w:t xml:space="preserve"> pentru Q4 2013 nu au fost identificate la niciuna dintre societățile la care Consiliul Concurenței a efectuat inspecții inopinate, cu atât mai puțin la </w:t>
      </w:r>
      <w:r w:rsidRPr="00544AB7" w:rsidR="00FC492C">
        <w:t>...Y*...</w:t>
      </w:r>
      <w:r w:rsidRPr="00544AB7">
        <w:t>. Acest aspect este cu atât mai relevant cu cât fișierul aferent Q1 2014 a fost identificat în cadrul inspecțiilor inopinate la 3 din cele 4 societăți de leasing inspectate, prin urmare nu există nicio explicație rezonabilă decât că tabelul centralizator aferent Q4 2013 nu a fost transmis.</w:t>
      </w:r>
    </w:p>
    <w:p w:rsidRPr="00544AB7" w:rsidR="00D41C6E">
      <w:pPr>
        <w:ind w:firstLine="708"/>
        <w:jc w:val="both"/>
      </w:pPr>
      <w:r w:rsidRPr="00544AB7">
        <w:t>•</w:t>
      </w:r>
      <w:r w:rsidRPr="00544AB7">
        <w:tab/>
        <w:t>La o analiză a conținutului folder-ului care include acest tabel (</w:t>
      </w:r>
      <w:r w:rsidRPr="00544AB7" w:rsidR="00C61A7B">
        <w:t>...X...</w:t>
      </w:r>
      <w:r w:rsidRPr="00544AB7">
        <w:t>\2. Inspectie\06.3 A3 docCD\</w:t>
      </w:r>
      <w:r w:rsidRPr="00544AB7" w:rsidR="004C2395">
        <w:t>...T...</w:t>
      </w:r>
      <w:r w:rsidRPr="00544AB7">
        <w:t xml:space="preserve">\Raportari </w:t>
      </w:r>
      <w:r w:rsidRPr="00544AB7" w:rsidR="0075748D">
        <w:t>...W*...</w:t>
      </w:r>
      <w:r w:rsidRPr="00544AB7">
        <w:t xml:space="preserve">\Leasing\2013\2013 Q4, menționat de Consiliul Concurenței, de exemplu, la pag. 96, para. 271 din Decizie), se constată că Folder-ul în cauză cuprinde mai multe tabele cu denumiri similare, respectiv (1)Tabel centralizator 01.01 - 31.12.2013.xls, (2)Tabel centralizator 01.01 - 31.12.2013.xls, (3)Tabel centralizator 01.01 - 31.12.2013.xls, astfel: </w:t>
      </w:r>
    </w:p>
    <w:p w:rsidRPr="00544AB7" w:rsidR="00D41C6E">
      <w:pPr>
        <w:ind w:firstLine="708"/>
        <w:jc w:val="both"/>
      </w:pPr>
      <w:r w:rsidRPr="00544AB7">
        <w:t xml:space="preserve"> Dintre acestea, doar ultimele 2 conțin rubrica “Institutional info” incluzând coloana “Estimarea volumului nou finanțat în 2014”, iar fișierul cu denumirea (2)Tabel centralizator 01.01 - 31.12.2013.xls conține date evident neprelucrate. Fișierul (1)Tabel centralizator 01.01 - 31.12.2013.xls are la final o rubrică denumită Employees, lipsind rubrica Institutional info. Toate acestea conduc la concluzia că fișierele cu denumirea Tabel centralizator erau versiuni de lucru ale dlui </w:t>
      </w:r>
      <w:r w:rsidRPr="00544AB7" w:rsidR="004C2395">
        <w:t>...T...</w:t>
      </w:r>
      <w:r w:rsidRPr="00544AB7">
        <w:t xml:space="preserve">. Simpla existență a tabelului centralizator pe stațiile de lucru ale angajaților </w:t>
      </w:r>
      <w:r w:rsidRPr="00544AB7" w:rsidR="0018311F">
        <w:t>...X...</w:t>
      </w:r>
      <w:r w:rsidRPr="00544AB7">
        <w:t xml:space="preserve"> nu probează transmiterea acestuia către societăți.</w:t>
      </w:r>
    </w:p>
    <w:p w:rsidRPr="00544AB7" w:rsidR="00D41C6E">
      <w:pPr>
        <w:ind w:firstLine="708"/>
        <w:jc w:val="both"/>
      </w:pPr>
      <w:r w:rsidRPr="00544AB7">
        <w:t>•</w:t>
      </w:r>
      <w:r w:rsidRPr="00544AB7">
        <w:tab/>
        <w:t xml:space="preserve">Tabelul care conține informațiile pretins sensibile (ridicat doar de la sediul </w:t>
      </w:r>
      <w:r w:rsidRPr="00544AB7" w:rsidR="0018311F">
        <w:t>...X...</w:t>
      </w:r>
      <w:r w:rsidRPr="00544AB7">
        <w:t xml:space="preserve">) poartă denumirea de Tabel centralizator 01.01 - 31.12.2013 (nu Raportări 31.12.2013 sau raportări Q4 2013, astfel că nu există nicio probă din care să rezulte că acest tabel a fost inclus printre raportările ridicate de întreprinderile sancționate; </w:t>
      </w:r>
    </w:p>
    <w:p w:rsidRPr="00544AB7" w:rsidR="00D41C6E">
      <w:pPr>
        <w:ind w:firstLine="708"/>
        <w:jc w:val="both"/>
      </w:pPr>
      <w:r w:rsidRPr="00544AB7">
        <w:t>•</w:t>
      </w:r>
      <w:r w:rsidRPr="00544AB7">
        <w:tab/>
        <w:t xml:space="preserve">Singura așa zisă probă în ce privește transmiterea acestui fișier către societățile de leasing o reprezintă  declarația </w:t>
      </w:r>
      <w:r w:rsidRPr="00544AB7" w:rsidR="0018311F">
        <w:t>...X...</w:t>
      </w:r>
      <w:r w:rsidRPr="00544AB7">
        <w:t xml:space="preserve"> prin dna </w:t>
      </w:r>
      <w:r w:rsidRPr="00544AB7" w:rsidR="00FC6A20">
        <w:t>...R...</w:t>
      </w:r>
      <w:r w:rsidRPr="00544AB7">
        <w:t xml:space="preserve"> (prezumtiv, întrucât această declarație </w:t>
      </w:r>
      <w:r w:rsidRPr="00544AB7">
        <w:t xml:space="preserve">nu ne este disponibilă), declarație ce nu poate fi avută în vedere, nefiind susținută de nicio altă probă. Este imposibil de crezut că reprezentanta </w:t>
      </w:r>
      <w:r w:rsidRPr="00544AB7" w:rsidR="0018311F">
        <w:t>...X...</w:t>
      </w:r>
      <w:r w:rsidRPr="00544AB7">
        <w:t xml:space="preserve"> și-ar fi putut aminti că un anumit număr de societăți ar fi ridicat exact acest tabel (cu mai bine de 3 ani înainte de declarația de clemență), iar o eventuală declarație generică, în lipsa unor detalii concrete este evident una lipsită de orice valoarea probatorie. De altfel, readministrarea respectivei probe nici măcar nu mai este posibilă, având în vedere evidentul conflict de interese în care respectiva persoană se află în momentul de față. Mai mult, așa cum am menționat anterior, chiar conform declarațiilor </w:t>
      </w:r>
      <w:r w:rsidRPr="00544AB7" w:rsidR="0018311F">
        <w:t>...X...</w:t>
      </w:r>
      <w:r w:rsidRPr="00544AB7">
        <w:t xml:space="preserve">, dl. </w:t>
      </w:r>
      <w:r w:rsidRPr="00544AB7" w:rsidR="004C2395">
        <w:t>...T...</w:t>
      </w:r>
      <w:r w:rsidRPr="00544AB7">
        <w:t xml:space="preserve"> era cel care se ocupa de raportări și transmiterea acestora, dna </w:t>
      </w:r>
      <w:r w:rsidRPr="00544AB7" w:rsidR="00FC6A20">
        <w:t>...R...</w:t>
      </w:r>
      <w:r w:rsidRPr="00544AB7">
        <w:t xml:space="preserve"> neocupându-se personal de aceste formalități, astfel că nici măcar nu a avut vreodată cunoștință despre detaliile exacte ale transmiterii raportărilor către societăți. </w:t>
      </w:r>
    </w:p>
    <w:p w:rsidRPr="00544AB7" w:rsidR="00D41C6E">
      <w:pPr>
        <w:ind w:firstLine="708"/>
        <w:jc w:val="both"/>
      </w:pPr>
      <w:r w:rsidRPr="00544AB7">
        <w:t>b.</w:t>
      </w:r>
      <w:r w:rsidRPr="00544AB7">
        <w:tab/>
        <w:t>Raportarea aferentă perioadei Q1 2014</w:t>
      </w:r>
    </w:p>
    <w:p w:rsidRPr="00544AB7" w:rsidR="00D41C6E">
      <w:pPr>
        <w:ind w:firstLine="708"/>
        <w:jc w:val="both"/>
      </w:pPr>
      <w:r w:rsidRPr="00544AB7">
        <w:t xml:space="preserve">Decizia reține că </w:t>
      </w:r>
      <w:r w:rsidRPr="00544AB7" w:rsidR="00FC492C">
        <w:t>...Y*...</w:t>
      </w:r>
      <w:r w:rsidRPr="00544AB7">
        <w:t xml:space="preserve"> nu a transmis estimările cu privire la valoarea nou finanțată și nici nu a primit estimările altor societăți membre </w:t>
      </w:r>
      <w:r w:rsidRPr="00544AB7" w:rsidR="0075748D">
        <w:t>...W*...</w:t>
      </w:r>
      <w:r w:rsidRPr="00544AB7">
        <w:t>.</w:t>
      </w:r>
    </w:p>
    <w:p w:rsidRPr="00544AB7" w:rsidR="00D41C6E">
      <w:pPr>
        <w:ind w:firstLine="708"/>
        <w:jc w:val="both"/>
      </w:pPr>
      <w:r w:rsidRPr="00544AB7">
        <w:t xml:space="preserve">Cu toate acestea, în prezentarea probelor ce, în viziunea Consiliului Concurenței, au condus la stabilirea faptului că </w:t>
      </w:r>
      <w:r w:rsidRPr="00544AB7" w:rsidR="00FC492C">
        <w:t>...Y*...</w:t>
      </w:r>
      <w:r w:rsidRPr="00544AB7">
        <w:t xml:space="preserve"> ar fi participat la o pretinsa practică anticoncurențială, Consiliul reține existența a unui număr mare de împuterniciri și procese verbale, documente care nu au nicio relevanță pentru pretinsa faptă anticoncurențială sancționată prin Decizie (para. 377 – 378 din Decizie), întrucât restul raportărilor pe anul 2014 nu conțineau informația care, potrivit Consiliului, ar fi fost sensibilă.</w:t>
      </w:r>
    </w:p>
    <w:p w:rsidRPr="00544AB7" w:rsidR="00D41C6E">
      <w:pPr>
        <w:ind w:firstLine="708"/>
        <w:jc w:val="both"/>
      </w:pPr>
      <w:r w:rsidRPr="00544AB7">
        <w:t xml:space="preserve">Concluzionând, nu există nicio probă a participării </w:t>
      </w:r>
      <w:r w:rsidRPr="00544AB7" w:rsidR="00FC492C">
        <w:t>...Y*...</w:t>
      </w:r>
      <w:r w:rsidRPr="00544AB7">
        <w:t xml:space="preserve"> la pretinsul schimb de informații sensibile, impunându-se anularea în întregime a Deciziei în ceea ce privește sancțiunea aplicată Reclamantei. </w:t>
      </w:r>
    </w:p>
    <w:p w:rsidRPr="00544AB7" w:rsidR="00D41C6E">
      <w:pPr>
        <w:ind w:firstLine="708"/>
        <w:jc w:val="both"/>
      </w:pPr>
      <w:r w:rsidRPr="00544AB7">
        <w:t>IV.4.</w:t>
      </w:r>
      <w:r w:rsidRPr="00544AB7">
        <w:tab/>
        <w:t>Consiliul Concurenței nu demonstrează că se află în prezența unei restrângeri a concurenței prin obiect realizată printr-un potențial schimb de informații sensibile cu privire la cantități viitoare</w:t>
      </w:r>
    </w:p>
    <w:p w:rsidRPr="00544AB7" w:rsidR="00D41C6E">
      <w:pPr>
        <w:ind w:firstLine="708"/>
        <w:jc w:val="both"/>
      </w:pPr>
      <w:r w:rsidRPr="00544AB7">
        <w:t>a.</w:t>
      </w:r>
      <w:r w:rsidRPr="00544AB7">
        <w:tab/>
        <w:t>Ce este schimbul de informații sensibile și când este interzis?</w:t>
      </w:r>
    </w:p>
    <w:p w:rsidRPr="00544AB7" w:rsidR="00D41C6E">
      <w:pPr>
        <w:ind w:firstLine="708"/>
        <w:jc w:val="both"/>
      </w:pPr>
      <w:r w:rsidRPr="00544AB7">
        <w:t xml:space="preserve">Schimbul de informații sensibile din punct de vedere comercial nu este interzis per se de legislația de concurență, atâta timp cât acesta nu reduce în mod nepermis incertitudinea pe piață, facilitând astfel coluziunea între concurenți. </w:t>
      </w:r>
    </w:p>
    <w:p w:rsidRPr="00544AB7" w:rsidR="00D41C6E">
      <w:pPr>
        <w:ind w:firstLine="708"/>
        <w:jc w:val="both"/>
      </w:pPr>
      <w:r w:rsidRPr="00544AB7">
        <w:t xml:space="preserve">Conform criteriilor trasate în Orientările Comisiei privind aplicabilitatea articolului 101 din Tratatul privind funcționarea Uniunii Europene acordurilor de cooperare orizontală (”Orientările Comisiei”), doar schimbul de informații strategice între concurenți poate genera efecte restrictive asupra concurenței, întrucât restrânge independența de decizie a companiilor concurente, prin reducerea motivației acestora de a concura. </w:t>
      </w:r>
    </w:p>
    <w:p w:rsidRPr="00544AB7" w:rsidR="00D41C6E">
      <w:pPr>
        <w:ind w:firstLine="708"/>
        <w:jc w:val="both"/>
      </w:pPr>
      <w:r w:rsidRPr="00544AB7">
        <w:t>În viziunea Comisiei Europene, conturată și prin prisma jurisprudenței anterioare emiterii Orientărilor Comisiei, informațiile sensibile concurențial sau strategice sunt reprezentate de datele privind: (i) prețuri (de exemplu, prețuri actuale, discount-uri, creșteri, reduceri sau rabaturi), (ii) listele de clienți, (iii) costurile de producție, (iv) cantități, (v) cifre de afaceri, (vi) vânzări, (vii) capacități, (viii) calități, (ix) planuri de marketing, (x) riscuri, (xi) investiții, (xii) tehnologii, (xiii) programe de cercetare și dezvoltare și la rezultatele acestora.</w:t>
      </w:r>
    </w:p>
    <w:p w:rsidRPr="00544AB7" w:rsidR="00D41C6E">
      <w:pPr>
        <w:ind w:firstLine="708"/>
        <w:jc w:val="both"/>
      </w:pPr>
      <w:r w:rsidRPr="00544AB7">
        <w:t>b.</w:t>
      </w:r>
      <w:r w:rsidRPr="00544AB7">
        <w:tab/>
        <w:t xml:space="preserve">Estimările transmise de unele societăți membre </w:t>
      </w:r>
      <w:r w:rsidRPr="00544AB7" w:rsidR="0075748D">
        <w:t>...W*...</w:t>
      </w:r>
      <w:r w:rsidRPr="00544AB7">
        <w:t xml:space="preserve"> nu vizau cantități</w:t>
      </w:r>
    </w:p>
    <w:p w:rsidRPr="00544AB7" w:rsidR="00D41C6E">
      <w:pPr>
        <w:ind w:firstLine="708"/>
        <w:jc w:val="both"/>
      </w:pPr>
      <w:r w:rsidRPr="00544AB7">
        <w:t>Decizia sancționează unele din părțile investigate pentru încălcarea art. 5 alin. (1) din Legea concurenței, respectiv a art. 101 alin. (1) din TFUE prin realizarea unei înțelegeri și/sau practici concertate constând într-un pretins schimb de informații privind cantități viitoare pe piața leasingului financiar.</w:t>
      </w:r>
    </w:p>
    <w:p w:rsidRPr="00544AB7" w:rsidR="00D41C6E">
      <w:pPr>
        <w:ind w:firstLine="708"/>
        <w:jc w:val="both"/>
      </w:pPr>
      <w:r w:rsidRPr="00544AB7">
        <w:t xml:space="preserve">Presupusul schimb de informații sancționat de către Consiliul Concurenței vizează raportările societăților de leasing aferente perioadei Q4 2013 și Q1 2014. Fapta are în vedere atât transmiterea, cât și primirea unor estimări viitoare cu privire la “valoarea finanțată” de către societățile membre </w:t>
      </w:r>
      <w:r w:rsidRPr="00544AB7" w:rsidR="0075748D">
        <w:t>...W*...</w:t>
      </w:r>
      <w:r w:rsidRPr="00544AB7">
        <w:t>.</w:t>
      </w:r>
    </w:p>
    <w:p w:rsidRPr="00544AB7" w:rsidR="00D41C6E">
      <w:pPr>
        <w:ind w:firstLine="708"/>
        <w:jc w:val="both"/>
      </w:pPr>
      <w:r w:rsidRPr="00544AB7">
        <w:t xml:space="preserve">În primul rând, precizează că în economie, noțiunea de „cantitate”  descrie volumul de bunuri sau servicii furnizate sau prestate de o societate la un anumit preț (de exemplu numărul produselor de un anumit tip sau volumul exprimat într-o altă unitate de măsură). Volumul nou finanțat, astfel cum Consiliul susține că a fost transmis și primit de către societățile sancționate, reprezintă o valoare, o sumă totală estimată, care nu poate fi considerat o măsură a cantității. </w:t>
      </w:r>
    </w:p>
    <w:p w:rsidRPr="00544AB7" w:rsidR="00D41C6E">
      <w:pPr>
        <w:ind w:firstLine="708"/>
        <w:jc w:val="both"/>
      </w:pPr>
      <w:r w:rsidRPr="00544AB7">
        <w:t xml:space="preserve">Mai mult decât atât, face trimitere la Raportul OECD din 2010 pe tema Schimbului de informații între concurenți, în care se precizează că informațiile privind cantități viitoare ar putea include “vânzări viitoare, cote de piață viitoare, teritorii viitoare sau vânzări viitoare către grupuri specifice de consumatori sau către anumite liste de clienți”. În cazul reclamantei, acele informații considerate de Consiliu “cantități” diferă de cele menționate de OECD ca reprezentând cantități. </w:t>
      </w:r>
    </w:p>
    <w:p w:rsidRPr="00544AB7" w:rsidR="00D41C6E">
      <w:pPr>
        <w:ind w:firstLine="708"/>
        <w:jc w:val="both"/>
      </w:pPr>
      <w:r w:rsidRPr="00544AB7">
        <w:t xml:space="preserve">În plus, deși Consiliul Concurenței a avut la dispoziție atât raportările societăților membre </w:t>
      </w:r>
      <w:r w:rsidRPr="00544AB7" w:rsidR="0075748D">
        <w:t>...W*...</w:t>
      </w:r>
      <w:r w:rsidRPr="00544AB7">
        <w:t xml:space="preserve">, cât și statisticile efectuate de </w:t>
      </w:r>
      <w:r w:rsidRPr="00544AB7" w:rsidR="0075748D">
        <w:t>...W*...</w:t>
      </w:r>
      <w:r w:rsidRPr="00544AB7">
        <w:t xml:space="preserve"> pe baza informațiilor individuale, Decizia omite să analizeze ce înseamnă de fapt valoare finanțată și cum se calculează, rezumându-se la a concluziona că “în cazul operațiunilor de leasing, valoarea finanțată reprezintă cantitate”, fără să aducă însă niciun argument în acest sens. </w:t>
      </w:r>
    </w:p>
    <w:p w:rsidRPr="00544AB7" w:rsidR="00D41C6E">
      <w:pPr>
        <w:ind w:firstLine="708"/>
        <w:jc w:val="both"/>
      </w:pPr>
      <w:r w:rsidRPr="00544AB7">
        <w:t xml:space="preserve">Analizând informațiile care se transmiteau către </w:t>
      </w:r>
      <w:r w:rsidRPr="00544AB7" w:rsidR="0075748D">
        <w:t>...W*...</w:t>
      </w:r>
      <w:r w:rsidRPr="00544AB7">
        <w:t xml:space="preserve">, Consiliul Concurenței ar fi trebuit să observe că pretinsul schimb de informații nu se referea la valoarea nou finanțată, ci la valoarea netă a noilor bunuri finanțate.  Din documentele aflate la dosarul cauzei reiese modalitatea simplă în care se calculează valoarea nou finanțată pentru orice societate de leasing, respectiv: </w:t>
      </w:r>
    </w:p>
    <w:p w:rsidRPr="00544AB7" w:rsidR="00D41C6E">
      <w:pPr>
        <w:ind w:firstLine="708"/>
        <w:jc w:val="both"/>
      </w:pPr>
      <w:r w:rsidRPr="00544AB7">
        <w:t xml:space="preserve">Așadar, ceea ce se presupune că a fost transmis de câteva dintre societățile de leasing reprezenta de fapt valoarea totală netă a noilor bunuri finanțate, cuprinzând pe lângă finanțarea oferită de o societate de leasing și valoarea avansului achitat de către clienți, sume ce variază în funcție de o mulțime de factori strânși legați de clienți, precum tipul de clienți, durata contractului etc., informații ce nu se regăseau în raportările puse la dispoziție de </w:t>
      </w:r>
      <w:r w:rsidRPr="00544AB7" w:rsidR="0075748D">
        <w:t>...W*...</w:t>
      </w:r>
      <w:r w:rsidRPr="00544AB7">
        <w:t xml:space="preserve"> membrilor săi. Mai mult de atât, datele transmise erau agregate, nedefalcate pe categorii de bunuri finanțate, de exemplu pe vehicule (noi sau second-hand), pe echipamente (noi sau second-hand) sau pe imobiliare (noi sau second-hand), ceea ce le face inutilizabile având în vedere multitudinea de produse ce puteau fi finanțate de oricare dintre companii, astfel că nu putea să există o previzibilitate sau transparență cu privire la comportamentele viitoare ale societăților din piață.</w:t>
      </w:r>
    </w:p>
    <w:p w:rsidRPr="00544AB7" w:rsidR="00D41C6E">
      <w:pPr>
        <w:ind w:firstLine="708"/>
        <w:jc w:val="both"/>
      </w:pPr>
      <w:r w:rsidRPr="00544AB7">
        <w:t>Subliniază de asemenea că valoarea nou finanțată are în vedere doar noile contracte semnate în acel an, nu și pe cele încheiate în anii anteriori și în temeiul cărora societatea de leasing încasează rate de leasing pe o perioadă mai îndelungată. Un volum total finanțat ar fi trebuit să cuprindă nu doar valoarea nou finanțată (și care nu se regăsea în raportări, așa reiese mai sus), ci și celelalte contracte din portofoliu, a căror valoare nu se regăsea în raportări și nici nu putea fi estimată, valoarea contractelor depinzând de durata pe care se încheia și tipul de bun finanțat. Mai mult decât atât, valoarea totală pe care o societate de leasing ar urma să o finanțeze nu se referă la un volum de bunuri sau servicii, astfel că nu poate reprezenta cantitate în sensul Orientărilor Comisiei. Valoarea finanțată arată doar ce acces are la finanțare o societate de leasing, fără să arate în concret și ce va finanța societatea respectivă, de exemplu ce tip de contracte, ce tipuri de bunuri sau pe ce perioadă.</w:t>
      </w:r>
    </w:p>
    <w:p w:rsidRPr="00544AB7" w:rsidR="00D41C6E">
      <w:pPr>
        <w:ind w:firstLine="708"/>
        <w:jc w:val="both"/>
      </w:pPr>
      <w:r w:rsidRPr="00544AB7">
        <w:t>În concluzie, Decizia reține în mod eronat că datele transmise de anumite societăți de leasing reprezentau estimări viitoare ale valorii ce urma să fie finanțată, ci constituia de fapt o estimare a valorii bunurilor noi ce urmau să fie finanțate, noțiune diferită de cea de “cantitate” avută în vedere de regulile de concurență.</w:t>
      </w:r>
    </w:p>
    <w:p w:rsidRPr="00544AB7" w:rsidR="00D41C6E">
      <w:pPr>
        <w:ind w:firstLine="708"/>
        <w:jc w:val="both"/>
      </w:pPr>
      <w:r w:rsidRPr="00544AB7">
        <w:t>c.</w:t>
      </w:r>
      <w:r w:rsidRPr="00544AB7">
        <w:tab/>
        <w:t>Când reprezintă schimbul de informații o încălcare prin obiect?</w:t>
      </w:r>
    </w:p>
    <w:p w:rsidRPr="00544AB7" w:rsidR="00D41C6E">
      <w:pPr>
        <w:ind w:firstLine="708"/>
        <w:jc w:val="both"/>
      </w:pPr>
      <w:r w:rsidRPr="00544AB7">
        <w:t>Jurisprudența UE a stabilit că există două tipuri de încălcări care pot fi privite ca fiind de obiect, prin raportare la schimbul de informații: (a) schimbul de informații având ca scop restrângerea concurenței pe piață, conform par. 72 din Orientările Comisiei, respectiv (b) schimbul de informații între concurenți privind informații individualizate referitoare la prețuri sau cantități pe care intenționează să le aplice în viitor, adus în discuție de par. 74 din Orientările Comisiei. În interpretarea noastră, aceste două categorii de încălcări de obiect sunt limitativ prevăzute de legislație, neîncadrarea într-una dintre cele două categorii eliminând astfel încălcarea din zona de obiect și mutând-o în zona de efecte.</w:t>
      </w:r>
    </w:p>
    <w:p w:rsidRPr="00544AB7" w:rsidR="00D41C6E">
      <w:pPr>
        <w:ind w:firstLine="708"/>
        <w:jc w:val="both"/>
      </w:pPr>
      <w:r w:rsidRPr="00544AB7">
        <w:t xml:space="preserve">Consiliul Concurenței susține în Decizia sa că transmiterea “valorii finanțate estimate” reprezintă un schimb cu privire la cantități, fapta fiind considerată o încălcare prin obiect. Face trimitere în acest sens la la Raportul OECD din 2010 pe tema Schimbului de informații între concurenți în cadrul căreia se aduce în discuție contextul în care schimbul de informații privind cantitățile ar putea fi considerată încălcare prin obiect. </w:t>
      </w:r>
    </w:p>
    <w:p w:rsidRPr="00544AB7" w:rsidR="00D41C6E">
      <w:pPr>
        <w:ind w:firstLine="708"/>
        <w:jc w:val="both"/>
      </w:pPr>
      <w:r w:rsidRPr="00544AB7">
        <w:t>Exemplul oferit în cadrul documentului menționat anterior vizează producția de petrol, piață în cadrul căreia societățile concurează prin cantități, producătorii fiind cei care decid cât de mult petrol extrag și vând, prețul fiind stabilit de piață pe baza cantităților. Pe o astfel de piață de oligopol în care concurența se realizează prin cantități, un schimb de informații detaliat cu privire la producția de petrol este un element cheie în coordonarea părților. În ceea ce privește noțiunea de cantități viitoare, în același document se precizează că acestea ar putea să se refere la vânzări viitoare, cote de piață viitoare, teritorii viitoare sau vânzări viitoare către grupuri specifice de consumatori sau către anumite liste de clienți. În cazul nostru, acele informații considerate de Consiliu “cantități” nu se regăsesc printre cele menționate anterior, astfel că Societatea consideră că schimbul de informații nu poate fi considerat ca fiind o încălcare prin obiect.</w:t>
      </w:r>
    </w:p>
    <w:p w:rsidRPr="00544AB7" w:rsidR="00D41C6E">
      <w:pPr>
        <w:ind w:firstLine="708"/>
        <w:jc w:val="both"/>
      </w:pPr>
      <w:r w:rsidRPr="00544AB7">
        <w:t>d.</w:t>
      </w:r>
      <w:r w:rsidRPr="00544AB7">
        <w:tab/>
        <w:t>Consiliul Concurenței nu demonstrează că este în prezența unei restrângeri a concurenței prin obiect</w:t>
      </w:r>
    </w:p>
    <w:p w:rsidRPr="00544AB7" w:rsidR="00D41C6E">
      <w:pPr>
        <w:ind w:firstLine="708"/>
        <w:jc w:val="both"/>
      </w:pPr>
      <w:r w:rsidRPr="00544AB7">
        <w:t>Consiliul reține în Decizie că faptele analizate reprezintă o încălcare prin obiect a regulilor de concurență, astfel că nu s-ar mai impune o analiză a efectelor reale asupra pieței: “Având în vedere faptul că valoarea finanțată reprezintă cantitate, iar schimbul de informații viitoare cu privire la cantități viitoare este interzis de reglementările privind concurența, rezultă că practica analizată este anticoncurențială, reprezentând o restrângere a concurenței prin obiect .”</w:t>
      </w:r>
    </w:p>
    <w:p w:rsidRPr="00544AB7" w:rsidR="00D41C6E">
      <w:pPr>
        <w:ind w:firstLine="708"/>
        <w:jc w:val="both"/>
      </w:pPr>
      <w:r w:rsidRPr="00544AB7">
        <w:t>Deși Consiliul face trimitere la jurisprudența Curții cu privire la calificarea unei practici ca restrângând concurența „prin obiect” și reține că “trebuie analizate, printre altele, obiectivele pe care urmăresc să le atingă, precum și contextul economic și juridic în care acestea se înscriu. În cadrul aprecierii respectivului context, trebuie, de asemenea, să se tină seama de natura bunurilor sau a serviciilor afectate, precum și de condițiile reale de funcționare și de structura pieței sau a piețelor relevante ”, totuși nu am identificat în cuprinsul Deciziei o analiză pertinentă a acestor elemente. Consiliul se rezumă la a preciza că “valoarea nou finanțată” reprezintă “cantitate” și în consecință schimbul de informații cu privire la aceste date constituie o restrângere a concurenței prin obiect. De asemenea, în Decizie se reține că “Accesul la estimările viitoare cu privire la valoarea nou finanțată are capacitatea de a crește transparența pe piață și de a reduce incertitudinea concurențială, oferind competitorilor posibilitatea de a-și adapta strategiile comerciale în baza informațiilor schimbate cu privire la viitor, cât și prin analiza elementelor de context, respectiv a volumului mare de informații trecute/prezente parte a schimbului.”, fără să ofere argumente cu privire la această afirmație.</w:t>
      </w:r>
    </w:p>
    <w:p w:rsidRPr="00544AB7" w:rsidR="00D41C6E">
      <w:pPr>
        <w:ind w:firstLine="708"/>
        <w:jc w:val="both"/>
      </w:pPr>
      <w:r w:rsidRPr="00544AB7">
        <w:t xml:space="preserve">Cu privire la necesitatea analizei obiectivelor urmărite de părțile sancționate și a contextului economic și juridic în care acestea se înscriu, face referire la jurisprudența recentă </w:t>
      </w:r>
      <w:r w:rsidRPr="00544AB7">
        <w:t xml:space="preserve">a Curții de Justiție, menită să clarifice noțiunea de “încălcare prin obiect”, respectiv Decizia din 2 aprilie 2020 în Cauza C-228/18, Budapest Bank (“Cauza Budapest Bank”). </w:t>
      </w:r>
    </w:p>
    <w:p w:rsidRPr="00544AB7" w:rsidR="00D41C6E">
      <w:pPr>
        <w:ind w:firstLine="708"/>
        <w:jc w:val="both"/>
      </w:pPr>
      <w:r w:rsidRPr="00544AB7">
        <w:t>În primul rând, Curtea a precizat că noțiunea de restrângere a concurenței „prin obiect” trebuie interpretată în mod restrictiv și că nu poate fi aplicată decât unor tipuri de coordonare între întreprinderi care prezintă un grad suficient de nocivitate pentru concurență pentru a se putea considera că examinarea efectelor acestora nu este necesară. În caz contrar autoritățile de concurență au de obligația de a dovedi efectele reale pe piață ale unor acorduri în privința cărora nu s‑a stabilit în niciun fel că sunt, prin însăși natura lor, dăunătoare pentru buna funcționare a concurenței. În acest sens, Curtea subliniază că deși nu se impune o analiză a efectelor presupusei practici anticoncurențiale, pentru a se justifica calificarea unui acord drept restrângere „prin obiect” a concurenței, trebuie analizate (i) obiectivele și (ii) contextul în care aceste fapte se înscriu. Cu privire la aceste două aspecte, facă următoarele precizări:</w:t>
      </w:r>
    </w:p>
    <w:p w:rsidRPr="00544AB7" w:rsidR="00D41C6E">
      <w:pPr>
        <w:ind w:firstLine="708"/>
        <w:jc w:val="both"/>
      </w:pPr>
      <w:r w:rsidRPr="00544AB7">
        <w:t>(i)</w:t>
      </w:r>
      <w:r w:rsidRPr="00544AB7">
        <w:tab/>
        <w:t>Obiectivele urmărite:</w:t>
      </w:r>
    </w:p>
    <w:p w:rsidRPr="00544AB7" w:rsidR="00D41C6E">
      <w:pPr>
        <w:ind w:firstLine="708"/>
        <w:jc w:val="both"/>
      </w:pPr>
      <w:r w:rsidRPr="00544AB7">
        <w:t>•</w:t>
      </w:r>
      <w:r w:rsidRPr="00544AB7">
        <w:tab/>
        <w:t xml:space="preserve">așa cum a susținut Avocatul General Bobek în aceeași cauză, scopul principal al analizei obiectivelor este “de a stabili dacă acordul în cauză intră sub incidența unei categorii de acorduri al căror caracter nociv este, ținând seama de experiența acumulată, dovedit și ușor decelabil. În acest sens, această experiență poate fi interpretată în sensul că reiese în mod tradițional din analiza economică, astfel cum a fost confirmată de autoritățile de concurență și cum este susținută, după caz, de jurisprudență”. </w:t>
      </w:r>
    </w:p>
    <w:p w:rsidRPr="00544AB7" w:rsidR="00D41C6E">
      <w:pPr>
        <w:ind w:firstLine="708"/>
        <w:jc w:val="both"/>
      </w:pPr>
      <w:r w:rsidRPr="00544AB7">
        <w:t>•</w:t>
      </w:r>
      <w:r w:rsidRPr="00544AB7">
        <w:tab/>
        <w:t xml:space="preserve">mai mult decât atât, în prezentarea condiției existenței unei “experiențe suficient de solide și de fiabile”, Curtea face trimitere la concluziile Avocatului General Bobek, care face o analiză detaliată a ceea ce ar putea să constituie o “vastă experiență fiabilă și importantă” pentru a demonstra că “o anumită formă de comportament este în mod evident și în general anticoncurențială”. </w:t>
      </w:r>
    </w:p>
    <w:p w:rsidRPr="00544AB7" w:rsidR="00D41C6E">
      <w:pPr>
        <w:ind w:firstLine="708"/>
        <w:jc w:val="both"/>
      </w:pPr>
      <w:r w:rsidRPr="00544AB7">
        <w:t>•</w:t>
      </w:r>
      <w:r w:rsidRPr="00544AB7">
        <w:tab/>
        <w:t>în acest sens, Avocatul General menționează principalele elemente care trebuie luate în considerare pentru analiza “experienței”: practica Comisiei, practica altor autorități naționale de concurență, jurisprudența instanțelor Uniunii Europene sau ale statelor membre și mai ales studii / rapoarte “elaborate de autori independenți și bazate pe metode, pe principii și pe standarde recunoscute de comunitatea economică internațională”</w:t>
      </w:r>
    </w:p>
    <w:p w:rsidRPr="00544AB7" w:rsidR="00D41C6E">
      <w:pPr>
        <w:ind w:firstLine="708"/>
        <w:jc w:val="both"/>
      </w:pPr>
      <w:r w:rsidRPr="00544AB7">
        <w:t>(ii)</w:t>
      </w:r>
      <w:r w:rsidRPr="00544AB7">
        <w:tab/>
        <w:t xml:space="preserve">Contextul economic și juridic în care se înscrie presupusa faptă anticoncurențială </w:t>
      </w:r>
    </w:p>
    <w:p w:rsidRPr="00544AB7" w:rsidR="00D41C6E">
      <w:pPr>
        <w:ind w:firstLine="708"/>
        <w:jc w:val="both"/>
      </w:pPr>
      <w:r w:rsidRPr="00544AB7">
        <w:t>•</w:t>
      </w:r>
      <w:r w:rsidRPr="00544AB7">
        <w:tab/>
        <w:t xml:space="preserve">așa cum a fost reținut și în Decizie, pentru aprecierea contextului, trebuie “să se țină seama de natura bunurilor sau serviciilor afectate, precum și de condițiile reale de funcționare și de structura pieței sau a piețelor relevante”. </w:t>
      </w:r>
    </w:p>
    <w:p w:rsidRPr="00544AB7" w:rsidR="00D41C6E">
      <w:pPr>
        <w:ind w:firstLine="708"/>
        <w:jc w:val="both"/>
      </w:pPr>
      <w:r w:rsidRPr="00544AB7">
        <w:t>•</w:t>
      </w:r>
      <w:r w:rsidRPr="00544AB7">
        <w:tab/>
        <w:t xml:space="preserve">cu privire la necesitatea evaluării contextului, facă trimitere la concluziile Avocatului General în aceeași cauză care motivează că “o examinare pur formală a unui acord, complet ruptă de realitate, ar putea conduce la condamnarea acordurilor inofensive sau favorabile concurenței”, subliniind că “nu există nicio justificare juridică sau economică pentru interzicerea unui acord care, deși este conform unei categorii de acorduri care sunt considerate în mod obișnuit anticoncurențiale, este totuși, ca urmare a unor circumstanțe specifice, absolut incapabil să producă vreun efect dăunător pe piață sau este chiar favorabil concurenței”. </w:t>
      </w:r>
    </w:p>
    <w:p w:rsidRPr="00544AB7" w:rsidR="00D41C6E">
      <w:pPr>
        <w:ind w:firstLine="708"/>
        <w:jc w:val="both"/>
      </w:pPr>
      <w:r w:rsidRPr="00544AB7">
        <w:t>•</w:t>
      </w:r>
      <w:r w:rsidRPr="00544AB7">
        <w:tab/>
        <w:t xml:space="preserve">mai mult decât atât, Avocatul General subliniază că analiza contextului se impune chiar și în privința acelor forme de comportament considerate foarte dăunătoare concurenței, precum stabilirea prețurilor, împărțirea piețelor sau interdicțiile la export. Cu privire la această evaluare, Avocatul General concluzionează că autoritatea de concurență trebuie să stabilească dacă efectele concrete ale acordului pe piață sunt pozitive sau negative, nu doar să se limiteze la a concluziona că respectivul comportament are capacitatea de a afecta în mod negativ concurența: “Obiectivul acestei analize este acela de a determina impactul pe care acordul l‑ar putea avea asupra concurenței în cadrul pieței relevante. În </w:t>
      </w:r>
      <w:r w:rsidRPr="00544AB7">
        <w:t>esență autoritatea trebuie să compare structura concurențială din cadrul pieței, indusă de acordul supus examinării, cu structura concurențială care ar fi prevalat în lipsa acestui acord”</w:t>
      </w:r>
    </w:p>
    <w:p w:rsidRPr="00544AB7" w:rsidR="00D41C6E">
      <w:pPr>
        <w:ind w:firstLine="708"/>
        <w:jc w:val="both"/>
      </w:pPr>
      <w:r w:rsidRPr="00544AB7">
        <w:t>Așadar, pentru constatarea unei restrângeri a concurenței “prin obiect”, jurisprudența Curții, obligatorie de altfel pentru toate autoritățile și instanțele statelor membre, impune efectuarea analizei anterior prezentate.</w:t>
      </w:r>
    </w:p>
    <w:p w:rsidRPr="00544AB7" w:rsidR="00D41C6E">
      <w:pPr>
        <w:ind w:firstLine="708"/>
        <w:jc w:val="both"/>
      </w:pPr>
      <w:r w:rsidRPr="00544AB7">
        <w:t>Regăseşte în Decizie analiza obiectivelor urmărite prin presupusa faptă anticoncurențială și a contextului economic și juridic în care se înscrie această faptă?</w:t>
      </w:r>
    </w:p>
    <w:p w:rsidRPr="00544AB7" w:rsidR="00D41C6E">
      <w:pPr>
        <w:ind w:firstLine="708"/>
        <w:jc w:val="both"/>
      </w:pPr>
      <w:r w:rsidRPr="00544AB7">
        <w:t>În primul rând, Decizia nu include o analiză specifică a acestor elemente, astfel cum prevede Curtea în Cauza Budapest Bank:</w:t>
      </w:r>
    </w:p>
    <w:p w:rsidRPr="00544AB7" w:rsidR="00D41C6E">
      <w:pPr>
        <w:ind w:firstLine="708"/>
        <w:jc w:val="both"/>
      </w:pPr>
      <w:r w:rsidRPr="00544AB7">
        <w:t>(i)</w:t>
      </w:r>
      <w:r w:rsidRPr="00544AB7">
        <w:tab/>
        <w:t xml:space="preserve">Obiectivele urmărite – deși Consiliul face trimitere la jurisprudența statelor membre, așa cum vom arăta în paragrafele 168-181, deciziile invocate nu prezintă asemănări cu faptele analizate, nici sub aspectul tipului de informații schimbate, nici sub aspectul frecvenței acestui schimb, astfel că nu se poate susține că există o experiență solidă cu privire la caracterul dăunător al schimbului de informații analizat. Mai mult decât atât, una dintre decizii a fost deja anulată de către instanța de judecată. În plus, Decizia omite să ia în considerare concluziile raportului realizat de Copenhagen Economics, respectiv lipsa caracterului strategic al informațiilor care se schimbau de membrii </w:t>
      </w:r>
      <w:r w:rsidRPr="00544AB7" w:rsidR="0075748D">
        <w:t>...W*...</w:t>
      </w:r>
      <w:r w:rsidRPr="00544AB7">
        <w:t>;</w:t>
      </w:r>
    </w:p>
    <w:p w:rsidRPr="00544AB7" w:rsidR="00D41C6E">
      <w:pPr>
        <w:ind w:firstLine="708"/>
        <w:jc w:val="both"/>
      </w:pPr>
      <w:r w:rsidRPr="00544AB7">
        <w:t>(ii)</w:t>
      </w:r>
      <w:r w:rsidRPr="00544AB7">
        <w:tab/>
        <w:t xml:space="preserve">Contextul economic și juridic în care se înscrie presupusa faptă anticoncurențială – în ceea ce privește contextul, Consiliul se rezumă la a constata că deși activitatea de leasing financiar este reglementată de către BNR, nu sunt disponibile statistici cu privire la această piață. Acesta este de fapt motivul care a stat la baza inițiativei membrilor </w:t>
      </w:r>
      <w:r w:rsidRPr="00544AB7" w:rsidR="0075748D">
        <w:t>...W*...</w:t>
      </w:r>
      <w:r w:rsidRPr="00544AB7">
        <w:t xml:space="preserve"> de a implementa un mecanism pentru realizarea unor statistici referitoare la activitatea de leasing financiar (precum nivelul pieței și clasamentul jucătorilor activi pe piață), menite să conducă la adoptarea unor decizii mai eficiente în beneficiul final al clienților acestor produse de creditare. Mai mult decât atât, Consiliul Concurenței nu stabilește efectele concrete ale schimbul de informații, respectiv dacă aceste efecte sunt negative sau pozitive, ci se limitează la a preciza că schimbul de informații analizat contribuie “la creșterea transparenței pe piață și la posibilitatea competitorilor de a-și adapta în consecință strategiile”.</w:t>
      </w:r>
    </w:p>
    <w:p w:rsidRPr="00544AB7" w:rsidR="00D41C6E">
      <w:pPr>
        <w:ind w:firstLine="708"/>
        <w:jc w:val="both"/>
      </w:pPr>
      <w:r w:rsidRPr="00544AB7">
        <w:t xml:space="preserve">Consiliul nu analizează în concret obiectivele și a contextul economic și juridic în care faptele se înscriu, limitându-se să concluzioneze că respectivul comportament are capacitatea de a afecta în mod negativ concurența, fiind așadar în prezența unei încălcări prin obiect: “Având în vedere faptul că valoarea finanțată reprezintă cantitate, iar schimbul de informații viitoare cu privire la cantități viitoare este interzis de reglementările privind concurența, rezultă că practica analizată este anticoncurențială, reprezentând o restrângere a concurenței prin obiect.” </w:t>
      </w:r>
    </w:p>
    <w:p w:rsidRPr="00544AB7" w:rsidR="00D41C6E">
      <w:pPr>
        <w:ind w:firstLine="708"/>
        <w:jc w:val="both"/>
      </w:pPr>
      <w:r w:rsidRPr="00544AB7">
        <w:t>Jurisprudența CJUE  prevede și faptul că schimbul de informații are un obiect anticoncurențial atunci când are aptitudinea de a elimina incertitudinile legate de comportamentul avut în vedere de părți. Deși Consiliul reține că schimbul de informații are un obiect anticoncurențial, Consiliul nu reușește să arate în ce mod este acesta apt să elimine incertitudinile părților implicate, afirmând doar că accesul la estimările cu privire la valoarea nou finanțată oferă posibilitatea competitorilor de a-și adapta strategiile viitoare comerciale ținând cont de informațiile schimbate.</w:t>
      </w:r>
    </w:p>
    <w:p w:rsidRPr="00544AB7" w:rsidR="00D41C6E">
      <w:pPr>
        <w:ind w:firstLine="708"/>
        <w:jc w:val="both"/>
      </w:pPr>
      <w:r w:rsidRPr="00544AB7">
        <w:t xml:space="preserve">Jurisprudența CJUE în materia încălcărilor „prin obiect” a fost invocată de asemenea și de Curtea Supremă din Franța  atunci când a anulat decizia de sancționare a unor bănci acuzate că s-au înțeles cu privire la stabilirea unui comision pentru operațiunile cu cecuri (comision plătit de către banca emițătoare către banca care trage cecul, pentru compensarea pierderilor survenite după ce sistemul de procesare a fost accelerat odată cu trecerea la moneda euro). Inițial autoritatea de concurență din Franța și Curtea de Apel au reținut că fapta băncilor implicate constituie o încălcare „prin obiect” întrucât acel comision stabilit de bănci reprezenta un element de cost ce avea ca scop menținerea unui echilibru între concurenți, </w:t>
      </w:r>
      <w:r w:rsidRPr="00544AB7">
        <w:t>fapta având ca obiect distorsionarea concurenței dintre bănci. Curtea de Apel a reținut de asemenea că o asemenea înțelegere este foarte probabil să aibă un impact asupra prețurilor serviciilor oferite de băncile implicate precum și asupra structurii pieței. Cu privire la aceste aspecte, Curtea Supremă din Franța a amintit în decizia sa că CJUE a reținut în jurisprudență că noțiunea de încălcare „prin obiect” trebuie aplicată în mod restrictiv, numai acele tipuri de coordonare care relevă un nivel suficient de nocivitate asupra concurenței, astfel încât să nu mai fie necesară o analiză de efecte. În acest sens, Curtea Supremă din Franța a subliniat de asemenea că nu există experiență cu privire tipurile de comisioane interbancare care au făcut obiectul schimbului de informații, doar o asemenea experiență putând în anumite cazuri să conducă la prezumția unor efecte negative ale faptei și încadrarea acesteia ca fiind o încălcare „prin obiect”. În plus, Curtea Supremă a criticat decizia Curții de Apel și sub aspectul lipsei elementelor pe baza cărora Curtea de Apel și-a întemeiat afirmația că “menținerea echilibrului financiar între părți a condus la cristalizarea structurii pieței”, astfel că decizia Curții de Apel este lipsită de temei legal. Așadar, în absența unor dovezi cu privire la impactul acestor tipuri de comisioane asupra prețurilor serviciilor bancare finale sau asupra structurii pieței, Curtea Supremă din Franța a reținut că instanța de apel a ignorat cerința interpretării restrictive a încălcării „prin obiect” și a dispus anularea deciziei Curții de Apel, trimițând cauza spre rejudecare. Se poate observa astfel că tendința instanțelor de judecată de la nivel european este de a urma jurisprudența recentă a Curții de Justiție care prevede îndeplinirea unor cerințe mai stricte cu privire la noțiunea de încălcare „prin obiect”.</w:t>
      </w:r>
    </w:p>
    <w:p w:rsidRPr="00544AB7" w:rsidR="00D41C6E">
      <w:pPr>
        <w:ind w:firstLine="708"/>
        <w:jc w:val="both"/>
      </w:pPr>
      <w:r w:rsidRPr="00544AB7">
        <w:t>În final, precizează că în cadrul ședinței de deliberare din data de 25.02.2020, Plenul Consiliului Concurenței, atunci când a decis retrimiterea primului Raport către raportor și echipa de caz în vederea completării analizei din primul Raport, a dispus ca în cazul unei posibile încălcări prin obiect echipa de caz trebuie să clarifice și să completeze analiza referitoare la caracterul sensibil din punct de vedere concurențial al schimbului de informații viitoare din perspectiva unei posibile fapte cu obiect anticoncurențial, precum și îndeplinirea standardului de probă privind existența acordului de voință al părților implicate în posibila practică anticoncurențială. Echipa de investigație nu clarificat și nici nu a analizat de ce prezentul schimb de informații reprezintă o încălcare prin obiect, evitând această analiză.  Autoritatea s-a limitat la simpla precizare că, în viziunea ei,  valoarea nou finanțată  reprezintă echivalentul “cantității” prevăzută în Orientările Comisiei.</w:t>
      </w:r>
    </w:p>
    <w:p w:rsidRPr="00544AB7" w:rsidR="00D41C6E">
      <w:pPr>
        <w:ind w:firstLine="708"/>
        <w:jc w:val="both"/>
      </w:pPr>
      <w:r w:rsidRPr="00544AB7">
        <w:t>e.</w:t>
      </w:r>
      <w:r w:rsidRPr="00544AB7">
        <w:tab/>
        <w:t>Jurisprudența invocată de Consiliul Concurenței la circumstanțele cauzei nu susține concluzia existenței unei înțelegeri și/sau practici concertate printr-un schimb de informații sensibile</w:t>
      </w:r>
    </w:p>
    <w:p w:rsidRPr="00544AB7" w:rsidR="00D41C6E">
      <w:pPr>
        <w:ind w:firstLine="708"/>
        <w:jc w:val="both"/>
      </w:pPr>
      <w:r w:rsidRPr="00544AB7">
        <w:t xml:space="preserve">Cu privire la anumite cauze menționate în Decizie, consideră că interpretarea dată acestora este forțată și nu surprinde diferențele esențiale dintre faptele ce fac obiectul investigației și cele sancționate de autoritățile de concurență respective. </w:t>
      </w:r>
    </w:p>
    <w:p w:rsidRPr="00544AB7" w:rsidR="00D41C6E">
      <w:pPr>
        <w:ind w:firstLine="708"/>
        <w:jc w:val="both"/>
      </w:pPr>
      <w:r w:rsidRPr="00544AB7">
        <w:t>Astfel, cu intenția de a-și fundamenta concluzia că raportările din Q4 2013 și Q1 2014 au reprezentat veritabile practici concertate prin schimbarea unor informații sensibile precum cantitățile viitoare, Consiliul face trimitere la Decizia autorității de concurență din Italia în Cauza I811, menționată în Decizie la paginile 67, 91, 144 și 182.</w:t>
      </w:r>
    </w:p>
    <w:p w:rsidRPr="00544AB7" w:rsidR="00D41C6E">
      <w:pPr>
        <w:ind w:firstLine="708"/>
        <w:jc w:val="both"/>
      </w:pPr>
      <w:r w:rsidRPr="00544AB7">
        <w:t xml:space="preserve">Înainte de a surprinde diferențele dintre faptele sancționate de Consiliul Concurenței și cele sancționate de autoritatea de concurență din Italia, subliniază că Tribunalul Administrativ Regional a anulat decizia autorității de concurență din Italia , atât pe considerente procedurale, cât și pe motive de fond. Tribunalul Administrativ Regional a reținut în decizia sa că autoritatea de concurență nu a furnizat suficiente dovezi care să ateste că faptele societăților sancționate au fost într-adevăr capabile să afecteze în mod semnificativ concurența, astfel că nu poate fi considerată o încălcare “prin obiect”. Mai mult decât atât, instanța a reținut că autoritatea de concurență nu a analizat contextul economic și juridic al pieței în care presupusa încălcare a avut loc așa cum prevede jurisprudența CJUE, pentru a stabili </w:t>
      </w:r>
      <w:r w:rsidRPr="00544AB7">
        <w:t>potențialul efect negativ al faptelor asupra concurenței. Așadar, decizia autorității din Italia, în mod similar deciziei autorității din Franța, amintită mai sus, urmează jurisprudența CJUE cu privire la noțiunea de încălcare „prin obiect”.</w:t>
      </w:r>
    </w:p>
    <w:p w:rsidRPr="00544AB7" w:rsidR="00D41C6E">
      <w:pPr>
        <w:ind w:firstLine="708"/>
        <w:jc w:val="both"/>
      </w:pPr>
      <w:r w:rsidRPr="00544AB7">
        <w:t xml:space="preserve">Chiar și în situația în care decizia autorității de concurență din Italia nu ar fi fost anulată de către instanța de judecată competentă, considerăm că există diferențe semnificative între faptele sancționate prin acea decizie și cele sancționate de Consiliul Concurenței. </w:t>
      </w:r>
    </w:p>
    <w:p w:rsidRPr="00544AB7" w:rsidR="00D41C6E">
      <w:pPr>
        <w:ind w:firstLine="708"/>
        <w:jc w:val="both"/>
      </w:pPr>
      <w:r w:rsidRPr="00544AB7">
        <w:t>Așadar, o citire cu atenție a cazului din Italia relevă faptul că investigația autorității de concurență din Italia  a vizat un cartel unic, complex, continuu, care implica schimbul de informații sensibile privind cantitățile și prețurile curente și viitoare, pe piața finanțării auto din Italia, între zece bănci captive active pe piața italiană pentru creditul de consum și leasing financiar de mașini (vânzarea  de vehicule cu ajutorul unor produse financiare) prin contacte directe bi- și multilaterale, precum și indirect, prin intermediul a două asociații sectoriale, între 2003 și 2017. Informațiile schimbate au fost puternic individualizate de către operatori, în multe cazuri chiar după marcă și în funcție de modelul auto specific. După cum este menționat și în Decizie, în Cauza I811 părțile implicate au împărtășit informații despre: prețuri practicate și cantități:</w:t>
      </w:r>
    </w:p>
    <w:p w:rsidRPr="00544AB7" w:rsidR="00D41C6E">
      <w:pPr>
        <w:ind w:firstLine="708"/>
        <w:jc w:val="both"/>
      </w:pPr>
      <w:r w:rsidRPr="00544AB7">
        <w:t>i.</w:t>
      </w:r>
      <w:r w:rsidRPr="00544AB7">
        <w:tab/>
        <w:t>Prețuri (de ex: ratele dobânzii anuale minime, medii și maxime aplicate dealerilor și consumatorilor de mașini, cheltuieli suplimentare și comisioane aplicate clienților finali, dealerilor și altor persoane, suma minimă și maximă finanțată, valori reziduale pentru contracte de leasing);</w:t>
      </w:r>
    </w:p>
    <w:p w:rsidRPr="00544AB7" w:rsidR="00D41C6E">
      <w:pPr>
        <w:ind w:firstLine="708"/>
        <w:jc w:val="both"/>
      </w:pPr>
      <w:r w:rsidRPr="00544AB7">
        <w:t>ii.</w:t>
      </w:r>
      <w:r w:rsidRPr="00544AB7">
        <w:tab/>
        <w:t>Cantități, respectiv volumul produselor financiare și volumul de mașini vândute (ajustat pentru mașinile închiriate); rata de penetrare (adică ponderea mașinilor finanțate din totalul mașinilor vândute de grupul părinte); rata de acceptare a produselor de finanțare (cu nivelul de risc este asumat): „cantități sau volume de vânzări, diferențiate pe contracte de împrumut și contracte de leasing, între bunuri noi și folosite (second hand), cu specificarea numărului de contracte cd. „in campagna” (adică cu o contribuție, chiar și minimă, de la compania-mamă sau de la dealer) și a celor cu o rată finală maximă, numărul de mașini vândute (și anume atât date oficiale, cât și „Vânzări ajustate”, și anume numărul de mașini net și în chirie), procentul de „penetrare” (adică procentul de mașini finanțate în totalul autoturismelor „finanțabile” vândute) și numărul de contracte de asigurare oferite de băncile captive”.</w:t>
      </w:r>
    </w:p>
    <w:p w:rsidRPr="00544AB7" w:rsidR="00D41C6E">
      <w:pPr>
        <w:ind w:firstLine="708"/>
        <w:jc w:val="both"/>
      </w:pPr>
      <w:r w:rsidRPr="00544AB7">
        <w:t xml:space="preserve">Este important de menționat faptul că, spre deosebire de schimbul de informații analizat de Consiliul Concurenței, în Cauza I811 autoritatea de concurență din Italia a susținut că datele au putut să fie utilizate de părțile investigate pentru definirea bugetului anual și a planului de marketing ca urmare (i) a multitudinii de informații, atât de natura prețurilor, cât și de natura cantităților, dar și (ii) de intervalul pe care s-a întins acest schimb de informații, respectiv 2003-2017. </w:t>
      </w:r>
    </w:p>
    <w:p w:rsidRPr="00544AB7" w:rsidR="00D41C6E">
      <w:pPr>
        <w:ind w:firstLine="708"/>
        <w:jc w:val="both"/>
      </w:pPr>
      <w:r w:rsidRPr="00544AB7">
        <w:t xml:space="preserve">În ceea ce privește faptele ce au fost sancționate de Consiliul Concurenței, , nu doar că datele nu se referă la prețuri, fiind vorba doar de eventuale estimări grosiere ale valorilor ce ar fi urmat să fie finanțate, dar acestea au fost transmise numai cu privire la anul 2014 și doar de un număr extrem de limitat de companii concurente. Or, diferențele dintre speța din Italia invocată de Consiliu și cazul nostru concret este evidentă, cele două situații neputând suporta comparație. </w:t>
      </w:r>
    </w:p>
    <w:p w:rsidRPr="00544AB7" w:rsidR="00D41C6E">
      <w:pPr>
        <w:ind w:firstLine="708"/>
        <w:jc w:val="both"/>
      </w:pPr>
      <w:r w:rsidRPr="00544AB7">
        <w:t>De asemenea, Consiliul invocă în sprijinul concluziilor sale Decizia autorității de concurență din Portugalia în Cauza PRC/2012/9, menționată în Decizie la paginile 68, 91 și 223 (nota de subsol). Ca și în cazul speței din Italia mai sus prezentate, practica anticoncurențială investigată de autoritatea de concurență din Portugalia diferă substanțial de cazul de faţă concret, Consiliul Concurenței neaplecându-se nici de această dată asupra detaliilor care fac diferența între un comportament și altul.</w:t>
      </w:r>
    </w:p>
    <w:p w:rsidRPr="00544AB7" w:rsidR="00D41C6E">
      <w:pPr>
        <w:ind w:firstLine="708"/>
        <w:jc w:val="both"/>
      </w:pPr>
      <w:r w:rsidRPr="00544AB7">
        <w:t xml:space="preserve">În primul rând, investigația autorității de concurență din Portugalia a vizat un schimb de informații sensibile prin contacte directe între un număr mare de concurenți, mai exact între 14 bănci, pe o perioadă îndelungată de timp, mai exact pentru mai bine de 10 ani, între 2002 și 2013. Băncile care au participat la practica concertată schimbau informații sensibile cu privire la ofertele lor de produse de creditare în retail banking, respectiv ipoteci și produse de creditare pentru consumatori și pentru întreprinderi mici și mijlocii. Astfel, fiecare bancă furniza celorlalte bănci informații privind ofertele lor comerciale, de exemplu marjele ce urmează să fie aplicate în viitorul apropiat cu privire la creditele ipotecare sau volumul creditelor efectuate în lunile anterioare, informații care altfel nu ar fi fost disponibile concurenților. </w:t>
      </w:r>
    </w:p>
    <w:p w:rsidRPr="00544AB7" w:rsidR="00D41C6E">
      <w:pPr>
        <w:ind w:firstLine="708"/>
        <w:jc w:val="both"/>
      </w:pPr>
      <w:r w:rsidRPr="00544AB7">
        <w:t xml:space="preserve">Așadar, comportamentul incriminat de autoritatea de concurență din Portugalia, respectiv schimbul de informații sensibile care ar fi condus la o practică concertată,  a avut o durată mult mai mare de timp (10 ani) față de ce se reproșează membrilor </w:t>
      </w:r>
      <w:r w:rsidRPr="00544AB7" w:rsidR="0075748D">
        <w:t>...W*...</w:t>
      </w:r>
      <w:r w:rsidRPr="00544AB7">
        <w:t xml:space="preserve"> în cazul de față (10 luni). Totodată, schimbul de informații investigat de autoritatea de concurență din Portugalia a presupus de asemenea schimburi directe inclusiv cu privire la marjele ce urmau a fi practicate de băncile concurente pentru diferite categorii de produse, fapt ce transparentiza în mod evident piața în privința comportamentelor viitoare ale concurenților și facilita astfel coordonarea în privința politicilor de preț prin cunoașterea în avans a ofertelor de preț ale băncilor concurente.</w:t>
      </w:r>
    </w:p>
    <w:p w:rsidRPr="00544AB7" w:rsidR="00D41C6E">
      <w:pPr>
        <w:ind w:firstLine="708"/>
        <w:jc w:val="both"/>
      </w:pPr>
      <w:r w:rsidRPr="00544AB7">
        <w:t>Or, în ceea ce privește faptele ce fac obiectul Deciziei, nu doar că datele se referă la estimări grosiere  ale valorilor ce ar fi urmat să fie finanțate de câteva dintre societățile de leasing, fără să fie indicate intenții cu privire la marjele / dobânzile ori comisioanele ce ar fi urmat să fie practicate în această perioadă, dar acestea au fost transmise numai cu privire la anul 2014. În plus, merită reținută abordarea echilibrată avută de autoritatea de concurență din Portugalia care a decis să nu aplice vreo sancțiune uneia dintre băncile investigate, ca urmare a faptului că aceasta a dovedit că a pus capăt încălcării cu mult timp înainte de încetarea faptei de către celelalte bănci. Dacă tot echipa de investigație a ținut să invoce în Decizie această speță, pentru identitate de rațiune, considerăm că Consiliului Concurenței nu ar fi trebui să aplice de fapt nicio sancțiune Reclamantei, având în vedere caracterul extrem de limitat al presupusului schimb de informații sensibile, ceea ce înseamnă lipsa oricărei intenții ori posibilități de  coordonare.  Subliniază de asemenea că 12 dintre cele 14 societăți sancționate au contestat decizia autorității de concurență din Portugalia, solicitând anularea deciziei ca urmare a lipsei analizei contextului economic și juridic, așa cum prevede jurisprudența CJUE. Instanța competentă urmează să se pronunțe în acest an cu privire la admisibilitatea acțiunii societăților sancționate.</w:t>
      </w:r>
    </w:p>
    <w:p w:rsidRPr="00544AB7" w:rsidR="00D41C6E">
      <w:pPr>
        <w:ind w:firstLine="708"/>
        <w:jc w:val="both"/>
      </w:pPr>
      <w:r w:rsidRPr="00544AB7">
        <w:t>IV.5.</w:t>
      </w:r>
      <w:r w:rsidRPr="00544AB7">
        <w:tab/>
        <w:t>Consiliul Concurenței nu a analizat potențialele efecte restrictive ale schimbului de informații asupra concurenței</w:t>
      </w:r>
    </w:p>
    <w:p w:rsidRPr="00544AB7" w:rsidR="00D41C6E">
      <w:pPr>
        <w:ind w:firstLine="708"/>
        <w:jc w:val="both"/>
      </w:pPr>
      <w:r w:rsidRPr="00544AB7">
        <w:t>În măsura în care nu se poate constata o restrângere a concurenței “prin obiect”, se impune analiza practicilor presupus a fi anticoncurențiale din perspectiva efectelor pe care le au asupra concurenței. Așadar, în vederea analizării gradului de afectare a concurenței de pe piața relevantă prin schimbul de informații sancționat de Consiliul Concurenței, potențialul de coluziune și utilizarea strategică a datelor trebuie apreciați în concret, prin prisma următorilor factori recomandați de Orientări:</w:t>
      </w:r>
    </w:p>
    <w:p w:rsidRPr="00544AB7" w:rsidR="00D41C6E">
      <w:pPr>
        <w:ind w:firstLine="708"/>
        <w:jc w:val="both"/>
      </w:pPr>
      <w:r w:rsidRPr="00544AB7">
        <w:t>i.</w:t>
      </w:r>
      <w:r w:rsidRPr="00544AB7">
        <w:tab/>
        <w:t>Caracteristicile pieței</w:t>
      </w:r>
    </w:p>
    <w:p w:rsidRPr="00544AB7" w:rsidR="00D41C6E">
      <w:pPr>
        <w:ind w:firstLine="708"/>
        <w:jc w:val="both"/>
      </w:pPr>
      <w:r w:rsidRPr="00544AB7">
        <w:t>ii.</w:t>
      </w:r>
      <w:r w:rsidRPr="00544AB7">
        <w:tab/>
        <w:t>Caracteristicile schimbului de informații</w:t>
      </w:r>
    </w:p>
    <w:p w:rsidRPr="00544AB7" w:rsidR="00D41C6E">
      <w:pPr>
        <w:ind w:firstLine="708"/>
        <w:jc w:val="both"/>
      </w:pPr>
      <w:r w:rsidRPr="00544AB7">
        <w:t>a.</w:t>
      </w:r>
      <w:r w:rsidRPr="00544AB7">
        <w:tab/>
        <w:t>Caracterul datelor schimbate;</w:t>
      </w:r>
    </w:p>
    <w:p w:rsidRPr="00544AB7" w:rsidR="00D41C6E">
      <w:pPr>
        <w:ind w:firstLine="708"/>
        <w:jc w:val="both"/>
      </w:pPr>
      <w:r w:rsidRPr="00544AB7">
        <w:t>b.</w:t>
      </w:r>
      <w:r w:rsidRPr="00544AB7">
        <w:tab/>
        <w:t>Nivelul de acoperire a pieței;</w:t>
      </w:r>
    </w:p>
    <w:p w:rsidRPr="00544AB7" w:rsidR="00D41C6E">
      <w:pPr>
        <w:ind w:firstLine="708"/>
        <w:jc w:val="both"/>
      </w:pPr>
      <w:r w:rsidRPr="00544AB7">
        <w:t>c.</w:t>
      </w:r>
      <w:r w:rsidRPr="00544AB7">
        <w:tab/>
        <w:t>Caracterul cumulat/individualizat al datelor;</w:t>
      </w:r>
    </w:p>
    <w:p w:rsidRPr="00544AB7" w:rsidR="00D41C6E">
      <w:pPr>
        <w:ind w:firstLine="708"/>
        <w:jc w:val="both"/>
      </w:pPr>
      <w:r w:rsidRPr="00544AB7">
        <w:t>d.</w:t>
      </w:r>
      <w:r w:rsidRPr="00544AB7">
        <w:tab/>
        <w:t>Vechimea datelor;</w:t>
      </w:r>
    </w:p>
    <w:p w:rsidRPr="00544AB7" w:rsidR="00D41C6E">
      <w:pPr>
        <w:ind w:firstLine="708"/>
        <w:jc w:val="both"/>
      </w:pPr>
      <w:r w:rsidRPr="00544AB7">
        <w:t>e.</w:t>
      </w:r>
      <w:r w:rsidRPr="00544AB7">
        <w:tab/>
        <w:t>Frecvența schimbului de informații;</w:t>
      </w:r>
    </w:p>
    <w:p w:rsidRPr="00544AB7" w:rsidR="00D41C6E">
      <w:pPr>
        <w:ind w:firstLine="708"/>
        <w:jc w:val="both"/>
      </w:pPr>
      <w:r w:rsidRPr="00544AB7">
        <w:t>f.</w:t>
      </w:r>
      <w:r w:rsidRPr="00544AB7">
        <w:tab/>
        <w:t>Caracterul public/secret al datelor schimbate;</w:t>
      </w:r>
    </w:p>
    <w:p w:rsidRPr="00544AB7" w:rsidR="00D41C6E">
      <w:pPr>
        <w:ind w:firstLine="708"/>
        <w:jc w:val="both"/>
      </w:pPr>
      <w:r w:rsidRPr="00544AB7">
        <w:t>g.</w:t>
      </w:r>
      <w:r w:rsidRPr="00544AB7">
        <w:tab/>
        <w:t>Caracterul public/secret al schimbului de informații.</w:t>
      </w:r>
    </w:p>
    <w:p w:rsidRPr="00544AB7" w:rsidR="00D41C6E">
      <w:pPr>
        <w:ind w:firstLine="708"/>
        <w:jc w:val="both"/>
      </w:pPr>
      <w:r w:rsidRPr="00544AB7">
        <w:t xml:space="preserve">Schimbul / accesarea izolată / sporadică (2 trimestre) de către un număr restrâns de companii membre </w:t>
      </w:r>
      <w:r w:rsidRPr="00544AB7" w:rsidR="0075748D">
        <w:t>...W*...</w:t>
      </w:r>
      <w:r w:rsidRPr="00544AB7">
        <w:t xml:space="preserve"> a unor informații precum estimări ale valorilor nou finanțate nu ar fi fost suficientă pentru a se ajunge la o coordonare a comportamentelor.</w:t>
      </w:r>
    </w:p>
    <w:p w:rsidRPr="00544AB7" w:rsidR="00D41C6E">
      <w:pPr>
        <w:ind w:firstLine="708"/>
        <w:jc w:val="both"/>
      </w:pPr>
      <w:r w:rsidRPr="00544AB7">
        <w:t>Analiza caracteristicilor pieței, în acord cu prevederile Orientărilor Comisiei</w:t>
      </w:r>
    </w:p>
    <w:p w:rsidRPr="00544AB7" w:rsidR="00D41C6E">
      <w:pPr>
        <w:ind w:firstLine="708"/>
        <w:jc w:val="both"/>
      </w:pPr>
      <w:r w:rsidRPr="00544AB7">
        <w:t>Cu titlu preliminar, precizează că o coluziune a părților este mai probabilă atunci când piața este suficient de transparentă, concentrată, necomplexă, stabilă și simetrică. Totuși, impactul schimbului de informații asupra concurenței nu depinde doar de caracteristicile inițiale ale pieței pe care se produce, ci și de felul în care tipul de informații care fac obiectul schimbului poate modifica aceste caracteristici.</w:t>
      </w:r>
    </w:p>
    <w:p w:rsidRPr="00544AB7" w:rsidR="00D41C6E">
      <w:pPr>
        <w:ind w:firstLine="708"/>
        <w:jc w:val="both"/>
      </w:pPr>
      <w:r w:rsidRPr="00544AB7">
        <w:t>În cele ce urmează va analiza caracteristicile pieței relevante reținute de Consiliu, pentru a arăta că un eventual schimb de informații pe acea piață nu avea potențialul de coluziune a părților.</w:t>
      </w:r>
    </w:p>
    <w:p w:rsidRPr="00544AB7" w:rsidR="00D41C6E">
      <w:pPr>
        <w:ind w:firstLine="708"/>
        <w:jc w:val="both"/>
      </w:pPr>
      <w:r w:rsidRPr="00544AB7">
        <w:t>Transparența – un schimb de informații care are o contribuție scăzută la transparența pe piață este mai puțin susceptibil să aibă efecte restrictive asupra concurenței decât un schimb de informații care mărește în mod semnificativ nivelul de transparență. Prin urmare, combinația dintre nivelul de transparență preexistent și felul în care schimbul de informații modifică acest nivel este cea care va determina probabilitatea ca un schimb de informații să aibă efecte restrictive asupra concurenței. În cazul de față, informațiile constând în “valoarea estimată” nu avea potențialul de a transparentiza piața.</w:t>
      </w:r>
    </w:p>
    <w:p w:rsidRPr="00544AB7" w:rsidR="00D41C6E">
      <w:pPr>
        <w:ind w:firstLine="708"/>
        <w:jc w:val="both"/>
      </w:pPr>
      <w:r w:rsidRPr="00544AB7">
        <w:t>Structura pieței – o coluziune este mai durabilă dacă este realizată între mai puține societăți. Astfel, oligopolurile restrânse pot facilita realizarea unei coluziuni pe piață întrucât este mai ușor pentru un număr mai mic de societăți să ajungă la o înțelegere comună asupra condițiilor coordonării și să monitorizeze abaterile. Pe de altă parte, în cazul în care mai multe societăți se coordonează, câștigurile rezultate în urma coluziunii sunt mai reduse întrucât, cu cât numărul societăților este mai important, partea care îi revine fiecăreia în urma coluziunii este mai redusă. Așadar, este cunoscut faptul că schimburile de informații în oligopolurile restrânse au potențialul de a produce efecte restrictive asupra concurenței față de oligopolurile mai puțin restrânse, în timp ce pe piețele foarte fragmentate, cum este cazul pieței de leasing financiar analizate de Consiliul Concurenței, nu este probabil ca schimburile de informații să producă astfel de efecte restrictive asupra concurenței.</w:t>
      </w:r>
    </w:p>
    <w:p w:rsidRPr="00544AB7" w:rsidR="00D41C6E">
      <w:pPr>
        <w:ind w:firstLine="708"/>
        <w:jc w:val="both"/>
      </w:pPr>
      <w:r w:rsidRPr="00544AB7">
        <w:t>Stabilitatea pieței – într-o piață cum este cea a leasingului financiar, cu bariere scăzute la intrarea pe piață, potențialul de coordonare a părților este extrem de scăzut.</w:t>
      </w:r>
    </w:p>
    <w:p w:rsidRPr="00544AB7" w:rsidR="00D41C6E">
      <w:pPr>
        <w:ind w:firstLine="708"/>
        <w:jc w:val="both"/>
      </w:pPr>
      <w:r w:rsidRPr="00544AB7">
        <w:t xml:space="preserve">Complexitatea pieței – o coluziune este dificil de realizat într-un mediu de piață complex, pentru a ajunge la o înțelegere comună asupra condițiilor coordonării și pentru monitorizarea abaterilor fiind nevoie de un schimb cu informații complex, cu privire la mai multe elemente. </w:t>
      </w:r>
    </w:p>
    <w:p w:rsidRPr="00544AB7" w:rsidR="00D41C6E">
      <w:pPr>
        <w:ind w:firstLine="708"/>
        <w:jc w:val="both"/>
      </w:pPr>
      <w:r w:rsidRPr="00544AB7">
        <w:t>Simetria pieței – probabilitatea ca societățile investigate să ajungă la o înțelegere comună privind condițiile coordonării ar fi fost posibilă dacă ar fi existat o omogenitate în ceea ce privește costurile, cererea, cotele de piață, gama de produse, capacitățile, etc., aspecte care în cazul de față nu sunt îndeplinite.</w:t>
      </w:r>
    </w:p>
    <w:p w:rsidRPr="00544AB7" w:rsidR="00D41C6E">
      <w:pPr>
        <w:ind w:firstLine="708"/>
        <w:jc w:val="both"/>
      </w:pPr>
      <w:r w:rsidRPr="00544AB7">
        <w:t>Analiza caracteristicilor schimbului de informații</w:t>
      </w:r>
    </w:p>
    <w:p w:rsidRPr="00544AB7" w:rsidR="00D41C6E">
      <w:pPr>
        <w:ind w:firstLine="708"/>
        <w:jc w:val="both"/>
      </w:pPr>
      <w:r w:rsidRPr="00544AB7">
        <w:t>În ceea ce privește caracteristicile schimbului de informații, o serie de factori trebuie analizați pentru a verifica dacă un schimb de informații este susceptibil să aibă efecte restrictive asupra concurenței.  Îşi concentrează atenția asupra a trei dintre cei mai importanți factori, și anume caracterul datelor schimbate, nivelul de acoperire a pieței și frecvența cu care erau schimbate datele / informațiile considerate de Consiliu sensibile.</w:t>
      </w:r>
    </w:p>
    <w:p w:rsidRPr="00544AB7" w:rsidR="00D41C6E">
      <w:pPr>
        <w:ind w:firstLine="708"/>
        <w:jc w:val="both"/>
      </w:pPr>
      <w:r w:rsidRPr="00544AB7">
        <w:t>În primul rând, datele transmise sunt agregate, nedefalcate pe categorii de bunuri finanțate, de exemplu pe vehicule (noi sau second-hand), pe echipamente (noi sau second-</w:t>
      </w:r>
      <w:r w:rsidRPr="00544AB7">
        <w:t>hand) sau pe imobiliare (noi sau second-hand), ceea ce le face inutilizabile având în vedere multitudinea de produse ce puteau fi finanțate de oricare dintre companii, astfel că nu există o previzibilitate sau transparență cu privire la comportamentele viitoare ale societăților din piață.</w:t>
      </w:r>
    </w:p>
    <w:p w:rsidRPr="00544AB7" w:rsidR="00D41C6E">
      <w:pPr>
        <w:ind w:firstLine="708"/>
        <w:jc w:val="both"/>
      </w:pPr>
      <w:r w:rsidRPr="00544AB7">
        <w:t xml:space="preserve">În ceea ce privește nivelul de acoperire a pieței, subliniază că estimările nu au fost transmise de toți membrii </w:t>
      </w:r>
      <w:r w:rsidRPr="00544AB7" w:rsidR="0075748D">
        <w:t>...W*...</w:t>
      </w:r>
      <w:r w:rsidRPr="00544AB7">
        <w:t xml:space="preserve">, Consiliul reținând că atât pentru perioada aferentă Q4 2013, cât și pentru Q1 2014, doar 11 societăți din 28 au transmis acele estimări. Cu privire la societățile care conform Consiliului au primit aceste raportări, situația se prezintă astfel: pentru perioada Q4 2013 – 16 societăți din 28, iar pentru Q1 2014, 15 societăți din 28. Ținând cont că pentru ca un schimb de informații să fie susceptibil de a avea efecte restrictive asupra concurenței, societățile participante efectiv la schimb trebuie să acopere o parte suficient de mare din piața relevantă, considerăm că situația prezentată anterior, prin caracterul ei extrem de limitat atât în privința companiilor care au transmis date, dar și a companiilor care au accesat datele, nu poate fi reținută ca reprezentând o practică concertată, o coordonare anticoncurențială a comportamentelor viitoare privind cantitățile. </w:t>
      </w:r>
    </w:p>
    <w:p w:rsidRPr="00544AB7" w:rsidR="00D41C6E">
      <w:pPr>
        <w:ind w:firstLine="708"/>
        <w:jc w:val="both"/>
      </w:pPr>
      <w:r w:rsidRPr="00544AB7">
        <w:t xml:space="preserve">Realizarea coordonării anticoncurențiale, în lipsa unei înțelegeri explicite, necesită o anumită frecvență a interacțiunilor directe sau indirecte între concurenți, un anumit comportament repetitiv, pe o perioadă extinsă de timp, care să permită companiilor nu doar să conștientizeze poziționarea concurenților și intențiile lor, eliminând astfel incertitudinea, dar și să reacționeze în mod corespunzător în piață, prin acțiuni care să transpună în practică / în piață coordonarea anticoncurențială, de exemplu în privința prețurilor, a clienților, ori a volumelor urmărite. Așadar, schimbul de informații sensibile între concurenți poate avea un obiect anticoncurențial atunci când în concret acesta elimină incertitudinile legate de comportamentul viitor al companiilor concurente, conferind totodată confortul că participanții respectă / implementează coordonarea. </w:t>
      </w:r>
    </w:p>
    <w:p w:rsidRPr="00544AB7" w:rsidR="00D41C6E">
      <w:pPr>
        <w:ind w:firstLine="708"/>
        <w:jc w:val="both"/>
      </w:pPr>
      <w:r w:rsidRPr="00544AB7">
        <w:t xml:space="preserve">Potrivit jurisprudenței CJUE, “atât obiectul concertării, cât și circumstanțele proprii pieței explică frecvența, intervalele și modul în care concurenții intră în contact unii cu ceilalți pentru a conduce la o concertare a comportamentului lor pe piață” . Așadar, cu privire la frecvența unui schimb de informații, Curtea a reținut că doar dacă concertarea este punctuală și urmărește exclusiv armonizarea comportamentului pe piață în legătură cu un aspect izolat, o singură intrare în contact ar putea fi suficientă pentru a realiza scopul anticoncurențial urmărit de întreprinderile respective, în timp ce în cazul unui sistem complex de concertare, cu privire la un număr ridicat de aspecte ale comportamentului pe piață, întreprinderile ar avea nevoie de contacte regulate pe o perioadă lungă. </w:t>
      </w:r>
    </w:p>
    <w:p w:rsidRPr="00544AB7" w:rsidR="00D41C6E">
      <w:pPr>
        <w:ind w:firstLine="708"/>
        <w:jc w:val="both"/>
      </w:pPr>
      <w:r w:rsidRPr="00544AB7">
        <w:t xml:space="preserve">Raportat la faptele ce fac obiectul Deciziei, dacă părțile sancționate ar fi dorit într-adevăr să își coordoneze comportamentul pe piață prin punerea la dispoziția celorlalte societăți active pe piață a valorii pe care plănuiau să o finanțeze în viitor, acestea ar fi trebuit să se manifeste prin multiple acte materiale, nu doar prin transmiterea a două raportări care în concret vizau același an, respectiv anul 2014. Ce sens ar fi avut pentru companiile membre </w:t>
      </w:r>
      <w:r w:rsidRPr="00544AB7" w:rsidR="0075748D">
        <w:t>...W*...</w:t>
      </w:r>
      <w:r w:rsidRPr="00544AB7">
        <w:t xml:space="preserve"> să-și fi asumat riscul unui asemenea schimb de informații sensibile, fără să asigure și o implementare efectivă și riguroasă a coordonării? Mai mult, dacă societățile care au transmis aceste date ar fi avut intenția realizării unei coordonări, este evident că ar fi existat reacții la modul de centralizare și diseminare a acestor informații de către </w:t>
      </w:r>
      <w:r w:rsidRPr="00544AB7" w:rsidR="0018311F">
        <w:t>...X...</w:t>
      </w:r>
      <w:r w:rsidRPr="00544AB7">
        <w:t xml:space="preserve">; deși, pentru perioada aferenta Q1 2014 un număr de 15 societăți au transmis date, în centralizarea transmisă de către </w:t>
      </w:r>
      <w:r w:rsidRPr="00544AB7" w:rsidR="0018311F">
        <w:t>...X...</w:t>
      </w:r>
      <w:r w:rsidRPr="00544AB7">
        <w:t xml:space="preserve"> se regăsesc datele a doar 4 companii. În ipoteza unei coordonări, ar fi de așteptat ca măcar una dintre cele 11 companii care au transmis date, însă ale căror date nu se regăseau în centralizare, să solicite lămuriri/explicații ori să aibă o poziție critică.</w:t>
      </w:r>
    </w:p>
    <w:p w:rsidRPr="00544AB7" w:rsidR="00D41C6E">
      <w:pPr>
        <w:ind w:firstLine="708"/>
        <w:jc w:val="both"/>
      </w:pPr>
      <w:r w:rsidRPr="00544AB7">
        <w:t xml:space="preserve">Relevant este chiar emailul transmis de către </w:t>
      </w:r>
      <w:r w:rsidRPr="00544AB7" w:rsidR="00E87CB3">
        <w:t>...G.4...</w:t>
      </w:r>
      <w:r w:rsidRPr="00544AB7">
        <w:t xml:space="preserve"> în 07.03.2014 către </w:t>
      </w:r>
      <w:r w:rsidRPr="00544AB7" w:rsidR="0018311F">
        <w:t>...X...</w:t>
      </w:r>
      <w:r w:rsidRPr="00544AB7">
        <w:t xml:space="preserve"> din care rezultă că înțelegerea și intenția părților nu era aceea de a furniza informații privind </w:t>
      </w:r>
      <w:r w:rsidRPr="00544AB7">
        <w:t>volumul finanțărilor viitoare ale fiecărei companii de leasing, ci, mult mai probabil, de a realiza o estimare a valorii totale a pieței de leasing .</w:t>
      </w:r>
    </w:p>
    <w:p w:rsidRPr="00544AB7" w:rsidR="00D41C6E">
      <w:pPr>
        <w:ind w:firstLine="708"/>
        <w:jc w:val="both"/>
      </w:pPr>
      <w:r w:rsidRPr="00544AB7">
        <w:t>Sent: 07 March 2014 15:04</w:t>
      </w:r>
    </w:p>
    <w:p w:rsidRPr="00544AB7" w:rsidR="00D41C6E">
      <w:pPr>
        <w:ind w:firstLine="708"/>
        <w:jc w:val="both"/>
      </w:pPr>
      <w:r w:rsidRPr="00544AB7">
        <w:t xml:space="preserve">To: </w:t>
      </w:r>
      <w:r w:rsidRPr="00544AB7" w:rsidR="004C2395">
        <w:t>...T...</w:t>
      </w:r>
    </w:p>
    <w:p w:rsidRPr="00544AB7" w:rsidR="00D41C6E">
      <w:pPr>
        <w:ind w:firstLine="708"/>
        <w:jc w:val="both"/>
      </w:pPr>
      <w:r w:rsidRPr="00544AB7">
        <w:t xml:space="preserve">Cc: </w:t>
      </w:r>
      <w:r w:rsidRPr="00544AB7" w:rsidR="00201445">
        <w:t>...B.3...</w:t>
      </w:r>
      <w:r w:rsidRPr="00544AB7">
        <w:t>@</w:t>
      </w:r>
      <w:r w:rsidRPr="00544AB7" w:rsidR="00D91B7C">
        <w:t>......</w:t>
      </w:r>
      <w:r w:rsidRPr="00544AB7">
        <w:t>.ro</w:t>
      </w:r>
    </w:p>
    <w:p w:rsidRPr="00544AB7" w:rsidR="00D41C6E">
      <w:pPr>
        <w:ind w:firstLine="708"/>
        <w:jc w:val="both"/>
      </w:pPr>
      <w:r w:rsidRPr="00544AB7">
        <w:t>Subject: : Model raportare leasing ianuarie 2014</w:t>
      </w:r>
    </w:p>
    <w:p w:rsidRPr="00544AB7" w:rsidR="00D41C6E">
      <w:pPr>
        <w:ind w:firstLine="708"/>
        <w:jc w:val="both"/>
      </w:pPr>
      <w:r w:rsidRPr="00544AB7">
        <w:t>Buna ziua,</w:t>
      </w:r>
    </w:p>
    <w:p w:rsidRPr="00544AB7" w:rsidR="00D41C6E">
      <w:pPr>
        <w:ind w:firstLine="708"/>
        <w:jc w:val="both"/>
      </w:pPr>
      <w:r w:rsidRPr="00544AB7">
        <w:t xml:space="preserve">La primirea ultimului model de raport </w:t>
      </w:r>
      <w:r w:rsidRPr="00544AB7" w:rsidR="0075748D">
        <w:t>...W*...</w:t>
      </w:r>
      <w:r w:rsidRPr="00544AB7">
        <w:t xml:space="preserve"> am observat ca sunt diferente intre ce am propus noi, ca si model de raport ,si ce am primit, Modelul de raport primit pentru raportarea Q4/2013, este putin modificat dar nu contine toate propunerile propuse . Nici modelul de raportare lunar nu a fost adaptat la noile cerinte . </w:t>
      </w:r>
    </w:p>
    <w:p w:rsidRPr="00544AB7" w:rsidR="00D41C6E">
      <w:pPr>
        <w:ind w:firstLine="708"/>
        <w:jc w:val="both"/>
      </w:pPr>
      <w:r w:rsidRPr="00544AB7">
        <w:t>[...]</w:t>
      </w:r>
    </w:p>
    <w:p w:rsidRPr="00544AB7" w:rsidR="00D41C6E">
      <w:pPr>
        <w:ind w:firstLine="708"/>
        <w:jc w:val="both"/>
      </w:pPr>
      <w:r w:rsidRPr="00544AB7">
        <w:t xml:space="preserve">Pentru aceste informatii nu avem acordul managementului local pentru includerea in raportul </w:t>
      </w:r>
      <w:r w:rsidRPr="00544AB7" w:rsidR="0075748D">
        <w:t>...W*...</w:t>
      </w:r>
      <w:r w:rsidRPr="00544AB7">
        <w:t>.</w:t>
      </w:r>
    </w:p>
    <w:p w:rsidRPr="00544AB7" w:rsidR="00D41C6E">
      <w:pPr>
        <w:ind w:firstLine="708"/>
        <w:jc w:val="both"/>
      </w:pPr>
      <w:r w:rsidRPr="00544AB7">
        <w:t>Exceptia o reprezinta  "Estimare volum nou finantat pentru anul 2014 ", formularea corecta considerand a  fi "Estimare piata totala de leasing Romania ", ce va reprezenta estimarea totala  a pietei de leasing in Romania pentru 2014 ( fara imobiliare) -total pret CIP.</w:t>
      </w:r>
    </w:p>
    <w:p w:rsidRPr="00544AB7" w:rsidR="00D41C6E">
      <w:pPr>
        <w:ind w:firstLine="708"/>
        <w:jc w:val="both"/>
      </w:pPr>
      <w:r w:rsidRPr="00544AB7">
        <w:t>IV.6.</w:t>
      </w:r>
      <w:r w:rsidRPr="00544AB7">
        <w:tab/>
        <w:t xml:space="preserve">Pretinsele informații sensibile comercial (estimări valori nou finanțate) cuprinse în centralizatoarele Q4 2013, respectiv Q1 2014 erau total nerealiste și lipsite de credibilitate, neavând aptitudinea de a reduce incertitudinea întreprinderilor legată de comportamentul concurenților </w:t>
      </w:r>
    </w:p>
    <w:p w:rsidRPr="00544AB7" w:rsidR="00D41C6E">
      <w:pPr>
        <w:ind w:firstLine="708"/>
        <w:jc w:val="both"/>
      </w:pPr>
      <w:r w:rsidRPr="00544AB7">
        <w:t xml:space="preserve">Așa cum reiese din Decizie, presupusul schimb de informații are ca obiect estimările viitoare ale valorii finanțate de către fiecare membru </w:t>
      </w:r>
      <w:r w:rsidRPr="00544AB7" w:rsidR="0075748D">
        <w:t>...W*...</w:t>
      </w:r>
      <w:r w:rsidRPr="00544AB7">
        <w:t xml:space="preserve"> pentru anul 2014. Ținând cont că din Decizie rezultă că doar o parte dintre societățile de leasing membre </w:t>
      </w:r>
      <w:r w:rsidRPr="00544AB7" w:rsidR="0075748D">
        <w:t>...W*...</w:t>
      </w:r>
      <w:r w:rsidRPr="00544AB7">
        <w:t xml:space="preserve"> au raportat aceste estimări, va analiza în continuare doar aceste valori, din perspectiva aptitudinii acestora de determina un anumit comportament viitor pe piață, anume de a reduce incertitudinea legată de comportamentul avut în vedere de întreprinderile investigate.</w:t>
      </w:r>
    </w:p>
    <w:p w:rsidRPr="00544AB7" w:rsidR="00D41C6E">
      <w:pPr>
        <w:ind w:firstLine="708"/>
        <w:jc w:val="both"/>
      </w:pPr>
      <w:r w:rsidRPr="00544AB7">
        <w:t xml:space="preserve">În primul rând, informațiile privind estimările pretins incluse în raportările aferente Q4 2013 au fost obținute exclusiv de la </w:t>
      </w:r>
      <w:r w:rsidRPr="00544AB7" w:rsidR="0018311F">
        <w:t>...X...</w:t>
      </w:r>
      <w:r w:rsidRPr="00544AB7">
        <w:t xml:space="preserve">, fără a exista documente de confirmare la vreuna din societățile investigate, aceste informații neajungând vreodată la membrii </w:t>
      </w:r>
      <w:r w:rsidRPr="00544AB7" w:rsidR="0075748D">
        <w:t>...W*...</w:t>
      </w:r>
      <w:r w:rsidRPr="00544AB7">
        <w:t xml:space="preserve">. De asemenea, în ceea ce privește raportările Q1 2014,   estimările proveneau numai de la 4 companii. Nu există nicio probă care să demonstreze că </w:t>
      </w:r>
      <w:r w:rsidRPr="00544AB7" w:rsidR="00FC492C">
        <w:t>...Y*...</w:t>
      </w:r>
      <w:r w:rsidRPr="00544AB7">
        <w:t xml:space="preserve"> a primit vreuna dintre raportările care includ estimările în cauză, fiind imposibil să își adapteze comportamentul pe piață în funcție de acestea.  </w:t>
      </w:r>
    </w:p>
    <w:p w:rsidRPr="00544AB7" w:rsidR="00D41C6E">
      <w:pPr>
        <w:ind w:firstLine="708"/>
        <w:jc w:val="both"/>
      </w:pPr>
      <w:r w:rsidRPr="00544AB7">
        <w:t xml:space="preserve">În orice caz, o analiză atentă a informațiilor, estimărilor transmise de societățile membre </w:t>
      </w:r>
      <w:r w:rsidRPr="00544AB7" w:rsidR="0075748D">
        <w:t>...W*...</w:t>
      </w:r>
      <w:r w:rsidRPr="00544AB7">
        <w:t xml:space="preserve"> cu privire la valorile nou finanțate, ar  fi determinat Consiliul Concurenței să ajungă la concluzia că estimările respective, informațiile sensibile avute în vedere, erau grosiere, total nerealiste și lipsite de credibilitate. </w:t>
      </w:r>
    </w:p>
    <w:p w:rsidRPr="00544AB7" w:rsidR="00D41C6E">
      <w:pPr>
        <w:ind w:firstLine="708"/>
        <w:jc w:val="both"/>
      </w:pPr>
      <w:r w:rsidRPr="00544AB7">
        <w:t xml:space="preserve">Astfel, la această concluzie s-ar fi putut ajunge printr-o simplă analiză a modului în care fiecare din societățile membre </w:t>
      </w:r>
      <w:r w:rsidRPr="00544AB7" w:rsidR="0075748D">
        <w:t>...W*...</w:t>
      </w:r>
      <w:r w:rsidRPr="00544AB7">
        <w:t xml:space="preserve"> care au raportat respectivele valori nou finanțate au atins respectivele valori în anul 2014. Se poate observa astfel faptul că, în contextul în care la sfârșitul anului 2013, Comisia Europeană estimase că în 2014 România urma să aibă o creștere economică de aprox. 2,1% , societățile membre </w:t>
      </w:r>
      <w:r w:rsidRPr="00544AB7" w:rsidR="0075748D">
        <w:t>...W*...</w:t>
      </w:r>
      <w:r w:rsidRPr="00544AB7">
        <w:t xml:space="preserve"> care au raportat fie au estimat că vor avea creșteri spectaculoase (precum </w:t>
      </w:r>
      <w:r w:rsidRPr="00544AB7" w:rsidR="007604E8">
        <w:t>...G.2...</w:t>
      </w:r>
      <w:r w:rsidRPr="00544AB7">
        <w:t xml:space="preserve"> sau </w:t>
      </w:r>
      <w:bookmarkStart w:name="_Hlk236752698" w:id="9"/>
      <w:r w:rsidRPr="00544AB7" w:rsidR="006B371B">
        <w:t>...G.5...</w:t>
      </w:r>
      <w:r w:rsidRPr="00544AB7">
        <w:t xml:space="preserve"> Leasing</w:t>
      </w:r>
      <w:bookmarkEnd w:id="9"/>
      <w:r w:rsidRPr="00544AB7">
        <w:t xml:space="preserve">), fie au estimat că vor înregistra valori mai mici ale finanțărilor acordate (precum </w:t>
      </w:r>
      <w:r w:rsidRPr="00544AB7" w:rsidR="004C2395">
        <w:t>...Z...</w:t>
      </w:r>
      <w:r w:rsidRPr="00544AB7">
        <w:t xml:space="preserve"> sau </w:t>
      </w:r>
      <w:bookmarkStart w:name="_Hlk236752753" w:id="10"/>
      <w:r w:rsidRPr="00544AB7" w:rsidR="006B371B">
        <w:t>...G.6...</w:t>
      </w:r>
      <w:r w:rsidRPr="00544AB7">
        <w:t xml:space="preserve"> Leasing</w:t>
      </w:r>
      <w:bookmarkEnd w:id="10"/>
      <w:r w:rsidRPr="00544AB7">
        <w:t>).</w:t>
      </w:r>
    </w:p>
    <w:p w:rsidRPr="00544AB7" w:rsidR="00D41C6E">
      <w:pPr>
        <w:ind w:firstLine="708"/>
        <w:jc w:val="both"/>
      </w:pPr>
      <w:r w:rsidRPr="00544AB7">
        <w:t>(194)</w:t>
      </w:r>
      <w:r w:rsidRPr="00544AB7">
        <w:tab/>
        <w:t>Cu titlu de exemplu menționează că:</w:t>
      </w:r>
    </w:p>
    <w:p w:rsidRPr="00544AB7" w:rsidR="00D41C6E">
      <w:pPr>
        <w:ind w:firstLine="708"/>
        <w:jc w:val="both"/>
      </w:pPr>
      <w:r w:rsidRPr="00544AB7">
        <w:t>i.</w:t>
      </w:r>
      <w:r w:rsidRPr="00544AB7">
        <w:tab/>
      </w:r>
      <w:r w:rsidRPr="00544AB7" w:rsidR="007604E8">
        <w:t>...G.2...</w:t>
      </w:r>
      <w:r w:rsidRPr="00544AB7">
        <w:t xml:space="preserve"> a estimat că va acorda în 2014 finanțări de 30 mil. și a acordat de fapt în valoare de 4 mil. EUR, jumătate din valoarea finanțărilor din 2013 care au fost de 8,5 mil. EUR;</w:t>
      </w:r>
    </w:p>
    <w:p w:rsidRPr="00544AB7" w:rsidR="00D41C6E">
      <w:pPr>
        <w:ind w:firstLine="708"/>
        <w:jc w:val="both"/>
      </w:pPr>
      <w:r w:rsidRPr="00544AB7">
        <w:t>ii.</w:t>
      </w:r>
      <w:r w:rsidRPr="00544AB7">
        <w:tab/>
      </w:r>
      <w:r w:rsidRPr="00544AB7" w:rsidR="006B371B">
        <w:t>...G.5...</w:t>
      </w:r>
      <w:r w:rsidRPr="00544AB7">
        <w:t xml:space="preserve"> Leasing a estimat că va acorda în 2014 finanțări de 50 mil. EUR și a acordat de fapt în valoare de 11 mil. EUR, în timp ce în 2013 a acordat în sumă de 8,3 mil EUR;</w:t>
      </w:r>
    </w:p>
    <w:p w:rsidRPr="00544AB7" w:rsidR="00D41C6E">
      <w:pPr>
        <w:ind w:firstLine="708"/>
        <w:jc w:val="both"/>
      </w:pPr>
      <w:r w:rsidRPr="00544AB7">
        <w:t>iii.</w:t>
      </w:r>
      <w:r w:rsidRPr="00544AB7">
        <w:tab/>
      </w:r>
      <w:bookmarkStart w:name="_Hlk236752827" w:id="11"/>
      <w:r w:rsidRPr="00544AB7" w:rsidR="006B371B">
        <w:t>...G.7...</w:t>
      </w:r>
      <w:r w:rsidRPr="00544AB7">
        <w:t xml:space="preserve"> </w:t>
      </w:r>
      <w:bookmarkEnd w:id="11"/>
      <w:r w:rsidRPr="00544AB7">
        <w:t>a estimat că va acorda în 2014 finanțări de 45 mil. EUR și a acordat de fapt în valoare de 32 mil. EUR, în timp ce în 2013 a acordat în sumă de 38 mil. EUR;</w:t>
      </w:r>
    </w:p>
    <w:p w:rsidRPr="00544AB7" w:rsidR="00D41C6E">
      <w:pPr>
        <w:ind w:firstLine="708"/>
        <w:jc w:val="both"/>
      </w:pPr>
      <w:r w:rsidRPr="00544AB7">
        <w:t>iv.</w:t>
      </w:r>
      <w:r w:rsidRPr="00544AB7">
        <w:tab/>
      </w:r>
      <w:bookmarkStart w:name="_Hlk236752867" w:id="12"/>
      <w:r w:rsidRPr="00544AB7" w:rsidR="006B371B">
        <w:t>...G.8...</w:t>
      </w:r>
      <w:r w:rsidRPr="00544AB7" w:rsidR="00D91B7C">
        <w:t xml:space="preserve"> Leasing</w:t>
      </w:r>
      <w:r w:rsidRPr="00544AB7">
        <w:t xml:space="preserve"> </w:t>
      </w:r>
      <w:bookmarkEnd w:id="12"/>
      <w:r w:rsidRPr="00544AB7">
        <w:t>a estimat că va acorda în 2014 finanțări de 70 mil. EUR și a acordat de fapt în valoare de 53 mil. EUR, în timp ce în 2013 a acordat în sumă de 64 mil. EUR;</w:t>
      </w:r>
    </w:p>
    <w:p w:rsidRPr="00544AB7" w:rsidR="00D41C6E">
      <w:pPr>
        <w:ind w:firstLine="708"/>
        <w:jc w:val="both"/>
      </w:pPr>
      <w:r w:rsidRPr="00544AB7">
        <w:t>v.</w:t>
      </w:r>
      <w:r w:rsidRPr="00544AB7">
        <w:tab/>
      </w:r>
      <w:r w:rsidRPr="00544AB7" w:rsidR="004C2395">
        <w:t>...Z...</w:t>
      </w:r>
      <w:r w:rsidRPr="00544AB7">
        <w:t xml:space="preserve"> a estimat că va acorda în 2014 finanțări de 79 mil. EUR și a acordat de fapt în valoare de 100 mil. EUR, în timp ce în 2013 a acordat în sumă de 87 mil. EUR;</w:t>
      </w:r>
    </w:p>
    <w:p w:rsidRPr="00544AB7" w:rsidR="00D41C6E">
      <w:pPr>
        <w:ind w:firstLine="708"/>
        <w:jc w:val="both"/>
      </w:pPr>
      <w:r w:rsidRPr="00544AB7">
        <w:t>vi.</w:t>
      </w:r>
      <w:r w:rsidRPr="00544AB7">
        <w:tab/>
      </w:r>
      <w:bookmarkStart w:name="_Hlk236752933" w:id="13"/>
      <w:r w:rsidRPr="00544AB7" w:rsidR="006B371B">
        <w:t>...G.9...</w:t>
      </w:r>
      <w:r w:rsidRPr="00544AB7" w:rsidR="00D91B7C">
        <w:t>.</w:t>
      </w:r>
      <w:r w:rsidRPr="00544AB7">
        <w:t xml:space="preserve"> Leasing </w:t>
      </w:r>
      <w:bookmarkEnd w:id="13"/>
      <w:r w:rsidRPr="00544AB7">
        <w:t>a estimat că va acorda în 2014 finanțări de 104 mil. EUR și a acordat de fapt în valoare de 86 mil. EUR, în timp ce în 2013 a acordat în sumă de 56 mil. EUR;</w:t>
      </w:r>
    </w:p>
    <w:p w:rsidRPr="00544AB7" w:rsidR="00D41C6E">
      <w:pPr>
        <w:ind w:firstLine="708"/>
        <w:jc w:val="both"/>
      </w:pPr>
      <w:r w:rsidRPr="00544AB7">
        <w:t>vii.</w:t>
      </w:r>
      <w:r w:rsidRPr="00544AB7">
        <w:tab/>
      </w:r>
      <w:r w:rsidRPr="00544AB7" w:rsidR="006B371B">
        <w:t>...G.6...</w:t>
      </w:r>
      <w:r w:rsidRPr="00544AB7">
        <w:t xml:space="preserve"> Leasing a estimat că va acorda în 2014 finanțări de 205 mil. EUR și a acordat de fapt în valoare de 241 mil. EUR, în timp ce în 2013 a acordat în sumă de 245 mil. EUR.</w:t>
      </w:r>
    </w:p>
    <w:p w:rsidRPr="00544AB7" w:rsidR="00D41C6E">
      <w:pPr>
        <w:ind w:firstLine="708"/>
        <w:jc w:val="both"/>
      </w:pPr>
      <w:r w:rsidRPr="00544AB7">
        <w:t>Societate</w:t>
      </w:r>
      <w:r w:rsidRPr="00544AB7">
        <w:tab/>
        <w:t>Valoare finanțată în 2013 (mil. EUR)</w:t>
      </w:r>
      <w:r w:rsidRPr="00544AB7">
        <w:tab/>
        <w:t>Valoare estimată pentru 2014 (mil. EUR)</w:t>
      </w:r>
      <w:r w:rsidRPr="00544AB7">
        <w:tab/>
        <w:t>Valoare finanțată în 2014 (mil. EUR)</w:t>
      </w:r>
      <w:r w:rsidRPr="00544AB7">
        <w:tab/>
        <w:t>Estimări 2014 vs. Finanțări 2014</w:t>
      </w:r>
    </w:p>
    <w:p w:rsidRPr="00544AB7" w:rsidR="00D41C6E">
      <w:pPr>
        <w:ind w:firstLine="708"/>
        <w:jc w:val="both"/>
      </w:pPr>
      <w:r w:rsidRPr="00544AB7">
        <w:t>...G.2...</w:t>
      </w:r>
      <w:r w:rsidRPr="00544AB7" w:rsidR="00914311">
        <w:tab/>
        <w:t>8,46</w:t>
      </w:r>
      <w:r w:rsidRPr="00544AB7" w:rsidR="00914311">
        <w:tab/>
        <w:t>30</w:t>
      </w:r>
      <w:r w:rsidRPr="00544AB7" w:rsidR="00914311">
        <w:tab/>
        <w:t>4,06</w:t>
      </w:r>
      <w:r w:rsidRPr="00544AB7" w:rsidR="00914311">
        <w:tab/>
        <w:t>de 7,4 ori mai mici</w:t>
      </w:r>
    </w:p>
    <w:p w:rsidRPr="00544AB7" w:rsidR="00D41C6E">
      <w:pPr>
        <w:ind w:firstLine="708"/>
        <w:jc w:val="both"/>
      </w:pPr>
      <w:r w:rsidRPr="00544AB7">
        <w:t>...G.5...</w:t>
      </w:r>
      <w:r w:rsidRPr="00544AB7" w:rsidR="00914311">
        <w:t xml:space="preserve"> Leasing</w:t>
      </w:r>
      <w:r w:rsidRPr="00544AB7" w:rsidR="00914311">
        <w:tab/>
        <w:t>8,32</w:t>
      </w:r>
      <w:r w:rsidRPr="00544AB7" w:rsidR="00914311">
        <w:tab/>
        <w:t>50</w:t>
      </w:r>
      <w:r w:rsidRPr="00544AB7" w:rsidR="00914311">
        <w:tab/>
        <w:t>11,14</w:t>
      </w:r>
      <w:r w:rsidRPr="00544AB7" w:rsidR="00914311">
        <w:tab/>
        <w:t>de 4,5 ori mai mici</w:t>
      </w:r>
    </w:p>
    <w:p w:rsidRPr="00544AB7" w:rsidR="00D41C6E">
      <w:pPr>
        <w:ind w:firstLine="708"/>
        <w:jc w:val="both"/>
      </w:pPr>
      <w:r w:rsidRPr="00544AB7">
        <w:t>...G.7...</w:t>
      </w:r>
      <w:r w:rsidRPr="00544AB7" w:rsidR="00D91B7C">
        <w:t xml:space="preserve"> Leasing</w:t>
      </w:r>
      <w:r w:rsidRPr="00544AB7" w:rsidR="00914311">
        <w:tab/>
        <w:t>38,24</w:t>
      </w:r>
      <w:r w:rsidRPr="00544AB7" w:rsidR="00914311">
        <w:tab/>
        <w:t>45</w:t>
      </w:r>
      <w:r w:rsidRPr="00544AB7" w:rsidR="00914311">
        <w:tab/>
        <w:t>32,7</w:t>
      </w:r>
      <w:r w:rsidRPr="00544AB7" w:rsidR="00914311">
        <w:tab/>
        <w:t>de 1,4 ori mai mici</w:t>
      </w:r>
    </w:p>
    <w:p w:rsidRPr="00544AB7" w:rsidR="00D41C6E">
      <w:pPr>
        <w:ind w:firstLine="708"/>
        <w:jc w:val="both"/>
      </w:pPr>
      <w:r w:rsidRPr="00544AB7">
        <w:t>...G.8...</w:t>
      </w:r>
      <w:r w:rsidRPr="00544AB7" w:rsidR="00D91B7C">
        <w:t xml:space="preserve"> Leasing</w:t>
      </w:r>
      <w:r w:rsidRPr="00544AB7" w:rsidR="00914311">
        <w:tab/>
        <w:t>64,36</w:t>
      </w:r>
      <w:r w:rsidRPr="00544AB7" w:rsidR="00914311">
        <w:tab/>
        <w:t>70,06</w:t>
      </w:r>
      <w:r w:rsidRPr="00544AB7" w:rsidR="00914311">
        <w:tab/>
        <w:t>53,03</w:t>
      </w:r>
      <w:r w:rsidRPr="00544AB7" w:rsidR="00914311">
        <w:tab/>
        <w:t>de 1,3 ori mai mici</w:t>
      </w:r>
    </w:p>
    <w:p w:rsidRPr="00544AB7" w:rsidR="00D41C6E">
      <w:pPr>
        <w:ind w:firstLine="708"/>
        <w:jc w:val="both"/>
      </w:pPr>
      <w:r w:rsidRPr="00544AB7">
        <w:t>...Z...</w:t>
      </w:r>
      <w:r w:rsidRPr="00544AB7" w:rsidR="00914311">
        <w:tab/>
        <w:t>87,19</w:t>
      </w:r>
      <w:r w:rsidRPr="00544AB7" w:rsidR="00914311">
        <w:tab/>
        <w:t>79,3</w:t>
      </w:r>
      <w:r w:rsidRPr="00544AB7" w:rsidR="00914311">
        <w:tab/>
        <w:t>100,74</w:t>
      </w:r>
      <w:r w:rsidRPr="00544AB7" w:rsidR="00914311">
        <w:tab/>
        <w:t>de 1,3 ori mai mari</w:t>
      </w:r>
    </w:p>
    <w:p w:rsidRPr="00544AB7" w:rsidR="00D41C6E">
      <w:pPr>
        <w:ind w:firstLine="708"/>
        <w:jc w:val="both"/>
      </w:pPr>
      <w:r w:rsidRPr="00544AB7">
        <w:t>...G.9...</w:t>
      </w:r>
      <w:r w:rsidRPr="00544AB7" w:rsidR="00D91B7C">
        <w:t>.</w:t>
      </w:r>
      <w:r w:rsidRPr="00544AB7" w:rsidR="00914311">
        <w:t xml:space="preserve"> Leasing</w:t>
      </w:r>
      <w:r w:rsidRPr="00544AB7" w:rsidR="00914311">
        <w:tab/>
        <w:t>56,03</w:t>
      </w:r>
      <w:r w:rsidRPr="00544AB7" w:rsidR="00914311">
        <w:tab/>
        <w:t>104</w:t>
      </w:r>
      <w:r w:rsidRPr="00544AB7" w:rsidR="00914311">
        <w:tab/>
        <w:t>86,06</w:t>
      </w:r>
      <w:r w:rsidRPr="00544AB7" w:rsidR="00914311">
        <w:tab/>
        <w:t>de 1,2 ori mai mici</w:t>
      </w:r>
    </w:p>
    <w:p w:rsidRPr="00544AB7" w:rsidR="00D41C6E">
      <w:pPr>
        <w:ind w:firstLine="708"/>
        <w:jc w:val="both"/>
      </w:pPr>
      <w:r w:rsidRPr="00544AB7">
        <w:t>...G.6...</w:t>
      </w:r>
      <w:r w:rsidRPr="00544AB7" w:rsidR="00914311">
        <w:t xml:space="preserve"> Leasing</w:t>
      </w:r>
      <w:r w:rsidRPr="00544AB7" w:rsidR="00914311">
        <w:tab/>
        <w:t>245,42</w:t>
      </w:r>
      <w:r w:rsidRPr="00544AB7" w:rsidR="00914311">
        <w:tab/>
        <w:t>205</w:t>
      </w:r>
      <w:r w:rsidRPr="00544AB7" w:rsidR="00914311">
        <w:tab/>
        <w:t>241,17</w:t>
      </w:r>
      <w:r w:rsidRPr="00544AB7" w:rsidR="00914311">
        <w:tab/>
        <w:t>de 1,2 ori mai mari</w:t>
      </w:r>
    </w:p>
    <w:p w:rsidRPr="00544AB7" w:rsidR="00D41C6E">
      <w:pPr>
        <w:ind w:firstLine="708"/>
        <w:jc w:val="both"/>
      </w:pPr>
      <w:r w:rsidRPr="00544AB7">
        <w:t>Sursa: date aflate la dosarul cauzei, precum și date prelucrate pe baza acestora.</w:t>
      </w:r>
    </w:p>
    <w:p w:rsidRPr="00544AB7" w:rsidR="00D41C6E">
      <w:pPr>
        <w:ind w:firstLine="708"/>
        <w:jc w:val="both"/>
      </w:pPr>
      <w:r w:rsidRPr="00544AB7">
        <w:t xml:space="preserve">În al doilea rând, și dacă prin absurd s-ar reține din probele administrate că au fost cu adevărat comunicate către membrii datele - anume, estimările de valori nou finanțate - proveneau doar de la câteva societăți membre </w:t>
      </w:r>
      <w:r w:rsidRPr="00544AB7" w:rsidR="0075748D">
        <w:t>...W*...</w:t>
      </w:r>
      <w:r w:rsidRPr="00544AB7">
        <w:t xml:space="preserve">, caz în care nu ar fi fost suficient pentru celelalte societăți membre </w:t>
      </w:r>
      <w:r w:rsidRPr="00544AB7" w:rsidR="0075748D">
        <w:t>...W*...</w:t>
      </w:r>
      <w:r w:rsidRPr="00544AB7">
        <w:t xml:space="preserve">, dar nici chiar pentru cele care au raportat, să adopte un anumit comportament de coordonare cu ceilalți concurenți. În lipsa datelor / informațiilor trimise de celelalte companii sau cel puțin de o masă critică și relevantă de companii membre </w:t>
      </w:r>
      <w:r w:rsidRPr="00544AB7" w:rsidR="0075748D">
        <w:t>...W*...</w:t>
      </w:r>
      <w:r w:rsidRPr="00544AB7">
        <w:t xml:space="preserve">, ar fi fost de neacceptat și de neimaginat existența unei strategii de coordonare a comportamentelor viitoare. Posibilitatea concretă a coordonare, dar și încrederea / confortul psihologic că și ceilalți concurenți ar urma aceeași strategie de coordonare ar fi existat doar în cazul în care mai multe societăți membre </w:t>
      </w:r>
      <w:r w:rsidRPr="00544AB7" w:rsidR="0075748D">
        <w:t>...W*...</w:t>
      </w:r>
      <w:r w:rsidRPr="00544AB7">
        <w:t xml:space="preserve"> ar fi transmis astfel de estimări privind volumele nou finanțate, estimări ce ulterior să fi fost accesate cel puțin de o masă critică de societăți concurente. </w:t>
      </w:r>
    </w:p>
    <w:p w:rsidRPr="00544AB7" w:rsidR="00D41C6E">
      <w:pPr>
        <w:ind w:firstLine="708"/>
        <w:jc w:val="both"/>
      </w:pPr>
      <w:r w:rsidRPr="00544AB7">
        <w:t>Mai mult de atât, datele transmise sunt agregate, nedefalcate pe categorii de bunuri finanțate, de exemplu pe vehicule (noi sau second-hand), pe echipamente (noi sau second-hand) sau pe imobiliare (noi sau second-hand), ceea ce le face inutilizabile având în vedere multitudinea de produse ce puteau fi finanțate de oricare dintre companii, astfel că nu există o previzibilitate sau transparență cu privire la comportamentele viitoare ale societăților din piață.</w:t>
      </w:r>
    </w:p>
    <w:p w:rsidRPr="00544AB7" w:rsidR="00D41C6E">
      <w:pPr>
        <w:ind w:firstLine="708"/>
        <w:jc w:val="both"/>
      </w:pPr>
      <w:r w:rsidRPr="00544AB7">
        <w:t xml:space="preserve">Transmiterea estimărilor nu a fost urmată de alte schimburi de același tip, ci a avut un caracter unic. Schimbul de informații nu a fost urmat de o monitorizare în vederea verificării implementării presupusei coordonări, element necesar în realizarea unei practici concertate, precum și pentru construirea încrederii participanților la mecanismul de coordonare.  </w:t>
      </w:r>
    </w:p>
    <w:p w:rsidRPr="00544AB7" w:rsidR="00D41C6E">
      <w:pPr>
        <w:ind w:firstLine="708"/>
        <w:jc w:val="both"/>
      </w:pPr>
      <w:r w:rsidRPr="00544AB7">
        <w:t>IV.7.</w:t>
      </w:r>
      <w:r w:rsidRPr="00544AB7">
        <w:tab/>
        <w:t xml:space="preserve">În realitate, </w:t>
      </w:r>
      <w:r w:rsidRPr="00544AB7" w:rsidR="00FC492C">
        <w:t>...Y*...</w:t>
      </w:r>
      <w:r w:rsidRPr="00544AB7">
        <w:t xml:space="preserve"> a acționat pe piață în baza propriilor politici și strategii, fără o coordonare cu ceilalți membri </w:t>
      </w:r>
      <w:r w:rsidRPr="00544AB7" w:rsidR="0075748D">
        <w:t>...W*...</w:t>
      </w:r>
      <w:r w:rsidRPr="00544AB7">
        <w:t>.</w:t>
      </w:r>
    </w:p>
    <w:p w:rsidRPr="00544AB7" w:rsidR="00D41C6E">
      <w:pPr>
        <w:ind w:firstLine="708"/>
        <w:jc w:val="both"/>
      </w:pPr>
      <w:r w:rsidRPr="00544AB7">
        <w:t xml:space="preserve">Chiar și în ipoteza în care </w:t>
      </w:r>
      <w:r w:rsidRPr="00544AB7" w:rsidR="00FC492C">
        <w:t>...Y*...</w:t>
      </w:r>
      <w:r w:rsidRPr="00544AB7">
        <w:t xml:space="preserve"> ar fi accesat aceste informații, compania nu ar fi putut ține cont de aceste informații, nu le-ar fi putut folosi atâta vreme cât erau limitate și grosiere, lipsite de relevanță economică și necredibile pentru putea sta la baza unor strategii de piață.</w:t>
      </w:r>
    </w:p>
    <w:p w:rsidRPr="00544AB7" w:rsidR="00D41C6E">
      <w:pPr>
        <w:ind w:firstLine="708"/>
        <w:jc w:val="both"/>
      </w:pPr>
      <w:r w:rsidRPr="00544AB7">
        <w:t xml:space="preserve">Piața pe care aceste informații ar fi permis coordonarea concurenților în viziunea Deciziei, este departe de a fi o piață prielnică unor astfel de comportamente. Numărul concurenților pe această piață este unul ridicat, chiar și în situația în care creditul bancar nu ar fi considerat ca fiind pe aceeași piață relevantă, gradul de concentrare este unul redus. Mai mult de atât, așa cum și Decizia reține, societățile de leasing au profiluri diferite, unele dintre ele sunt afiliate băncilor comerciale, altele sunt captive având ca acționari producători auto, altele sunt independente, piața având o distribuție eterogenă. </w:t>
      </w:r>
    </w:p>
    <w:p w:rsidRPr="00544AB7" w:rsidR="00D41C6E">
      <w:pPr>
        <w:ind w:firstLine="708"/>
        <w:jc w:val="both"/>
      </w:pPr>
      <w:r w:rsidRPr="00544AB7">
        <w:t>(200)</w:t>
      </w:r>
      <w:r w:rsidRPr="00544AB7">
        <w:tab/>
        <w:t>Produsele ce fac obiectul leasingului sunt extrem de diferite, putând fi vorba de partea de leasing de autovehicule (noi/second-hand), echipamente pentru diverse industrii, imobiliare, diferențe semnificative în ceea ce privește strategia de piață existând chiar și în interiorul aceleiași categorii (unele companii se pot axa pe finanțarea autovehiculelor, altele pe finanțarea de bunuri imobiliare, unele pot avea ca strategie finanțarea autovehiculelor utilitare, altele cele second-hand). Costurile cu finanțarea sunt de asemenea diferite, nu sunt omogene, iar strategiile companiilor în privința categoriilor de bunuri finanțate și riscurilor asumate la finanțare diferă de la o companie la alta, în funcție de evoluția pieței.</w:t>
      </w:r>
    </w:p>
    <w:p w:rsidRPr="00544AB7" w:rsidR="00D41C6E">
      <w:pPr>
        <w:ind w:firstLine="708"/>
        <w:jc w:val="both"/>
      </w:pPr>
      <w:r w:rsidRPr="00544AB7">
        <w:t>Societatea a deținut o cotă de piață extrem de redusă în perioada vizată, aceste date putând fi confirmate cu informările periodice transmise Consiliului de Administrație, cu mențiunea că pentru perioada Q4 2013-Q1 2014, cota de piață a Reclamantei a variat în jurul valorilor 0,005%-0,007%. Așadar, aceste informații nu ar fi putut să aibă vreo influență asupra cotei de piață a Reclamantei în perioada vizată.</w:t>
      </w:r>
    </w:p>
    <w:p w:rsidRPr="00544AB7" w:rsidR="00D41C6E">
      <w:pPr>
        <w:ind w:firstLine="708"/>
        <w:jc w:val="both"/>
      </w:pPr>
      <w:r w:rsidRPr="00544AB7">
        <w:t>De asemenea, portofoliul operațiunilor de leasing finanțate de către Societate a scăzut semnificativ începând cu 2008, fiind subiectul unei fraude de tip carusel în perioada 2007-2008, ce a avut consecințe negative grave la nivelul Reclamantei și un impact major cu privire la aspectele operaționale, economice și financiare, dar și a intrării în faliment a acționarului principal. Restrângerea activității poate fi ușor observată analizând evoluția portofoliului de noi finanțări acordate de către Societate în perioada 2014-2019:</w:t>
      </w:r>
    </w:p>
    <w:p w:rsidRPr="00544AB7" w:rsidR="00D41C6E">
      <w:pPr>
        <w:ind w:firstLine="708"/>
        <w:jc w:val="both"/>
      </w:pPr>
      <w:r w:rsidRPr="00544AB7">
        <w:tab/>
        <w:t>2014</w:t>
      </w:r>
      <w:r w:rsidRPr="00544AB7">
        <w:tab/>
        <w:t>2015</w:t>
      </w:r>
      <w:r w:rsidRPr="00544AB7">
        <w:tab/>
        <w:t>2016</w:t>
      </w:r>
      <w:r w:rsidRPr="00544AB7">
        <w:tab/>
        <w:t>2017</w:t>
      </w:r>
      <w:r w:rsidRPr="00544AB7">
        <w:tab/>
        <w:t>2018</w:t>
      </w:r>
      <w:r w:rsidRPr="00544AB7">
        <w:tab/>
        <w:t>2019</w:t>
      </w:r>
      <w:r w:rsidRPr="00544AB7">
        <w:tab/>
        <w:t>TOTAL</w:t>
      </w:r>
    </w:p>
    <w:p w:rsidRPr="00544AB7" w:rsidR="00D41C6E">
      <w:pPr>
        <w:ind w:firstLine="708"/>
        <w:jc w:val="both"/>
      </w:pPr>
      <w:r w:rsidRPr="00544AB7">
        <w:t>Nr contracte</w:t>
      </w:r>
      <w:r w:rsidRPr="00544AB7">
        <w:tab/>
        <w:t>12</w:t>
      </w:r>
      <w:r w:rsidRPr="00544AB7">
        <w:tab/>
        <w:t>3</w:t>
      </w:r>
      <w:r w:rsidRPr="00544AB7">
        <w:tab/>
        <w:t>8</w:t>
      </w:r>
      <w:r w:rsidRPr="00544AB7">
        <w:tab/>
        <w:t>1</w:t>
      </w:r>
      <w:r w:rsidRPr="00544AB7">
        <w:tab/>
        <w:t>10</w:t>
      </w:r>
      <w:r w:rsidRPr="00544AB7">
        <w:tab/>
        <w:t>11</w:t>
      </w:r>
      <w:r w:rsidRPr="00544AB7">
        <w:tab/>
        <w:t>55</w:t>
      </w:r>
    </w:p>
    <w:p w:rsidRPr="00544AB7" w:rsidR="00D41C6E">
      <w:pPr>
        <w:ind w:firstLine="708"/>
        <w:jc w:val="both"/>
      </w:pPr>
      <w:r w:rsidRPr="00544AB7">
        <w:t>Valoare finanțată vehicule</w:t>
      </w:r>
      <w:r w:rsidRPr="00544AB7">
        <w:tab/>
        <w:t>421,851</w:t>
      </w:r>
      <w:r w:rsidRPr="00544AB7">
        <w:tab/>
        <w:t xml:space="preserve">0 </w:t>
      </w:r>
      <w:r w:rsidRPr="00544AB7">
        <w:tab/>
        <w:t>72,930</w:t>
      </w:r>
      <w:r w:rsidRPr="00544AB7">
        <w:tab/>
        <w:t>12,392</w:t>
      </w:r>
      <w:r w:rsidRPr="00544AB7">
        <w:tab/>
        <w:t xml:space="preserve">0 </w:t>
      </w:r>
      <w:r w:rsidRPr="00544AB7">
        <w:tab/>
        <w:t>273,439</w:t>
      </w:r>
      <w:r w:rsidRPr="00544AB7">
        <w:tab/>
        <w:t>860,318</w:t>
      </w:r>
    </w:p>
    <w:p w:rsidRPr="00544AB7" w:rsidR="00D41C6E">
      <w:pPr>
        <w:ind w:firstLine="708"/>
        <w:jc w:val="both"/>
      </w:pPr>
      <w:r w:rsidRPr="00544AB7">
        <w:t>Valoare finanțată echipamente</w:t>
      </w:r>
      <w:r w:rsidRPr="00544AB7">
        <w:tab/>
        <w:t>170,218</w:t>
      </w:r>
      <w:r w:rsidRPr="00544AB7">
        <w:tab/>
        <w:t>8,465</w:t>
      </w:r>
      <w:r w:rsidRPr="00544AB7">
        <w:tab/>
        <w:t>11,713</w:t>
      </w:r>
      <w:r w:rsidRPr="00544AB7">
        <w:tab/>
        <w:t xml:space="preserve">0 </w:t>
      </w:r>
      <w:r w:rsidRPr="00544AB7">
        <w:tab/>
        <w:t xml:space="preserve">0 </w:t>
      </w:r>
      <w:r w:rsidRPr="00544AB7">
        <w:tab/>
        <w:t xml:space="preserve">0 </w:t>
      </w:r>
      <w:r w:rsidRPr="00544AB7">
        <w:tab/>
        <w:t>190,396</w:t>
      </w:r>
    </w:p>
    <w:p w:rsidRPr="00544AB7" w:rsidR="00D41C6E">
      <w:pPr>
        <w:ind w:firstLine="708"/>
        <w:jc w:val="both"/>
      </w:pPr>
      <w:r w:rsidRPr="00544AB7">
        <w:t>Valoare finanțată imobile</w:t>
      </w:r>
      <w:r w:rsidRPr="00544AB7">
        <w:tab/>
        <w:t>5,489,076</w:t>
      </w:r>
      <w:r w:rsidRPr="00544AB7">
        <w:tab/>
        <w:t>1,124,553</w:t>
      </w:r>
      <w:r w:rsidRPr="00544AB7">
        <w:tab/>
        <w:t>225,115</w:t>
      </w:r>
      <w:r w:rsidRPr="00544AB7">
        <w:tab/>
        <w:t xml:space="preserve">0 </w:t>
      </w:r>
      <w:r w:rsidRPr="00544AB7">
        <w:tab/>
        <w:t>1,733,648</w:t>
      </w:r>
      <w:r w:rsidRPr="00544AB7">
        <w:tab/>
        <w:t>8,558,299</w:t>
      </w:r>
      <w:r w:rsidRPr="00544AB7">
        <w:tab/>
        <w:t>17,130,691</w:t>
      </w:r>
    </w:p>
    <w:p w:rsidRPr="00544AB7" w:rsidR="00D41C6E">
      <w:pPr>
        <w:ind w:firstLine="708"/>
        <w:jc w:val="both"/>
      </w:pPr>
      <w:r w:rsidRPr="00544AB7">
        <w:t>TOTAL</w:t>
      </w:r>
      <w:r w:rsidRPr="00544AB7">
        <w:tab/>
        <w:t>6,081,146</w:t>
      </w:r>
      <w:r w:rsidRPr="00544AB7">
        <w:tab/>
        <w:t>1,133,019</w:t>
      </w:r>
      <w:r w:rsidRPr="00544AB7">
        <w:tab/>
        <w:t>309,758</w:t>
      </w:r>
      <w:r w:rsidRPr="00544AB7">
        <w:tab/>
        <w:t>12,392</w:t>
      </w:r>
      <w:r w:rsidRPr="00544AB7">
        <w:tab/>
        <w:t>1,733,648</w:t>
      </w:r>
      <w:r w:rsidRPr="00544AB7">
        <w:tab/>
        <w:t>8,831,738</w:t>
      </w:r>
      <w:r w:rsidRPr="00544AB7">
        <w:tab/>
        <w:t>18,181,405</w:t>
      </w:r>
    </w:p>
    <w:p w:rsidRPr="00544AB7" w:rsidR="00D41C6E">
      <w:pPr>
        <w:ind w:firstLine="708"/>
        <w:jc w:val="both"/>
      </w:pPr>
    </w:p>
    <w:p w:rsidRPr="00544AB7" w:rsidR="00D41C6E">
      <w:pPr>
        <w:ind w:firstLine="708"/>
        <w:jc w:val="both"/>
      </w:pPr>
      <w:r w:rsidRPr="00544AB7">
        <w:t>...Y*...</w:t>
      </w:r>
      <w:r w:rsidRPr="00544AB7" w:rsidR="00914311">
        <w:t xml:space="preserve"> și-a redus activitatea operațională, concentrându-se pe recuperarea debitelor contractelor de leasing reziliate și comercializarea bunurilor reposedate, </w:t>
      </w:r>
      <w:r w:rsidRPr="00544AB7">
        <w:t>...Y*...</w:t>
      </w:r>
      <w:r w:rsidRPr="00544AB7" w:rsidR="00914311">
        <w:t xml:space="preserve"> fiind achiziționată de un nou acționar în martie 2018. </w:t>
      </w:r>
    </w:p>
    <w:p w:rsidRPr="00544AB7" w:rsidR="00D41C6E">
      <w:pPr>
        <w:ind w:firstLine="708"/>
        <w:jc w:val="both"/>
      </w:pPr>
      <w:r w:rsidRPr="00544AB7">
        <w:t>V.</w:t>
      </w:r>
      <w:r w:rsidRPr="00544AB7">
        <w:tab/>
        <w:t>Greșita individualizare a amenzii de către consiliu</w:t>
      </w:r>
    </w:p>
    <w:p w:rsidRPr="00544AB7" w:rsidR="00D41C6E">
      <w:pPr>
        <w:ind w:firstLine="708"/>
        <w:jc w:val="both"/>
      </w:pPr>
      <w:r w:rsidRPr="00544AB7">
        <w:t>V.1.</w:t>
      </w:r>
      <w:r w:rsidRPr="00544AB7">
        <w:tab/>
        <w:t>Calculul cifrei de afaceri nu a fost făcut cu respectarea prevederilor legale</w:t>
      </w:r>
    </w:p>
    <w:p w:rsidRPr="00544AB7" w:rsidR="00D41C6E">
      <w:pPr>
        <w:ind w:firstLine="708"/>
        <w:jc w:val="both"/>
      </w:pPr>
      <w:r w:rsidRPr="00544AB7">
        <w:t xml:space="preserve">La calculul amenzii, în scopul stabilirii cifrei de afaceri a întreprinderilor sancționate, Consiliul Concurenței s-a raportat la Instrucțiunile privind individualizarea sancțiunilor pentru contravențiile prevăzute la art. 55 din Legea concurenței nr. 21/1996 aprobate prin Ordinul 1037/2019  (”Instrucțiunile din 2019”), aceasta în ciuda faptului că </w:t>
      </w:r>
      <w:r w:rsidRPr="00544AB7" w:rsidR="00FC492C">
        <w:t>...Y*...</w:t>
      </w:r>
      <w:r w:rsidRPr="00544AB7">
        <w:t xml:space="preserve"> a arătat că cifra de </w:t>
      </w:r>
      <w:r w:rsidRPr="00544AB7">
        <w:t>afaceri trebuie calculată prin raportare la legislația în vigoare la data săvârșirii pretinsei fapte, respectiv dispozițiile Legii nr. 21/1996, astfel cum a fost modificată prin Ordonanţa de Urgenţă nr. 75 din 30 iunie 2010 privind modificarea şi completarea Legii concurenţei nr. 21/1996 („OUG nr. 75/2010”)  coroborate cu Instrucțiunile privind conceptele de concentrare economică, întreprindere implicată, funcționare deplină și cifră de afaceri  („Instrucțiunile din 2010”) .</w:t>
      </w:r>
    </w:p>
    <w:p w:rsidRPr="00544AB7" w:rsidR="00D41C6E">
      <w:pPr>
        <w:ind w:firstLine="708"/>
        <w:jc w:val="both"/>
      </w:pPr>
      <w:r w:rsidRPr="00544AB7">
        <w:t>Pentru a reține aplicabilitatea Instrucțiunilor din 2019, Consiliul susține că anterior acestora nu existau alte norme pentru calculul cifrei de afaceri în cazul instituțiilor financiare, astfel:</w:t>
      </w:r>
    </w:p>
    <w:p w:rsidRPr="00544AB7" w:rsidR="00D41C6E">
      <w:pPr>
        <w:ind w:firstLine="708"/>
        <w:jc w:val="both"/>
      </w:pPr>
      <w:r w:rsidRPr="00544AB7">
        <w:t xml:space="preserve"> „în privința normelor ce stabilesc veniturile ce înlocuiesc cifra de afaceri în cazul altor instituții financiare (precum societățile de leasing financiar), nici nu se poate pune problema unei legi mai favorabile întrucât, anterior adoptării Instrucțiunilor din 2019 privind individualizarea sancțiunilor pentru contravențiile prevăzute la art. 55 din Legea concurenței nr. 21/1996, aprobate prin Ordinul Președintelui Consiliului Concurenței nr. 1037/2019, nu existau norme legale care să prevadă veniturile ce sunt avute în vedere în scopul aplicării amenzii pentru instituțiile de credit și alte instituții financiare, iar noțiunea de ‘cifră de afaceri’ nu era aplicabilă altor instituții financiare (precum societățile de leasing financiar), neregăsindu-se în cadrul normelor contabile aplicabile acestui tip de societăți, motiv pentru care a și fost necesară stabilirea veniturilor la care se aplică amenda, în lipsa evidențierii indicatorului cunoscut ca cifră de afaceri în cazul evidențelor contabile ale acestui tip de societăți” . </w:t>
      </w:r>
    </w:p>
    <w:p w:rsidRPr="00544AB7" w:rsidR="00D41C6E">
      <w:pPr>
        <w:ind w:firstLine="708"/>
        <w:jc w:val="both"/>
      </w:pPr>
      <w:r w:rsidRPr="00544AB7">
        <w:t xml:space="preserve">Practic, Consiliul Concurenței susține că, anterior anului 2019, nu știa cum să calculeze cifra de afaceri a societăților de leasing. </w:t>
      </w:r>
    </w:p>
    <w:p w:rsidRPr="00544AB7" w:rsidR="00D41C6E">
      <w:pPr>
        <w:ind w:firstLine="708"/>
        <w:jc w:val="both"/>
      </w:pPr>
      <w:r w:rsidRPr="00544AB7">
        <w:t>În ceea ce privește acest argument al Consiliului cu privire la lipsa unei modalități de calcul a sancțiunii în cazul instituțiilor financiare, prezintă în cele ce urmează o scurtă cronologie a dispozițiilor legale relevante:</w:t>
      </w:r>
    </w:p>
    <w:p w:rsidRPr="00544AB7" w:rsidR="00D41C6E">
      <w:pPr>
        <w:ind w:firstLine="708"/>
        <w:jc w:val="both"/>
      </w:pPr>
      <w:r w:rsidRPr="00544AB7">
        <w:t>1996: Încă de la apariția Legii concurenței, aceasta prevedea, la art 68, că:</w:t>
      </w:r>
    </w:p>
    <w:p w:rsidRPr="00544AB7" w:rsidR="00D41C6E">
      <w:pPr>
        <w:ind w:firstLine="708"/>
        <w:jc w:val="both"/>
      </w:pPr>
      <w:r w:rsidRPr="00544AB7">
        <w:t>„Cifra de afaceri este înlocuită:</w:t>
      </w:r>
    </w:p>
    <w:p w:rsidRPr="00544AB7" w:rsidR="00D41C6E">
      <w:pPr>
        <w:ind w:firstLine="708"/>
        <w:jc w:val="both"/>
      </w:pPr>
      <w:r w:rsidRPr="00544AB7">
        <w:t>a) pentru societăţi bancare, instituţii de credit sau financiare şi societăţi financiare, prin a zecea parte din valoarea bilanţului lor (…)”</w:t>
      </w:r>
    </w:p>
    <w:p w:rsidRPr="00544AB7" w:rsidR="00D41C6E">
      <w:pPr>
        <w:ind w:firstLine="708"/>
        <w:jc w:val="both"/>
      </w:pPr>
      <w:r w:rsidRPr="00544AB7">
        <w:t>2010: Ordonanţa de Urgenţă nr. 75 din 30 iunie 2010 privind modificarea şi completarea Legii concurenţei nr. 21/1996 („OUG nr. 75/2010”)  modifică prevederile cu privire la calculul cifrei de afaceri, astfel:</w:t>
      </w:r>
    </w:p>
    <w:p w:rsidRPr="00544AB7" w:rsidR="00D41C6E">
      <w:pPr>
        <w:ind w:firstLine="708"/>
        <w:jc w:val="both"/>
      </w:pPr>
      <w:r w:rsidRPr="00544AB7">
        <w:t>Art. 65 din Legea concurenței</w:t>
      </w:r>
    </w:p>
    <w:p w:rsidRPr="00544AB7" w:rsidR="00D41C6E">
      <w:pPr>
        <w:ind w:firstLine="708"/>
        <w:jc w:val="both"/>
      </w:pPr>
      <w:r w:rsidRPr="00544AB7">
        <w:t>„Cifra de afaceri este înlocuită:</w:t>
      </w:r>
    </w:p>
    <w:p w:rsidRPr="00544AB7" w:rsidR="00D41C6E">
      <w:pPr>
        <w:ind w:firstLine="708"/>
        <w:jc w:val="both"/>
      </w:pPr>
      <w:r w:rsidRPr="00544AB7">
        <w:t>a) pentru instituţiile de credit şi alte instituţii financiare, cu suma veniturilor, definite prin instrucţiuni adoptate de Consiliul Concurenţei, după deducerea impozitelor şi a taxelor legate direct de acestea (…)”.</w:t>
      </w:r>
    </w:p>
    <w:p w:rsidRPr="00544AB7" w:rsidR="00D41C6E">
      <w:pPr>
        <w:ind w:firstLine="708"/>
        <w:jc w:val="both"/>
      </w:pPr>
      <w:r w:rsidRPr="00544AB7">
        <w:t xml:space="preserve">Așadar, OUG 75/2010 abrogă, în ceea ce instituțiile financiare, modalitatea de calcul a cifrei de afaceri prin raportare la a zecea parte din valoarea bilanţului, înlocuind-o cu suma veniturilor, definite prin instrucţiuni adoptate de Consiliul Concurenţei, după deducerea impozitelor şi a taxelor legate direct de acestea. </w:t>
      </w:r>
    </w:p>
    <w:p w:rsidRPr="00544AB7" w:rsidR="00D41C6E">
      <w:pPr>
        <w:ind w:firstLine="708"/>
        <w:jc w:val="both"/>
      </w:pPr>
      <w:r w:rsidRPr="00544AB7">
        <w:t>În același an, Consiliul Concurenței adoptă Instrucțiunile privind conceptele de concentrare economică, întreprindere implicată, funcționare deplină și cifră de afaceri  („Instrucțiunile din 2010”) , dispoziții legale în vigoare atât la momentul săvârșirii presupusei fapte anticoncurențiale, cât și la momentul declanșării Investigației.</w:t>
      </w:r>
    </w:p>
    <w:p w:rsidRPr="00544AB7" w:rsidR="00D41C6E">
      <w:pPr>
        <w:ind w:firstLine="708"/>
        <w:jc w:val="both"/>
      </w:pPr>
      <w:r w:rsidRPr="00544AB7">
        <w:t>Prin urmare, Instrucțiunile din 2010 cuprind cadrul legal pentru determinarea cifrei de afaceri în cazul aplicării de sancțiuni instituțiilor financiare.</w:t>
      </w:r>
    </w:p>
    <w:p w:rsidRPr="00544AB7" w:rsidR="00D41C6E">
      <w:pPr>
        <w:ind w:firstLine="708"/>
        <w:jc w:val="both"/>
      </w:pPr>
      <w:r w:rsidRPr="00544AB7">
        <w:t xml:space="preserve">Consiliul Concurenței reține în mod greșit prin Decizie că Instrucțiunile din 2010 au alt domeniu de aplicare decât individualizarea amenzii și că se aplică exclusiv domeniului </w:t>
      </w:r>
      <w:r w:rsidRPr="00544AB7">
        <w:t>concentrărilor economice, iar acest sens facă trimitere chiar la dispozițiile din partea introductivă a Instrucțiunilor din 2010 care prevăd la punctul 2 că:</w:t>
      </w:r>
    </w:p>
    <w:p w:rsidRPr="00544AB7" w:rsidR="00D41C6E">
      <w:pPr>
        <w:ind w:firstLine="708"/>
        <w:jc w:val="both"/>
      </w:pPr>
      <w:r w:rsidRPr="00544AB7">
        <w:t xml:space="preserve">“Prezentele Instrucţiuni abordează conceptele de concentrare economică, de societate în comun cu funcţionare deplină, de întreprinderi implicate şi calculul cifrei de afaceri, potrivit prevederilor art. 10, 11, 14, 64 şi 65 din lege”. </w:t>
      </w:r>
    </w:p>
    <w:p w:rsidRPr="00544AB7" w:rsidR="00D41C6E">
      <w:pPr>
        <w:ind w:firstLine="708"/>
        <w:jc w:val="both"/>
      </w:pPr>
      <w:r w:rsidRPr="00544AB7">
        <w:t>Așadar, după modificarea Legii concurenței prin OUG nr. 75/2010, Consiliul Concurenței a adoptat tocmai Instrucțiunile din 2010 care au prevăzut dispoziții cu privire la calculul cifrei de afaceri în cazul instituțiilor financiare, atât pentru individualizarea unei sancțiuni, cât și în domeniul concentrărilor economice. Mai mult decât atât, cele două acte normative au intrat în vigoare în aceeași zi, respectiv în data de 5 august 2010.</w:t>
      </w:r>
    </w:p>
    <w:p w:rsidRPr="00544AB7" w:rsidR="00D41C6E">
      <w:pPr>
        <w:ind w:firstLine="708"/>
        <w:jc w:val="both"/>
      </w:pPr>
      <w:r w:rsidRPr="00544AB7">
        <w:t xml:space="preserve">Rezultă fără dubiu că, inclusiv după modificarea Legii concurenței prin OUG nr. 75/2020, Consiliul Concurenței dispunea de norme legale care să îi permită identificarea cifrei de afaceri pentru calculul unor eventuale sancțiuni aplicabile instituțiilor financiare. </w:t>
      </w:r>
    </w:p>
    <w:p w:rsidRPr="00544AB7" w:rsidR="00D41C6E">
      <w:pPr>
        <w:ind w:firstLine="708"/>
        <w:jc w:val="both"/>
      </w:pPr>
      <w:r w:rsidRPr="00544AB7">
        <w:t>Astfel, nu a existat în niciun moment un vid legislativ cu privire la modalitatea de calcul a cifrei de afaceri a instituțiilor financiare pentru individualizarea sancțiunilor, inclusiv Consiliul aplicând amenzi mai multor administratori de fonduri de pensii prin Decizia nr. 39/2010. În acest sens, facă trimitere la decizia Înaltei Curți de Casație și Justiție nr. 3387/2015 în care Înalta Curte s-a pronunțat cu privire recalcularea cifrei de afaceri la care s-a raportat Consiliul Concurenței în decizia de sancționare nr. 39/2010 , admițând cererea întreprinderii sancționate de a aplica prevederile nr. OUG 75/2010 ca fiind lege contravențională mai favorabilă:</w:t>
      </w:r>
    </w:p>
    <w:p w:rsidRPr="00544AB7" w:rsidR="00D41C6E">
      <w:pPr>
        <w:ind w:firstLine="708"/>
        <w:jc w:val="both"/>
      </w:pPr>
      <w:r w:rsidRPr="00544AB7">
        <w:t>“Diferenţa de timp dintre momentul deliberării şi, practic, aplicarea sancţiunii şi, momentul emiterii deciziei, a condus la ignorarea apariţiei O.U.G. nr. 75/2010 care a abrogat pentru societăţile financiare modalitatea de calcul a cifrei de afaceri prin raportare la a zecea parte din valoarea bilanţului şi a înlocuit-o cu suma veniturilor, definite prin instrucţiuni adoptate de Consiliul Concurenţei, după deducerea impozitelor şi a taxelor legate direct de acestea.</w:t>
      </w:r>
    </w:p>
    <w:p w:rsidRPr="00544AB7" w:rsidR="00D41C6E">
      <w:pPr>
        <w:ind w:firstLine="708"/>
        <w:jc w:val="both"/>
      </w:pPr>
      <w:r w:rsidRPr="00544AB7">
        <w:t>Astfel, amenda se reduce la suma de 355.126 RON, conform calculelor realizate de recurentă şi necontestate de partea adversă.</w:t>
      </w:r>
    </w:p>
    <w:p w:rsidRPr="00544AB7" w:rsidR="00D41C6E">
      <w:pPr>
        <w:ind w:firstLine="708"/>
        <w:jc w:val="both"/>
      </w:pPr>
      <w:r w:rsidRPr="00544AB7">
        <w:t>Intimata avea obligaţia să aplice prevederile O.U.G. nr. 75/2010 deoarece conţin o normă mai favorabilă în ceea ce priveşte calculul amenzii contravenţionale pentru societăţile financiare, normă intervenită după data deliberării, dar până la momentul emiterii deciziei.”</w:t>
      </w:r>
    </w:p>
    <w:p w:rsidRPr="00544AB7" w:rsidR="00D41C6E">
      <w:pPr>
        <w:ind w:firstLine="708"/>
        <w:jc w:val="both"/>
      </w:pPr>
      <w:r w:rsidRPr="00544AB7">
        <w:t xml:space="preserve">Or, potrivit art. 15 alin. (2) din Constituţie “Legea dispune numai pentru viitor, cu excepţia legii penale sau contravenţionale mai favorabile” (principiul neretroactivității legii), iar potrivit articolului 12 alin. (2) din O.G. nr. 2/2001 privind regimul juridic al contravențiilor, “În cazul în care noul act normativ prevede o sancţiune mai gravă, contravenţia săvârşită anterior va fi sancţionată conform dispoziţiilor actului normativ în vigoare la data săvârşirii acesteia”. </w:t>
      </w:r>
    </w:p>
    <w:p w:rsidRPr="00544AB7" w:rsidR="00D41C6E">
      <w:pPr>
        <w:ind w:firstLine="708"/>
        <w:jc w:val="both"/>
      </w:pPr>
      <w:r w:rsidRPr="00544AB7">
        <w:t xml:space="preserve">Prin urmare, conform principiului aplicării legii în timp, contravenția se sancționează potrivit legii în vigoare la data săvârșirii faptei, legea ulterioară fiind aplicabilă exclusiv în situația în care ar conține prevederi mai favorabile, ceea ce nu este cazul în speță.  </w:t>
      </w:r>
    </w:p>
    <w:p w:rsidRPr="00544AB7" w:rsidR="00D41C6E">
      <w:pPr>
        <w:ind w:firstLine="708"/>
        <w:jc w:val="both"/>
      </w:pPr>
      <w:r w:rsidRPr="00544AB7">
        <w:t>Astfel, în cazul de față, analiza regimului sancționator mai favorabil ar fi trebuit să aibă în vedere modalitatea de calcul a cifrei de afaceri la care se raportează o eventuală sancțiune, respectiv aplicarea dispozițiilor Instrucțiunilor din 2019, în vigoare la momentul sancționării sau aplicarea dispozițiilor Instrucțiunilor din 2010, în vigoare la momentul săvârșirii potențialei fapte și al declanșării Investigației.</w:t>
      </w:r>
    </w:p>
    <w:p w:rsidRPr="00544AB7" w:rsidR="00D41C6E">
      <w:pPr>
        <w:ind w:firstLine="708"/>
        <w:jc w:val="both"/>
      </w:pPr>
      <w:r w:rsidRPr="00544AB7">
        <w:t xml:space="preserve">Instrucțiunile din 2019, în vigoare  la data aplicării sancțiunii, prevăd că pentru societățile având drept obiect principal de activitate leasingul financiar, cifra de afaceri avută în vedere în scopul aplicării amenzii, este alcătuită, cumulativ, din: venituri din dobânzi și venituri asimilate; venituri privind titlurile: venituri din acțiuni și din alte titluri cu venit </w:t>
      </w:r>
      <w:r w:rsidRPr="00544AB7">
        <w:t>variabil, venituri din participații, venituri din părți în cadrul societăților legate; venituri din comisioane; profit sau pierdere netă din operațiuni financiare; alte venituri din exploatare; alte categorii de venituri prevăzute de legislaţia specifică fiecărui domeniu.</w:t>
      </w:r>
    </w:p>
    <w:p w:rsidRPr="00544AB7" w:rsidR="00D41C6E">
      <w:pPr>
        <w:ind w:firstLine="708"/>
        <w:jc w:val="both"/>
      </w:pPr>
      <w:r w:rsidRPr="00544AB7">
        <w:t xml:space="preserve">Instrucțiunile din 2010, în vigoare la momentul săvârșirii potențialei fapte și al declanșării investigației, prevăd în para. 198 că în cazul  societăților de leasing financiar pentru determinarea cifrei de afaceri a societăților de leasing financiar „se vor lua în considerare toate ratele din contractele de leasing financiar, cu excepția rambursării; vânzarea ratelor de leasing viitoare la începutul contractului în scopul refinanțării nu va fi luată în considerare.” </w:t>
      </w:r>
    </w:p>
    <w:p w:rsidRPr="00544AB7" w:rsidR="00D41C6E">
      <w:pPr>
        <w:ind w:firstLine="708"/>
        <w:jc w:val="both"/>
      </w:pPr>
      <w:r w:rsidRPr="00544AB7">
        <w:t xml:space="preserve">În acest sens, în cazul </w:t>
      </w:r>
      <w:r w:rsidRPr="00544AB7" w:rsidR="00FC492C">
        <w:t>...Y*...</w:t>
      </w:r>
      <w:r w:rsidRPr="00544AB7">
        <w:t>, trebuia avut în vedere cuantumul cifrei de afaceri rezultate în cazul aplicării dispozițiilor legale ce s-au succedat, pentru a se constata că Instrucțiunile din 2019 nu cuprindeau dispoziții mai favorabile. Astfel, cifra de afaceri a Reclamantei diferă substanțial, în funcție de fiecare interpretare:</w:t>
      </w:r>
    </w:p>
    <w:p w:rsidRPr="00544AB7" w:rsidR="00D41C6E">
      <w:pPr>
        <w:ind w:firstLine="708"/>
        <w:jc w:val="both"/>
      </w:pPr>
      <w:r w:rsidRPr="00544AB7">
        <w:t>-</w:t>
      </w:r>
      <w:r w:rsidRPr="00544AB7">
        <w:tab/>
        <w:t xml:space="preserve">Conform Instrucțiunilor din 2010, cifra de afaceri a </w:t>
      </w:r>
      <w:r w:rsidRPr="00544AB7" w:rsidR="00FC492C">
        <w:t>...Y*...</w:t>
      </w:r>
      <w:r w:rsidRPr="00544AB7">
        <w:t xml:space="preserve"> pentru 2019 este 4,260,307.72 lei (dacă luăm în calcul toate conturile din grupa 704, marcate în tabelul din Anexa nr. 3), </w:t>
      </w:r>
    </w:p>
    <w:p w:rsidRPr="00544AB7" w:rsidR="00D41C6E">
      <w:pPr>
        <w:ind w:firstLine="708"/>
        <w:jc w:val="both"/>
      </w:pPr>
      <w:r w:rsidRPr="00544AB7">
        <w:t>-</w:t>
      </w:r>
      <w:r w:rsidRPr="00544AB7">
        <w:tab/>
        <w:t xml:space="preserve">Conform Instrucțiunilor din 2019, cifra de afaceri a </w:t>
      </w:r>
      <w:r w:rsidRPr="00544AB7" w:rsidR="00FC492C">
        <w:t>...Y*...</w:t>
      </w:r>
      <w:r w:rsidRPr="00544AB7">
        <w:t xml:space="preserve"> pentru 2019 este 9.538.745,73 lei</w:t>
      </w:r>
    </w:p>
    <w:p w:rsidRPr="00544AB7" w:rsidR="00D41C6E">
      <w:pPr>
        <w:ind w:firstLine="708"/>
        <w:jc w:val="both"/>
      </w:pPr>
      <w:r w:rsidRPr="00544AB7">
        <w:t>În cazul concret al Reclamantei, trebuia aplicată, conform principiului aplicării legii în timp, legislația în vigoare la momentul săvârșirii pretinsei fapte și al declanșării Investigației, reprezentată de Legea concurenței coroborată cu Instrucțiunile din 2010,  cifra de afaceri care ar trebui luată în considerare pentru aplicarea unei eventuale sancțiuni fiind de 4,260,307.72 lei, iar eventuala amendă fiind de 149.110,77 lei.</w:t>
      </w:r>
    </w:p>
    <w:p w:rsidRPr="00544AB7" w:rsidR="00D41C6E">
      <w:pPr>
        <w:ind w:firstLine="708"/>
        <w:jc w:val="both"/>
      </w:pPr>
      <w:r w:rsidRPr="00544AB7">
        <w:t>Pe de alta parte, Consiliul Concurenței susține că  “prin adoptarea Ordinului 1037/2019 a fost completat regimul juridic inițiat de prevederile art. 68 din legea Concurenței și a fost preîntâmpinată imposibilitatea de calcul a sancțiunii aplicabile [...]”.</w:t>
      </w:r>
    </w:p>
    <w:p w:rsidRPr="00544AB7" w:rsidR="00D41C6E">
      <w:pPr>
        <w:ind w:firstLine="708"/>
        <w:jc w:val="both"/>
      </w:pPr>
      <w:r w:rsidRPr="00544AB7">
        <w:t>În măsura în care s-ar accepta argumentul Consiliului Concurenței, ar însemna că:</w:t>
      </w:r>
    </w:p>
    <w:p w:rsidRPr="00544AB7" w:rsidR="00D41C6E">
      <w:pPr>
        <w:ind w:firstLine="708"/>
        <w:jc w:val="both"/>
      </w:pPr>
      <w:r w:rsidRPr="00544AB7">
        <w:t>(i)</w:t>
      </w:r>
      <w:r w:rsidRPr="00544AB7">
        <w:tab/>
        <w:t>o eventuală investigație declanșată cu privire la aceleași fapte, finalizată înainte de data intrării în vigoare a Ordinului 1037/2019 nu s-ar fi putut solda cu o sancțiune contravențională, datorită inexistenței cadrului legal aplicabil, ceea ce, în mod evident, este fals, pentru că exista o baza de calcul la care să se aplice procentul de amendă prevăzut de lege, i.e. cea rezultată din aplicarea legii de la momentul săvârșirii faptei;</w:t>
      </w:r>
    </w:p>
    <w:p w:rsidRPr="00544AB7" w:rsidR="00D41C6E">
      <w:pPr>
        <w:ind w:firstLine="708"/>
        <w:jc w:val="both"/>
      </w:pPr>
      <w:r w:rsidRPr="00544AB7">
        <w:t>(ii)</w:t>
      </w:r>
      <w:r w:rsidRPr="00544AB7">
        <w:tab/>
        <w:t>cadrul legal aplicabil la data săvârșirii presupusei fapte de natură contravențională (cel tarziu finalul anului 2014) nu ar fi permis unui subiect al raportului juridic contraventional să determine care este sancțiunea care îi va fi aplicată în ipoteza în care ar incălca prevederile legale.</w:t>
      </w:r>
    </w:p>
    <w:p w:rsidRPr="00544AB7" w:rsidR="00D41C6E">
      <w:pPr>
        <w:ind w:firstLine="708"/>
        <w:jc w:val="both"/>
      </w:pPr>
      <w:r w:rsidRPr="00544AB7">
        <w:t>În jurisprudența sa constantă, Curtea Constituțională a arătat că „legea trebuie să definească în mod clar infracțiunile și pedepsele aplicabile (pentru identitate de rațiune, și contravențiile), această cerință fiind îndeplinită atunci când un justițiabil are posibilitatea de a cunoaște, din însuși textul normei juridice pertinente, la nevoie cu ajutorul interpretării acesteia de către instanțe, și în urma obținerii unei asistențe judiciare adecvate, care sunt actele și omisiunile ce pot angaja răspunderea sa penală și care este pedeapsa pe care o riscă în virtutea acestora”(Decizia 152/2020).</w:t>
      </w:r>
    </w:p>
    <w:p w:rsidRPr="00544AB7" w:rsidR="00D41C6E">
      <w:pPr>
        <w:ind w:firstLine="708"/>
        <w:jc w:val="both"/>
      </w:pPr>
      <w:r w:rsidRPr="00544AB7">
        <w:t xml:space="preserve">Mergând pe aceeași logică, înseamnă că singura soluție pe care ar putea să o pronunțe instanța de judecată ar fi aceea a anulării integrale a Deciziei Consiliului Concurenței, cel putin bazat pe încălcarea principiului calității legii în materie convențională, consacrat în jurisprudnța recentă a Curții Constituționale, astfel: „Cu referire la exigențele de calitate a legii în materie contravențională, Curtea a statuat recent că „dreptul contravențional, asemenea dreptului penal, are un caracter subsidiar, intervenind doar acolo unde alte mijloace juridice nu sunt suficiente pentru protejarea anumitor valori sociale. În aceste condiții, actele </w:t>
      </w:r>
      <w:r w:rsidRPr="00544AB7">
        <w:t>normative cu putere de lege și actele administrative cu caracter normativ prin care se stabilesc și se sancționează contravenții trebuie să întrunească toate condițiile de calitate ale normei: accesibilitate, claritate, precizie și previzibilitate“ (Decizia nr. 152 din 6 mai 2020, publicată în Monitorul Oficial al României, Partea I, paragraful 130). Stabilirea faptelor a căror săvârșire constituie contravenții trebuie realizată cu respectarea acestor exigențe, iar nu lăsată, în mod arbitrar, la libera apreciere a agentului constatator, fără ca legiuitorul să fi stabilit criteriile și condițiile necesare operațiunii de constatare și sancționare a contravențiilor. Totodată, în lipsa unei reprezentări clare a elementelor care constituie contravenția, judecătorul însuși nu dispune de reperele necesare în aplicarea și interpretarea legii, cu prilejul soluționării plângerii îndreptate asupra procesului-verbal de constatare și sancționare a contravenției”(Decizia 457/2020).</w:t>
      </w:r>
    </w:p>
    <w:p w:rsidRPr="00544AB7" w:rsidR="00D41C6E">
      <w:pPr>
        <w:ind w:firstLine="708"/>
        <w:jc w:val="both"/>
      </w:pPr>
      <w:r w:rsidRPr="00544AB7">
        <w:t>În nicio situație nu s-ar putea reține că o normă juridică, adoptată la mai bine de 5 ani de la epuizarea unei presupuse fapte de natură contravențională, ar putea stabili care este modalitatea de determinare a cifrei de afaceri, element indispensabil în vederea determinării cuantumului sancțiunii contravenționale principale aplicabile, care să se aplice apoi retroactiv, faptelor săvârșite în trecut.</w:t>
      </w:r>
    </w:p>
    <w:p w:rsidRPr="00544AB7" w:rsidR="00D41C6E">
      <w:pPr>
        <w:ind w:firstLine="708"/>
        <w:jc w:val="both"/>
      </w:pPr>
      <w:r w:rsidRPr="00544AB7">
        <w:t>V.2.</w:t>
      </w:r>
      <w:r w:rsidRPr="00544AB7">
        <w:tab/>
        <w:t>Calculul a fost făcut luând în considerare altă cifră de afaceri decât cea comunicată de Societate</w:t>
      </w:r>
    </w:p>
    <w:p w:rsidRPr="00544AB7" w:rsidR="00D41C6E">
      <w:pPr>
        <w:ind w:firstLine="708"/>
        <w:jc w:val="both"/>
      </w:pPr>
      <w:r w:rsidRPr="00544AB7">
        <w:t xml:space="preserve">În cazul în care, ad absurdum, s-ar considera că ar fi aplicabile instrucțiunile din 2019, instanța urmează a constata faptul că Consiliul Concurenței a reținut pentru </w:t>
      </w:r>
      <w:r w:rsidRPr="00544AB7" w:rsidR="00FC492C">
        <w:t>...Y*...</w:t>
      </w:r>
      <w:r w:rsidRPr="00544AB7">
        <w:t xml:space="preserve"> o altă cifră de afaceri decât cea reală.</w:t>
      </w:r>
    </w:p>
    <w:p w:rsidRPr="00544AB7" w:rsidR="00D41C6E">
      <w:pPr>
        <w:ind w:firstLine="708"/>
        <w:jc w:val="both"/>
      </w:pPr>
      <w:r w:rsidRPr="00544AB7">
        <w:t xml:space="preserve">Prin adresa nr. </w:t>
      </w:r>
      <w:r w:rsidRPr="00544AB7" w:rsidR="001477A4">
        <w:t>..</w:t>
      </w:r>
      <w:r w:rsidRPr="00544AB7">
        <w:t xml:space="preserve">/06.01.2020 Consiliul Consurenței a solicitat Reclamantei să comunice cifra de afaceri realizată de </w:t>
      </w:r>
      <w:r w:rsidRPr="00544AB7" w:rsidR="00FC492C">
        <w:t>...Y*...</w:t>
      </w:r>
      <w:r w:rsidRPr="00544AB7">
        <w:t xml:space="preserve"> în anul 2019, confrom modalității de calcul prevăzută în instrucțiunile din 2019. </w:t>
      </w:r>
    </w:p>
    <w:p w:rsidRPr="00544AB7" w:rsidR="00D41C6E">
      <w:pPr>
        <w:ind w:firstLine="708"/>
        <w:jc w:val="both"/>
      </w:pPr>
      <w:r w:rsidRPr="00544AB7">
        <w:t xml:space="preserve">Prin adresa înregistrată la Consiliu cu nr. </w:t>
      </w:r>
      <w:r w:rsidRPr="00544AB7" w:rsidR="001477A4">
        <w:t>....</w:t>
      </w:r>
      <w:r w:rsidRPr="00544AB7">
        <w:t>/30.01.2020, Societatea a transmis Consiliului cele solicitate, indicând cifra de afaceri în cuantum de 9.538.745,73 lei și transmițând Consiliului situațiile financiare aferente anului 2019.</w:t>
      </w:r>
    </w:p>
    <w:p w:rsidRPr="00544AB7" w:rsidR="00D41C6E">
      <w:pPr>
        <w:ind w:firstLine="708"/>
        <w:jc w:val="both"/>
      </w:pPr>
      <w:r w:rsidRPr="00544AB7">
        <w:t xml:space="preserve">În data de 12.06.2020, Consiliul a transmis Reclamantei o nouă adresă (nr. </w:t>
      </w:r>
      <w:r w:rsidRPr="00544AB7" w:rsidR="001477A4">
        <w:t>...</w:t>
      </w:r>
      <w:r w:rsidRPr="00544AB7">
        <w:t>/12.06.2020 ) solicitând prezentarea cifrei de afaceri realizată de Societate în anul 2019, solicitare la care Societatea a răspuns prin adresa din data de 23.06.2020, indicând cifra de afaceri de 9.538.745,73 lei și modalitatea de calcul a acesteia.</w:t>
      </w:r>
    </w:p>
    <w:p w:rsidRPr="00544AB7" w:rsidR="00D41C6E">
      <w:pPr>
        <w:ind w:firstLine="708"/>
        <w:jc w:val="both"/>
      </w:pPr>
      <w:r w:rsidRPr="00544AB7">
        <w:t>Cu toate acestea, în cel de al doilea Raport, Societatea a reținut pentru Societate o cifră de afaceri de 11.034.222,00 lei, calculând amenda prin raportare la aceasta.</w:t>
      </w:r>
    </w:p>
    <w:p w:rsidRPr="00544AB7" w:rsidR="00D41C6E">
      <w:pPr>
        <w:ind w:firstLine="708"/>
        <w:jc w:val="both"/>
      </w:pPr>
      <w:r w:rsidRPr="00544AB7">
        <w:t>Deși inclusiv prin observațiile la cel de al doilea Raport, reclamanta a menționat cifra de afaceri de 9.538.745,73 lei, calculată conform Instrucțiunilor din 2019, Consiliul Concurenței  a raportat amenda, în mod cel putin curios, la cifra de afaceri de 11.034.222,00, fără a explica care este sursa acestei sume.</w:t>
      </w:r>
    </w:p>
    <w:p w:rsidRPr="00544AB7" w:rsidR="00D41C6E">
      <w:pPr>
        <w:ind w:firstLine="708"/>
        <w:jc w:val="both"/>
      </w:pPr>
      <w:r w:rsidRPr="00544AB7">
        <w:t xml:space="preserve">Or, în situația în care, ad absurdum, s-ar considera că pot fi aplicabile Instrucțiunile din 2019, instanța urmează a observa că cifra de afaceri la care ar fi trebuit să se raporteze Consiliul ar fi fost cea de 9.538.745,73 lei, iar amenda ar fi fost de 333.856,10  lei (calculată prin aplicarea procentului de 3,5%). </w:t>
      </w:r>
    </w:p>
    <w:p w:rsidRPr="00544AB7" w:rsidR="00D41C6E">
      <w:pPr>
        <w:ind w:firstLine="708"/>
        <w:jc w:val="both"/>
      </w:pPr>
      <w:r w:rsidRPr="00544AB7">
        <w:t>V.3.</w:t>
      </w:r>
      <w:r w:rsidRPr="00544AB7">
        <w:tab/>
        <w:t>Baza de calcul a amenzii a fost stabilită în mod eronat</w:t>
      </w:r>
    </w:p>
    <w:p w:rsidRPr="00544AB7" w:rsidR="00D41C6E">
      <w:pPr>
        <w:ind w:firstLine="708"/>
        <w:jc w:val="both"/>
      </w:pPr>
      <w:r w:rsidRPr="00544AB7">
        <w:t>Potrivit Deciziei, se reține încadrarea presupusei fapte anticoncurențiale ca având o gravitate mare, cuantificată într-un procent de 5% din cifra de afaceri totală realizată de fiecare întreprindere în anul 2019 (pag. 225, para. 741 din Decizie).</w:t>
      </w:r>
    </w:p>
    <w:p w:rsidRPr="00544AB7" w:rsidR="00D41C6E">
      <w:pPr>
        <w:ind w:firstLine="708"/>
        <w:jc w:val="both"/>
      </w:pPr>
      <w:r w:rsidRPr="00544AB7">
        <w:t xml:space="preserve">Instrucțiunile privind individualizarea sancțiunilor pentru contravențiile prevăzute la art. 55 din Legea concurenței nr. 21/1996 (atât Instrucțiunile din 2019, în vigoare la acest moment, cât și Instrucțiunile din 2016, în vigoare la momentul declanșării investigației) arată că elementele relevante pentru evaluarea gravității unei încălcări includ: </w:t>
      </w:r>
    </w:p>
    <w:p w:rsidRPr="00544AB7" w:rsidR="00D41C6E">
      <w:pPr>
        <w:ind w:firstLine="708"/>
        <w:jc w:val="both"/>
      </w:pPr>
      <w:r w:rsidRPr="00544AB7">
        <w:t>•</w:t>
      </w:r>
      <w:r w:rsidRPr="00544AB7">
        <w:tab/>
        <w:t>Natura pretinsei fapte;</w:t>
      </w:r>
    </w:p>
    <w:p w:rsidRPr="00544AB7" w:rsidR="00D41C6E">
      <w:pPr>
        <w:ind w:firstLine="708"/>
        <w:jc w:val="both"/>
      </w:pPr>
      <w:r w:rsidRPr="00544AB7">
        <w:t>•</w:t>
      </w:r>
      <w:r w:rsidRPr="00544AB7">
        <w:tab/>
        <w:t>Dimensiunea și importanța pieței relevante;</w:t>
      </w:r>
    </w:p>
    <w:p w:rsidRPr="00544AB7" w:rsidR="00D41C6E">
      <w:pPr>
        <w:ind w:firstLine="708"/>
        <w:jc w:val="both"/>
      </w:pPr>
      <w:r w:rsidRPr="00544AB7">
        <w:t>•</w:t>
      </w:r>
      <w:r w:rsidRPr="00544AB7">
        <w:tab/>
        <w:t>Cotele de piață cumulate ale întreprinderilor participante;</w:t>
      </w:r>
    </w:p>
    <w:p w:rsidRPr="00544AB7" w:rsidR="00D41C6E">
      <w:pPr>
        <w:ind w:firstLine="708"/>
        <w:jc w:val="both"/>
      </w:pPr>
      <w:r w:rsidRPr="00544AB7">
        <w:t>•</w:t>
      </w:r>
      <w:r w:rsidRPr="00544AB7">
        <w:tab/>
        <w:t>Impactul concret al încălcării pe piață.</w:t>
      </w:r>
    </w:p>
    <w:p w:rsidRPr="00544AB7" w:rsidR="00D41C6E">
      <w:pPr>
        <w:ind w:firstLine="708"/>
        <w:jc w:val="both"/>
      </w:pPr>
      <w:r w:rsidRPr="00544AB7">
        <w:t xml:space="preserve">Săvârșirea pretinsei fapte anticoncurențiale, așa cum aceasta este descrisă în Decizie (respectiv, un schimb de informații sensibile referitoare doar la (i) estimări cu privire la valoarea finanțată, (ii) aferentă numai anului 2014 (iii) între un număr limitat de jucători pe piață, (iv) fără un impact asupra comportamentului adoptat în piață) se încadrează întocmai în regulile aplicabile cu privire la gravitatea medie, respectiv ar reprezenta o restricționare pe orizontală, a cărei modalitate de realizare este mai complexă și mai riguroasă decât în cazul celor de gravitate mică și are un impact mai mare pe piață, neajungând însă în zona de cartel. </w:t>
      </w:r>
    </w:p>
    <w:p w:rsidRPr="00544AB7" w:rsidR="00D41C6E">
      <w:pPr>
        <w:ind w:firstLine="708"/>
        <w:jc w:val="both"/>
      </w:pPr>
      <w:r w:rsidRPr="00544AB7">
        <w:t xml:space="preserve">Subliniază în acest sens că presupusa faptă anticoncurențială este descrisă ca fiind reprezentată de realizarea unei înțelegeri și / sau practici concertate prin participarea la un schimb de informații sensibile care a avut potențialul de a conduce la reducerea incertitudinii strategice de pe piață. </w:t>
      </w:r>
    </w:p>
    <w:p w:rsidRPr="00544AB7" w:rsidR="00D41C6E">
      <w:pPr>
        <w:ind w:firstLine="708"/>
        <w:jc w:val="both"/>
      </w:pPr>
      <w:r w:rsidRPr="00544AB7">
        <w:t xml:space="preserve">Cu privire la cazuistica recentă a autorității de concurență, evidențiază în tabelul din Anexa C  practica constantă a Consiliului prin care a fost reținută gravitatea medie în cazuri similare. </w:t>
      </w:r>
    </w:p>
    <w:p w:rsidRPr="00544AB7" w:rsidR="00D41C6E">
      <w:pPr>
        <w:ind w:firstLine="708"/>
        <w:jc w:val="both"/>
      </w:pPr>
      <w:r w:rsidRPr="00544AB7">
        <w:t xml:space="preserve">Luând în considerare caracterul limitat al practicii ca și conținut și orizont de timp pe o piață mare, cu mulți jucători, consideră că gravitatea atribuibilă pretinsei fapte anticoncurențiale avute în vedere se încadrează cel mult în limitele unei gravități medii, cu aplicarea unui procent între 2% - 4% din cifra de afaceri totală realizată în anul anterior sancționării. Consideră că, raportat la caracterul extrem de limitat în timp și lipsa oricărui efect pe piață care să fi fost reținut prin Decizie, nivelul de bază ar trebui orientat spre minimul din categoria gravității medii, respectiv 2%. </w:t>
      </w:r>
    </w:p>
    <w:p w:rsidRPr="00544AB7" w:rsidR="00D41C6E">
      <w:pPr>
        <w:ind w:firstLine="708"/>
        <w:jc w:val="both"/>
      </w:pPr>
      <w:r w:rsidRPr="00544AB7">
        <w:t>Cu toate acestea, chiar dacă s-ar accepta concluzia Consiliului Concurenței, respectiv încadrarea presupusei fapte anticoncurențiale în categoria faptelor de gravitate mare, procentul care trebuie să se stabilească în sarcina părților la săvârșirea pretinsei încălcări trebuie să se situeze la minimul de 4% prevăzut de Instrucțiunile privind individualizarea sancțiunii pentru a fi în acord cu jurisprudența recentă a autorității de concurență, așa cum este prezentată în tabelul din Anexa C.</w:t>
      </w:r>
    </w:p>
    <w:p w:rsidRPr="00544AB7" w:rsidR="00D41C6E">
      <w:pPr>
        <w:ind w:firstLine="708"/>
        <w:jc w:val="both"/>
      </w:pPr>
      <w:r w:rsidRPr="00544AB7">
        <w:t>V.4.</w:t>
      </w:r>
      <w:r w:rsidRPr="00544AB7">
        <w:tab/>
      </w:r>
      <w:r w:rsidRPr="00544AB7" w:rsidR="00FC492C">
        <w:t>...Y*...</w:t>
      </w:r>
      <w:r w:rsidRPr="00544AB7">
        <w:t xml:space="preserve"> ar fi trebuit să beneficieze de circumstanța atenuantă suplimentară a participării reduse</w:t>
      </w:r>
    </w:p>
    <w:p w:rsidRPr="00544AB7" w:rsidR="00D41C6E">
      <w:pPr>
        <w:ind w:firstLine="708"/>
        <w:jc w:val="both"/>
      </w:pPr>
      <w:r w:rsidRPr="00544AB7">
        <w:t>În plus față de circumstanțele atenuante reținute în Decizie, considerăm că este întrunită condițiia pentru aplicarea în beneficiul Reclamantei, a circumstanței atenuante privind participarea redusă a Reclamantei la presupusa încălcare.</w:t>
      </w:r>
    </w:p>
    <w:p w:rsidRPr="00544AB7" w:rsidR="00D41C6E">
      <w:pPr>
        <w:ind w:firstLine="708"/>
        <w:jc w:val="both"/>
      </w:pPr>
      <w:r w:rsidRPr="00544AB7">
        <w:t>Decizia s-a limitat la a aplica același regim tuturor părților implicate, indiferent de implicarea efectivă a acestora în transmiterea sau primirea raportărilor aferente perioadei Q4 2013 și Q1 2014.</w:t>
      </w:r>
    </w:p>
    <w:p w:rsidRPr="00544AB7" w:rsidR="00D41C6E">
      <w:pPr>
        <w:ind w:firstLine="708"/>
        <w:jc w:val="both"/>
      </w:pPr>
      <w:r w:rsidRPr="00544AB7">
        <w:t xml:space="preserve">Or, spre deosebire de alte societăți propuse spre sancționare și care au participat la schimbul de informații atât prin transmiterea, cât și prin primirea acelor estimări viitoare ale valorii finanțate în perioada Q4 2013 și Q1 2014, Consiliul Concurenței susține că </w:t>
      </w:r>
      <w:r w:rsidRPr="00544AB7" w:rsidR="00FC492C">
        <w:t>...Y*...</w:t>
      </w:r>
      <w:r w:rsidRPr="00544AB7">
        <w:t xml:space="preserve"> ar fi participat la presupusul schimb de informații doar prin ridicarea unei presupuse raportări aferente perioadei Q4 2013 (prin urmare, ar fi săvârșit un singur act material din cele 4 reținute față de alte societăți). </w:t>
      </w:r>
    </w:p>
    <w:p w:rsidRPr="00544AB7" w:rsidR="00D41C6E">
      <w:pPr>
        <w:ind w:firstLine="708"/>
        <w:jc w:val="both"/>
      </w:pPr>
      <w:r w:rsidRPr="00544AB7">
        <w:t xml:space="preserve">În plus, pe lângă numărul redus de acte materiale care ar putea fi considerate ca încălcând regulile de concurență, subliniază că </w:t>
      </w:r>
      <w:r w:rsidRPr="00544AB7" w:rsidR="00FC492C">
        <w:t>...Y*...</w:t>
      </w:r>
      <w:r w:rsidRPr="00544AB7">
        <w:t xml:space="preserve"> nu a luat parte la ședința Consiliului de Leasing din data de 14.11.2013 în care, conform informațiilor aflate la dosarul cauzei, s-a propus modificarea formatului raportărilor (dar nu și introducerea raportărilor privind valoarea nou finanțată) și nici nu a luat parte la întâlnirea de lucru dedicată revizuirii formatului acestor raportări. Deși Societatea a fost membră atât în Comitetul de Marketing, </w:t>
      </w:r>
      <w:r w:rsidRPr="00544AB7">
        <w:t>cât și în Consiliul de Leasing, aceasta a participat doar ocazional la ședințele acestora, nefiind un membru activ la dezbaterile acestor comitete și având o participare mai ridicată la discuțiile tehnice purtate în Comitetul de Risc și Comitetul Legal.</w:t>
      </w:r>
    </w:p>
    <w:p w:rsidRPr="00544AB7" w:rsidR="00D41C6E">
      <w:pPr>
        <w:ind w:firstLine="708"/>
        <w:jc w:val="both"/>
      </w:pPr>
      <w:r w:rsidRPr="00544AB7">
        <w:t xml:space="preserve">Mai mult decât atât, Societatea nu a inițiat niciodată discuții cu privire la necesitatea raportării sau modelul de raportare. În privința probatoriului, la dosarul cauzei nu există niciun email sau document din care să reiasă implicarea Reclamantei în coordonarea activității </w:t>
      </w:r>
      <w:r w:rsidRPr="00544AB7" w:rsidR="0075748D">
        <w:t>...W*...</w:t>
      </w:r>
      <w:r w:rsidRPr="00544AB7">
        <w:t>, spre deosebire de probele existente cu privire la alte părți investigate.</w:t>
      </w:r>
    </w:p>
    <w:p w:rsidRPr="00544AB7" w:rsidR="00D41C6E">
      <w:pPr>
        <w:ind w:firstLine="708"/>
        <w:jc w:val="both"/>
      </w:pPr>
      <w:r w:rsidRPr="00544AB7">
        <w:t xml:space="preserve">Consiliului Concurenței, așa cum se observă în tabelul depus ca Anexa D, a reținut în mod constant această circumstanță și a aplicat o diminuare a nivelului de bază al amenzii atunci când participarea Reclamantei investigate era nesemnificativă. </w:t>
      </w:r>
    </w:p>
    <w:p w:rsidRPr="00544AB7" w:rsidR="00D41C6E">
      <w:pPr>
        <w:ind w:firstLine="708"/>
        <w:jc w:val="both"/>
      </w:pPr>
      <w:r w:rsidRPr="00544AB7">
        <w:t>Având în vedere toate aspectele menționate mai sus, instanța urmează a constata faptul că, în cauză, se impunea aplicarea circumstanței atentuante privind participarea redusă a Reclamantei la presupusa încălcare și diminuarea nivelului de bază al amenzii cu 10%.</w:t>
      </w:r>
    </w:p>
    <w:p w:rsidRPr="00544AB7" w:rsidR="00D41C6E">
      <w:pPr>
        <w:pStyle w:val="Frspaiere"/>
        <w:ind w:firstLine="709"/>
        <w:jc w:val="both"/>
        <w:rPr>
          <w:rStyle w:val="Fontdeparagrafimplicit"/>
          <w:rFonts w:ascii="Times New Roman" w:hAnsi="Times New Roman"/>
          <w:i/>
          <w:sz w:val="24"/>
        </w:rPr>
      </w:pPr>
      <w:r w:rsidRPr="00544AB7">
        <w:rPr>
          <w:rStyle w:val="Fontdeparagrafimplicit"/>
          <w:rFonts w:ascii="Times New Roman" w:hAnsi="Times New Roman"/>
          <w:i/>
          <w:sz w:val="24"/>
        </w:rPr>
        <w:t>I.2 Întâmpinarea</w:t>
      </w:r>
    </w:p>
    <w:p w:rsidRPr="00544AB7" w:rsidR="00D41C6E">
      <w:pPr>
        <w:ind w:firstLine="708"/>
        <w:jc w:val="both"/>
      </w:pPr>
      <w:r w:rsidRPr="00544AB7">
        <w:t>Pârâtul Consiliul Concurenţei a depus întâmpinare, prin care a solicitat  respingerea cererii de chemare în judecată, ca neîntemeiate, pentru motivele ce vor fi prezentate, în esenţă, în continuare.</w:t>
      </w:r>
    </w:p>
    <w:p w:rsidRPr="00544AB7" w:rsidR="00D41C6E">
      <w:pPr>
        <w:ind w:firstLine="708"/>
        <w:jc w:val="both"/>
      </w:pPr>
      <w:r w:rsidRPr="00544AB7">
        <w:t>Reclamanta nu a prezentat motivele pentru care solicită anularea raportului de investigaţie şi a operaţiunilor administrative ce au stat la baza emiterii deciziei nr.</w:t>
      </w:r>
      <w:r w:rsidRPr="00544AB7" w:rsidR="001477A4">
        <w:t>..../2020</w:t>
      </w:r>
      <w:r w:rsidRPr="00544AB7">
        <w:t>, împrejurare care atrage nulitatea acestor petite.</w:t>
      </w:r>
    </w:p>
    <w:p w:rsidRPr="00544AB7" w:rsidR="00D41C6E">
      <w:pPr>
        <w:ind w:firstLine="708"/>
        <w:jc w:val="both"/>
      </w:pPr>
      <w:r w:rsidRPr="00544AB7">
        <w:t>Cererea de anulare a raportului de investigaţie este inadmisibilă, deoarece raportul constituie doar un act premergător emiterii deciziei de sancţionare, nu reprezintă un act administrativ, deoarece nu dă naştere, nu modifică, nici nu stinge vreun raport juridic şi nu stabileşte obligaţii în sarcina reclamantei. Similar, nici operaţiunile administrative prealabile deciziei nu constituie acte administrative, tocmai din cauza calificării lor ca „operaţiuni”, astfel încât nici cererea de anulare a acestora nu este admisibilă.</w:t>
      </w:r>
    </w:p>
    <w:p w:rsidRPr="00544AB7" w:rsidR="00D41C6E">
      <w:pPr>
        <w:ind w:firstLine="708"/>
        <w:jc w:val="both"/>
      </w:pPr>
      <w:r w:rsidRPr="00544AB7">
        <w:t xml:space="preserve">În privinţa Hotărârii din data de 20.11.2017, prin care Plenul Consiliului Concurenţei a decis deschidererea investigaţiei, arată că, la momentul emiterii ei, prevederile art.18, alin.3 din Legea nr.21/1996 erau în vigoare, astfel încât mandatele consilierilor de concurenţă </w:t>
      </w:r>
      <w:r w:rsidRPr="00544AB7" w:rsidR="00136365">
        <w:t>...M.1...</w:t>
      </w:r>
      <w:r w:rsidRPr="00544AB7">
        <w:t xml:space="preserve"> şi </w:t>
      </w:r>
      <w:r w:rsidRPr="00544AB7" w:rsidR="00136365">
        <w:t>...M.2...</w:t>
      </w:r>
      <w:r w:rsidRPr="00544AB7">
        <w:t xml:space="preserve"> se desfăşurau legal, decizia nr.58/26.01.2021, prin care Curtea Constituţională a declarat textul neconform, cu legea fundamentală,  fiind publicată în Monitorul Oficial în data de 04.05.2021 şi producându-şi efectele doar pentru viitor.</w:t>
      </w:r>
    </w:p>
    <w:p w:rsidRPr="00544AB7" w:rsidR="00D41C6E">
      <w:pPr>
        <w:ind w:firstLine="708"/>
        <w:jc w:val="both"/>
      </w:pPr>
      <w:r w:rsidRPr="00544AB7">
        <w:t xml:space="preserve"> Pe de altă parte, Plenul Consiliului Concurenţei este un organ decizional colegial şi nu unipersonal, astfel încât condiţiile de cvorum pentru prezenţă şi pentru vot ar fi fost îndeplinite chiar şi în ipoteza în care mandatul celor doi membri nu ar fi fost valid.</w:t>
      </w:r>
    </w:p>
    <w:p w:rsidRPr="00544AB7" w:rsidR="00D41C6E">
      <w:pPr>
        <w:ind w:firstLine="708"/>
        <w:jc w:val="both"/>
      </w:pPr>
      <w:r w:rsidRPr="00544AB7">
        <w:t>În privinţa mandatului preşedintelui Consiliului Concurenţei menţionează că activitatea desfăşurată în cadrul Agenţiei Uniunii Europene pentru Cooperarea Autorităţilor de Reglementare din Domeniul Energiei se circumscrie interesului public al Uniunii Europene, iar prin adresa nr.</w:t>
      </w:r>
      <w:r w:rsidRPr="00544AB7" w:rsidR="001477A4">
        <w:t>.....</w:t>
      </w:r>
      <w:r w:rsidRPr="00544AB7">
        <w:t>/24.12.2019, Agenţia Naţională de Integritate a precizat că deţinerea calităţii de membru în Consiliul de Administraţie al acelei instituţii nu este incompatibilă cu calitatea de preşedinte al Consiliului Concurenţei. Arată că cele două activităţi nu pot intra în conflict, interesele vizate fiind convergente.</w:t>
      </w:r>
    </w:p>
    <w:p w:rsidRPr="00544AB7" w:rsidR="00D41C6E">
      <w:pPr>
        <w:ind w:firstLine="708"/>
        <w:jc w:val="both"/>
      </w:pPr>
      <w:r w:rsidRPr="00544AB7">
        <w:t>Cu privire la continuarea activităţii preşedintelui Consiliului, după încetarea mandatului acordat prin Decretul nr.</w:t>
      </w:r>
      <w:r w:rsidRPr="00544AB7" w:rsidR="001477A4">
        <w:t>....</w:t>
      </w:r>
      <w:r w:rsidRPr="00544AB7">
        <w:t>/2015 al Preşedintelui României, arată că aceasta s-a realizat în temeiul art.18, alin.3 din Legea nr.21/1996, ca urmare a unor împrejurări obiective care au determinat întârzierea procedurilor pentru emiterea noului decret.</w:t>
      </w:r>
    </w:p>
    <w:p w:rsidRPr="00544AB7" w:rsidR="00D41C6E">
      <w:pPr>
        <w:ind w:firstLine="708"/>
        <w:jc w:val="both"/>
      </w:pPr>
      <w:r w:rsidRPr="00544AB7">
        <w:t>Nu poate fi primită interpretarea reclamantei, potrivit căreia Consiliul nu şi-ar mai fi putut desfăşura activitatea după data de 24.03.2020, deoarece, într-o astfel de situaţie, s-ar fi ajuns la neîndeplinirea de către statul român a obligaţiilor asumate în temeiul art.101-102 T.F.U.E., de aplicare a normelor naţionale şi europene în materie de concurenţă.</w:t>
      </w:r>
    </w:p>
    <w:p w:rsidRPr="00544AB7" w:rsidR="00D41C6E">
      <w:pPr>
        <w:ind w:firstLine="708"/>
        <w:jc w:val="both"/>
      </w:pPr>
      <w:r w:rsidRPr="00544AB7">
        <w:t>Precizează că şi în ceea ce priveşte deciziile la care a participat preşedintele Consiliului, condiţiile legale de cvorum pentru prezenţă şi pentru adoptare ar fi fost îndeplinite chiar şi în ipoteza în care s-ar reţine că mandatul său era unui viciat. Mai exact, decizia contestată a fost adoptată cu participarea tutturor celor 6 membri ai plenului, aflaţi în funcţie la acel moment.</w:t>
      </w:r>
    </w:p>
    <w:p w:rsidRPr="00544AB7" w:rsidR="00D41C6E">
      <w:pPr>
        <w:ind w:firstLine="708"/>
        <w:jc w:val="both"/>
      </w:pPr>
      <w:r w:rsidRPr="00544AB7">
        <w:t xml:space="preserve">Cu privire la probatoriul avut în vedere la reţinerea faptei anticoncurenţiale în sarcina reclamantei, menţionează că acesta nu s-a rezumat doar la declaraţia de clemenţă depusă de </w:t>
      </w:r>
      <w:r w:rsidRPr="00544AB7" w:rsidR="0018311F">
        <w:t>...X...</w:t>
      </w:r>
      <w:r w:rsidRPr="00544AB7">
        <w:t xml:space="preserve"> SRL şi la înscrisurile anexate acesteia, ci şi la înscrisurile obţinute în cadrul inspecţiilor inopinate (desfăşurate atât la această societate, cât şi la unele întreprinderi), respectiv la răspunsul dat de </w:t>
      </w:r>
      <w:r w:rsidRPr="00544AB7" w:rsidR="004C2395">
        <w:t>...Z...</w:t>
      </w:r>
      <w:r w:rsidRPr="00544AB7">
        <w:t xml:space="preserve"> la solicitările de informaţii ale Consiliului.</w:t>
      </w:r>
    </w:p>
    <w:p w:rsidRPr="00544AB7" w:rsidR="00D41C6E">
      <w:pPr>
        <w:ind w:firstLine="708"/>
        <w:jc w:val="both"/>
      </w:pPr>
      <w:r w:rsidRPr="00544AB7">
        <w:t xml:space="preserve"> În privinţa doamnei </w:t>
      </w:r>
      <w:r w:rsidRPr="00544AB7" w:rsidR="00FC6A20">
        <w:t>...R...</w:t>
      </w:r>
      <w:r w:rsidRPr="00544AB7">
        <w:t xml:space="preserve">, arată că nu se poate reţine reaua-credinţă a acesteia, în condiţiile în care înscrisurile depuse în cadrul procedurii de clemenţă, de către </w:t>
      </w:r>
      <w:r w:rsidRPr="00544AB7" w:rsidR="0018311F">
        <w:t>...X...</w:t>
      </w:r>
      <w:r w:rsidRPr="00544AB7">
        <w:t xml:space="preserve">, erau anterioare depunerii cererii de clemenţă, neputând fi influenţate de atitudinea subiectivă a persoanei în cauză. Arată că ocuparea funcţiei de inspector de concurenţă s-a realizat în urma unui concurs, la 3 ani după declanşarea investigaţiei, iar corespondenţa purtată în anul 2020 cu </w:t>
      </w:r>
      <w:r w:rsidRPr="00544AB7" w:rsidR="0018311F">
        <w:t>...X...</w:t>
      </w:r>
      <w:r w:rsidRPr="00544AB7">
        <w:t xml:space="preserve"> a fost semnată de o altă persoană, care deţinea calitatea de reprezentant al acestei societăţi.</w:t>
      </w:r>
    </w:p>
    <w:p w:rsidRPr="00544AB7" w:rsidR="00D41C6E">
      <w:pPr>
        <w:ind w:firstLine="708"/>
        <w:jc w:val="both"/>
      </w:pPr>
      <w:r w:rsidRPr="00544AB7">
        <w:t>În ceea ce priveşte conţinutul declaraţiei de clemenţă, arată că: (i) autoritatea de concurenţă nu a avut în vedere totalitatea aspectelor cuprinse în cadrul declaraţiei de clemenţă ; (ii) Consiliul Concurenţei a realizat propria analiză a informaţiilor şi probelor existente cu privire la fapta sancţionată .</w:t>
      </w:r>
    </w:p>
    <w:p w:rsidRPr="00544AB7" w:rsidR="00D41C6E">
      <w:pPr>
        <w:ind w:firstLine="708"/>
        <w:jc w:val="both"/>
      </w:pPr>
      <w:r w:rsidRPr="00544AB7">
        <w:t xml:space="preserve">În ceea ce priveşte schimbul de informaţii, având ca obiect estimările viitoare, independent de eventualele declaraţii din cadrul procedurii de clemenţă, realizarea schimbului de informaţii (în speţă, primirea raportărilor conţinând inclusiv estimări viitoare privind valoarea finanțată) este demonstrată de documentele ridicate din inspecţii inopinate de la întreprinderile de leasing şi din împuterniciri şi procese verbale identificate la </w:t>
      </w:r>
      <w:r w:rsidRPr="00544AB7" w:rsidR="0018311F">
        <w:t>...X...</w:t>
      </w:r>
      <w:r w:rsidRPr="00544AB7">
        <w:t xml:space="preserve"> SRL.</w:t>
      </w:r>
    </w:p>
    <w:p w:rsidRPr="00544AB7" w:rsidR="00D41C6E">
      <w:pPr>
        <w:ind w:firstLine="708"/>
        <w:jc w:val="both"/>
      </w:pPr>
      <w:r w:rsidRPr="00544AB7">
        <w:t xml:space="preserve"> Conform procedurii interne a asociaţiei </w:t>
      </w:r>
      <w:r w:rsidRPr="00544AB7" w:rsidR="0075748D">
        <w:t>...W*...</w:t>
      </w:r>
      <w:r w:rsidRPr="00544AB7">
        <w:t xml:space="preserve">, în perioada analizată, ridicarea centralizării raportărilor de la </w:t>
      </w:r>
      <w:r w:rsidRPr="00544AB7" w:rsidR="0018311F">
        <w:t>...X...</w:t>
      </w:r>
      <w:r w:rsidRPr="00544AB7">
        <w:t xml:space="preserve"> SRL putea fi făcută de întreprinderile </w:t>
      </w:r>
      <w:r w:rsidRPr="00544AB7" w:rsidR="0075748D">
        <w:t>...W*...</w:t>
      </w:r>
      <w:r w:rsidRPr="00544AB7">
        <w:t xml:space="preserve"> doar prin intermediul unei persoane special desemnate de întreprinderi în acest sens, în baza unei împuterniciri. În momentul ridicării, persoana împuternicită de întreprindere semna de primire într-un proces verbal, care preciza perioada pentru care se făcea raportarea, numele persoanei împuternicite şi data ridicării documentului.</w:t>
      </w:r>
    </w:p>
    <w:p w:rsidRPr="00544AB7" w:rsidR="00D41C6E">
      <w:pPr>
        <w:ind w:firstLine="708"/>
        <w:jc w:val="both"/>
      </w:pPr>
      <w:r w:rsidRPr="00544AB7">
        <w:t xml:space="preserve">Răspunsul </w:t>
      </w:r>
      <w:r w:rsidRPr="00544AB7" w:rsidR="0018311F">
        <w:t>...X...</w:t>
      </w:r>
      <w:r w:rsidRPr="00544AB7">
        <w:t xml:space="preserve"> din august 2020 nu face decât să confirme schimbul de informaţii sensibile ce rezulta din probele indicate supra. </w:t>
      </w:r>
    </w:p>
    <w:p w:rsidRPr="00544AB7" w:rsidR="00D41C6E">
      <w:pPr>
        <w:ind w:firstLine="708"/>
        <w:jc w:val="both"/>
      </w:pPr>
      <w:r w:rsidRPr="00544AB7">
        <w:t xml:space="preserve">Astfel cum reiese din extrasul răspunsului furnizat de către </w:t>
      </w:r>
      <w:r w:rsidRPr="00544AB7" w:rsidR="0018311F">
        <w:t>...X...</w:t>
      </w:r>
      <w:r w:rsidRPr="00544AB7">
        <w:t xml:space="preserve"> - prezentat la pct. 568 din Decizia CC - în urma procedurii IT&amp;software necesara pentru reactivarea adresei de e-mail a fostului angajat </w:t>
      </w:r>
      <w:r w:rsidRPr="00544AB7" w:rsidR="004C2395">
        <w:t>...T...</w:t>
      </w:r>
      <w:r w:rsidRPr="00544AB7">
        <w:t xml:space="preserve"> au fost identificate o serie de mesaje e-mail comunicate către membrii industriei de leasing din </w:t>
      </w:r>
      <w:r w:rsidRPr="00544AB7" w:rsidR="0075748D">
        <w:t>...W*...</w:t>
      </w:r>
      <w:r w:rsidRPr="00544AB7">
        <w:t xml:space="preserve"> (în urma analizei mesajelor constatându-se faptul că în perioada 2014-2015 membrii industriei de leasing </w:t>
      </w:r>
      <w:r w:rsidRPr="00544AB7" w:rsidR="0075748D">
        <w:t>...W*...</w:t>
      </w:r>
      <w:r w:rsidRPr="00544AB7">
        <w:t xml:space="preserve"> au raportat spre analiza, centralizare şi diseminare în detaliu estimări viitoare ale volumului total de finanţare în baza contractelor de leasing financiar pentru anii 2014 si 2015).  De asemenea, in răspunsul </w:t>
      </w:r>
      <w:r w:rsidRPr="00544AB7" w:rsidR="0018311F">
        <w:t>...X...</w:t>
      </w:r>
      <w:r w:rsidRPr="00544AB7">
        <w:t xml:space="preserve"> se indica faptul că raportările individuale au urmat analiza clasica la nivelul </w:t>
      </w:r>
      <w:r w:rsidRPr="00544AB7" w:rsidR="0018311F">
        <w:t>...X...</w:t>
      </w:r>
      <w:r w:rsidRPr="00544AB7">
        <w:t xml:space="preserve"> in sensul consolidării tabelare, cu păstrarea si transparenta detaliului individual raportat de fiecare membru si ulterior diseminat in aceasta forma.</w:t>
      </w:r>
    </w:p>
    <w:p w:rsidRPr="00544AB7" w:rsidR="00D41C6E">
      <w:pPr>
        <w:ind w:firstLine="708"/>
        <w:jc w:val="both"/>
      </w:pPr>
      <w:r w:rsidRPr="00544AB7">
        <w:t xml:space="preserve">In cadrul răspunsului furnizat, </w:t>
      </w:r>
      <w:r w:rsidRPr="00544AB7" w:rsidR="0018311F">
        <w:t>...X...</w:t>
      </w:r>
      <w:r w:rsidRPr="00544AB7">
        <w:t xml:space="preserve"> a justificat aceasta revenire ulterioara prin prisma faptului ca: (i) cererea autorităţii de concurenta făcea trimitere la informaţii la care societatea nu a avut acces imediat intrucat aceste informaţii erau conexe unei adrese de email desfiinţate in ianuarie 2017; (ii) reactivarea adresei de email si obţinerea accesului la arhiva in baza unui abonament/licenţe Microsoft a necesitat o procedura ce a întârziat răspunsul </w:t>
      </w:r>
      <w:r w:rsidRPr="00544AB7" w:rsidR="0018311F">
        <w:t>...X...</w:t>
      </w:r>
      <w:r w:rsidRPr="00544AB7">
        <w:t>.</w:t>
      </w:r>
    </w:p>
    <w:p w:rsidRPr="00544AB7" w:rsidR="00D41C6E">
      <w:pPr>
        <w:ind w:firstLine="708"/>
        <w:jc w:val="both"/>
      </w:pPr>
      <w:r w:rsidRPr="00544AB7">
        <w:t xml:space="preserve">În ceea ce priveşte recunoaşterea expresă formulată de către </w:t>
      </w:r>
      <w:r w:rsidRPr="00544AB7" w:rsidR="004C2395">
        <w:t>...Z...</w:t>
      </w:r>
      <w:r w:rsidRPr="00544AB7">
        <w:t xml:space="preserve"> menţionează faptul că aceasta confirmă existenţa faptelor anticoncurenţiale</w:t>
      </w:r>
    </w:p>
    <w:p w:rsidRPr="00544AB7" w:rsidR="00D41C6E">
      <w:pPr>
        <w:ind w:firstLine="708"/>
        <w:jc w:val="both"/>
      </w:pPr>
      <w:r w:rsidRPr="00544AB7">
        <w:t>...Z...</w:t>
      </w:r>
      <w:r w:rsidRPr="00544AB7" w:rsidR="00914311">
        <w:t xml:space="preserve"> România IFN SA (în continuare </w:t>
      </w:r>
      <w:r w:rsidRPr="00544AB7">
        <w:t>...Z...</w:t>
      </w:r>
      <w:r w:rsidRPr="00544AB7" w:rsidR="00914311">
        <w:t>) a transmis autorităţii de concurenţă o cerere de recunoaştere înainte de comunicarea raportului de investigaţie, recunoscând în mod expres, clar, neechivoc şi în integralitate fapta anticoncurenţială săvârşită şi durata acesteia, întreprinderea a beneficiat de diminuarea nivelului de bază al amenzii cu un procent de 20%, în conformitate cu prevederile legii.</w:t>
      </w:r>
    </w:p>
    <w:p w:rsidRPr="00544AB7" w:rsidR="00D41C6E">
      <w:pPr>
        <w:ind w:firstLine="708"/>
        <w:jc w:val="both"/>
      </w:pPr>
      <w:r w:rsidRPr="00544AB7">
        <w:t xml:space="preserve">Astfel cum se menţionează în Decizia CC  </w:t>
      </w:r>
      <w:r w:rsidRPr="00544AB7" w:rsidR="004C2395">
        <w:t>...Z...</w:t>
      </w:r>
      <w:r w:rsidRPr="00544AB7">
        <w:t xml:space="preserve"> s-a angajat să recunoască existenţa faptei anticoncurenţiale, respectiv „calitatea de participant a întreprinderii în perioada 20.02.2014 - 31.12.2014 la fapta anticoncurenţială având ca obiect o înţelegere şi/sau practică concertată săvârşită de către firme membre </w:t>
      </w:r>
      <w:r w:rsidRPr="00544AB7" w:rsidR="0075748D">
        <w:t>...W*...</w:t>
      </w:r>
      <w:r w:rsidRPr="00544AB7">
        <w:t xml:space="preserve"> prin participarea la un schimb de informaţii sensibile din punct de vedere comercial cu privire la cantităţi viitoare (valoarea nou finanţată), care a avut potenţialul de a conduce la reducerea incertitudinii strategice de pe piaţă".</w:t>
      </w:r>
    </w:p>
    <w:p w:rsidRPr="00544AB7" w:rsidR="00D41C6E">
      <w:pPr>
        <w:ind w:firstLine="708"/>
        <w:jc w:val="both"/>
      </w:pPr>
      <w:r w:rsidRPr="00544AB7">
        <w:t>Recunoaşterea este o opţiune la care întreprinderea apelează în cazul în care consideră că materialul probator este suficient de solid pentru a dovedi o încălcare a legislaţiei din domeniul concurenţei.</w:t>
      </w:r>
    </w:p>
    <w:p w:rsidRPr="00544AB7" w:rsidR="00D41C6E">
      <w:pPr>
        <w:ind w:firstLine="708"/>
        <w:jc w:val="both"/>
      </w:pPr>
      <w:r w:rsidRPr="00544AB7">
        <w:t>Evaluarea internă a cazului şi decizia întreprinderii de a apela la această procedură este apanajul exclusiv al întreprinderii, aceasta asumându-şi consecinţele şi caracterul neechivoc al cererii de recunoaştere. Exercitarea de către întreprindere a acţiunii în anulare a deciziei Consiliului Concurenţei, în privinţa aspectelor care fac obiectul recunoaşterii, atrage pierderea beneficiului referitor la reducerea cuantumului amenzii .</w:t>
      </w:r>
    </w:p>
    <w:p w:rsidRPr="00544AB7" w:rsidR="00D41C6E">
      <w:pPr>
        <w:ind w:firstLine="708"/>
        <w:jc w:val="both"/>
      </w:pPr>
      <w:r w:rsidRPr="00544AB7">
        <w:t>Doctrina în materie a consacrat valoarea de probă indirectă a recunoaşterii faptei, sens în care redăm, cu titlu exemplificativ, următorul paragraf relevant:</w:t>
      </w:r>
    </w:p>
    <w:p w:rsidRPr="00544AB7" w:rsidR="00D41C6E">
      <w:pPr>
        <w:ind w:firstLine="708"/>
        <w:jc w:val="both"/>
      </w:pPr>
      <w:r w:rsidRPr="00544AB7">
        <w:t>„O probă singulară, inclusiv o declaraţie dintr-o singură sursă (cu excepţia situaţiei în care aceasta este contestată de celelalte întreprinderi), poate să fie suficientă în stabilirea unei încălcări, cu condiţia ca valoarea probatorie a acesteia să ateste în mod precis existenţa respectivei încălcări " .</w:t>
      </w:r>
    </w:p>
    <w:p w:rsidRPr="00544AB7" w:rsidR="00D41C6E">
      <w:pPr>
        <w:ind w:firstLine="708"/>
        <w:jc w:val="both"/>
      </w:pPr>
      <w:r w:rsidRPr="00544AB7">
        <w:t>...Z...</w:t>
      </w:r>
      <w:r w:rsidRPr="00544AB7" w:rsidR="00914311">
        <w:t xml:space="preserve">   (concurent al reclamantei), parte implicata in schimbul de informaţii în scopul majorării tarifelor a recunoscut existenţa faptei aşa cum a fost reţinuta de către autoritatea de concurentă.</w:t>
      </w:r>
    </w:p>
    <w:p w:rsidRPr="00544AB7" w:rsidR="00D41C6E">
      <w:pPr>
        <w:ind w:firstLine="708"/>
        <w:jc w:val="both"/>
      </w:pPr>
      <w:r w:rsidRPr="00544AB7">
        <w:t xml:space="preserve">Fata de cele prezentate anterior, contrar susţinerilor reclamantei, subliniază faptul că recunoaşterea realizării schimbului de informaţii privind cantităţi viitoare intre societăţile concurente pe piaţa serviciilor de leasing financiar (care se regăseau în aceeaşi poziţie comercială cu cea a reclamantei) prin mijlocirea </w:t>
      </w:r>
      <w:r w:rsidRPr="00544AB7" w:rsidR="0075748D">
        <w:t>...W*...</w:t>
      </w:r>
      <w:r w:rsidRPr="00544AB7">
        <w:t xml:space="preserve"> si a </w:t>
      </w:r>
      <w:r w:rsidRPr="00544AB7" w:rsidR="0018311F">
        <w:t>...X...</w:t>
      </w:r>
      <w:r w:rsidRPr="00544AB7">
        <w:t xml:space="preserve"> are valoarea unei probe indirecte faţă de ceilalţi participanţi la încălcare (deci inclusiv faţă de reclamantă).</w:t>
      </w:r>
    </w:p>
    <w:p w:rsidRPr="00544AB7" w:rsidR="00D41C6E">
      <w:pPr>
        <w:ind w:firstLine="708"/>
        <w:jc w:val="both"/>
      </w:pPr>
      <w:r w:rsidRPr="00544AB7">
        <w:t>Faptul că întreprinderile sancţionate erau conştiente de încălcarea la care acestea erau parte este susţinut atât de probele existente la dosar (prelevate in cadrul inspecţiilor inopinate derulate la părţile implicate, răspunsuri la solicitări de informaţii, inscrisuri depuse in cadrul procedurii de clementa) cât şi de recunoaşterea expresă a faptei anticoncurenţiale.</w:t>
      </w:r>
    </w:p>
    <w:p w:rsidRPr="00544AB7" w:rsidR="00D41C6E">
      <w:pPr>
        <w:ind w:firstLine="708"/>
        <w:jc w:val="both"/>
      </w:pPr>
      <w:r w:rsidRPr="00544AB7">
        <w:t>Ca atare, faţă de considerentele din doctrina incidenţă, având în vedere valoarea de probă fie chiar şi a unei singure declaraţii de recunoaştere faţă de calificarea faptelor celorlalte părţi implicate în săvârşirea încălcării, nu poate fi ignorată valoarea probatorie a unei recunoaşteri, care:</w:t>
      </w:r>
    </w:p>
    <w:p w:rsidRPr="00544AB7" w:rsidR="00D41C6E">
      <w:pPr>
        <w:ind w:firstLine="708"/>
        <w:jc w:val="both"/>
      </w:pPr>
      <w:r w:rsidRPr="00544AB7">
        <w:t>-are caracter de mărturie deplină prin autocalificarea expresă a faptei săvârşite;</w:t>
      </w:r>
    </w:p>
    <w:p w:rsidRPr="00544AB7" w:rsidR="00D41C6E">
      <w:pPr>
        <w:ind w:firstLine="708"/>
        <w:jc w:val="both"/>
      </w:pPr>
      <w:r w:rsidRPr="00544AB7">
        <w:t xml:space="preserve">-confirmă acurateţea/autenticitatea faptei anticoncurenţiale descrise în raportul de investigaţie; </w:t>
      </w:r>
    </w:p>
    <w:p w:rsidRPr="00544AB7" w:rsidR="00D41C6E">
      <w:pPr>
        <w:ind w:firstLine="708"/>
        <w:jc w:val="both"/>
      </w:pPr>
      <w:r w:rsidRPr="00544AB7">
        <w:t>-atestă existenţa faptei anticoncurenţiale şi a modului de punere în aplicare a acesteia, coroborată cu celelalte probe ce conturează/întregesc profilul anticoncurenţial al faptei analizate.</w:t>
      </w:r>
    </w:p>
    <w:p w:rsidRPr="00544AB7" w:rsidR="00D41C6E">
      <w:pPr>
        <w:ind w:firstLine="708"/>
        <w:jc w:val="both"/>
      </w:pPr>
      <w:r w:rsidRPr="00544AB7">
        <w:t>În ceea ce priveşte motivele de nelegalitate privind aspecte de fond</w:t>
      </w:r>
    </w:p>
    <w:p w:rsidRPr="00544AB7" w:rsidR="00D41C6E">
      <w:pPr>
        <w:ind w:firstLine="708"/>
        <w:jc w:val="both"/>
      </w:pPr>
      <w:r w:rsidRPr="00544AB7">
        <w:t>1. Precizări prealabile cu privire la standardul probatoriu aplicabil în dreptul concurenţei in privinţa practicilor anticoncurenţiale prin obiect</w:t>
      </w:r>
    </w:p>
    <w:p w:rsidRPr="00544AB7" w:rsidR="00D41C6E">
      <w:pPr>
        <w:ind w:firstLine="708"/>
        <w:jc w:val="both"/>
      </w:pPr>
      <w:r w:rsidRPr="00544AB7">
        <w:t xml:space="preserve">Menționează că instanțele de la nivelul Uniunii Europene au trasat anumite coordonate jurisprudențiale potrivit cărora nu este necesar ca fiecare element de probă furnizat de autoritate să satisfacă cerința preciziei și a solidității în relație cu fiecare aspect al încălcării, ci este necesar ca ansamblul de probe, privite împreună, să demonstreze existența acordului sau a practicii interzise. </w:t>
      </w:r>
    </w:p>
    <w:p w:rsidRPr="00544AB7" w:rsidR="00D41C6E">
      <w:pPr>
        <w:ind w:firstLine="708"/>
        <w:jc w:val="both"/>
      </w:pPr>
      <w:r w:rsidRPr="00544AB7">
        <w:t>La această concluzie s-a ajuns deoarece acțiunile pe care societățile le întreprind în realizarea faptelor anticoncurențiale au loc într-o manieră clandestină, documentele asociate acestora fiind reduse la minimum, astfel încât sunt admisibile toate mijloacele de probă, iar autoritatea de concurență are libertatea de a le aprecia, singurul criteriu relevant fiind credibilitatea acestora.</w:t>
      </w:r>
    </w:p>
    <w:p w:rsidRPr="00544AB7" w:rsidR="00D41C6E">
      <w:pPr>
        <w:ind w:firstLine="708"/>
        <w:jc w:val="both"/>
      </w:pPr>
      <w:r w:rsidRPr="00544AB7">
        <w:t xml:space="preserve"> În acest context autoritatea de concurență poate suplimenta cu deducții elementele de probă fragmentare și sporadice pe care le are la dispoziție.</w:t>
      </w:r>
    </w:p>
    <w:p w:rsidRPr="00544AB7" w:rsidR="00D41C6E">
      <w:pPr>
        <w:ind w:firstLine="708"/>
        <w:jc w:val="both"/>
      </w:pPr>
      <w:r w:rsidRPr="00544AB7">
        <w:t xml:space="preserve">În același sens s-a pronunțat și practica judiciară națională. </w:t>
      </w:r>
    </w:p>
    <w:p w:rsidRPr="00544AB7" w:rsidR="00D41C6E">
      <w:pPr>
        <w:ind w:firstLine="708"/>
        <w:jc w:val="both"/>
      </w:pPr>
      <w:r w:rsidRPr="00544AB7">
        <w:t>Pârâtul menționează că decizia contestată conține elementele de fapt și de drept din care reiese cu claritate fapta pentru care a fost sancționată reclamantă, respectiv participarea la o practică anticoncurențială prin obiect, aceasta având posibilitatea să își exercite mod corespunzător dreptul la apărare.</w:t>
      </w:r>
    </w:p>
    <w:p w:rsidRPr="00544AB7" w:rsidR="00D41C6E">
      <w:pPr>
        <w:ind w:firstLine="708"/>
        <w:jc w:val="both"/>
      </w:pPr>
      <w:r w:rsidRPr="00544AB7">
        <w:t xml:space="preserve"> Mai exact, în sarcina reclamantei s-a reținut, așa cum rezultă din raportul de investigație, astfel cum a fost completat, că a transmis, alături de alte întreprinderi membre </w:t>
      </w:r>
      <w:r w:rsidRPr="00544AB7" w:rsidR="0075748D">
        <w:t>...W*...</w:t>
      </w:r>
      <w:r w:rsidRPr="00544AB7">
        <w:t xml:space="preserve">, estimări cu privire la valoarea ce urma a fi finanțată în cursul anului 2014, către </w:t>
      </w:r>
      <w:r w:rsidRPr="00544AB7" w:rsidR="0018311F">
        <w:t>...X...</w:t>
      </w:r>
      <w:r w:rsidRPr="00544AB7">
        <w:t xml:space="preserve"> SRL, primind de la această întreprindere centralizarea estimărilor furnizate de ceilalți membri, reținându-se totodată că acest schimb de informații a redus incertitudinea strategică de pe piață, reprezentând o practică anticoncurențială prin obiect.</w:t>
      </w:r>
    </w:p>
    <w:p w:rsidRPr="00544AB7" w:rsidR="00D41C6E">
      <w:pPr>
        <w:ind w:firstLine="708"/>
        <w:jc w:val="both"/>
      </w:pPr>
      <w:r w:rsidRPr="00544AB7">
        <w:t xml:space="preserve">Menționează că societățile de leasing financiar nu realizează o producție de bunuri destinate comercializări, astfel încât conceptul de cantitate trebuie interpretat ca reprezentând valoarea finanțată, adică prețul de achiziție a bunului finanțat de către societatea de leasing din care se scade avansul achitat de către utilizator,  această definiție a valorii finanțate fiind utilizată şi de către </w:t>
      </w:r>
      <w:r w:rsidRPr="00544AB7" w:rsidR="0075748D">
        <w:t>...W*...</w:t>
      </w:r>
      <w:r w:rsidRPr="00544AB7">
        <w:t xml:space="preserve"> şi regăsindu-se inclusiv în tabelul centralizator pe care </w:t>
      </w:r>
      <w:r w:rsidRPr="00544AB7" w:rsidR="0018311F">
        <w:t>...X...</w:t>
      </w:r>
      <w:r w:rsidRPr="00544AB7">
        <w:t xml:space="preserve"> SRL îl comunica periodic membrilor asociației, în rapoartele Leaseurope, în jurisprudenţa europeană, în precizările din cadrul Studiului Copenhagen Economics din anul 2020, precum și în corespondența întreprinderilor implicate.</w:t>
      </w:r>
    </w:p>
    <w:p w:rsidRPr="00544AB7" w:rsidR="00D41C6E">
      <w:pPr>
        <w:ind w:firstLine="708"/>
        <w:jc w:val="both"/>
      </w:pPr>
      <w:r w:rsidRPr="00544AB7">
        <w:t xml:space="preserve">În consecință estimările privind valoarea nou finanțată constituie informații privind cantitățile viitoare, iar caracterul strategic al acestei informații rezultă din chiar afirmațiile unora din întreprinderile implicate, cum ar fi </w:t>
      </w:r>
      <w:r w:rsidRPr="00544AB7" w:rsidR="00E87CB3">
        <w:t>...G.4*...</w:t>
      </w:r>
      <w:r w:rsidRPr="00544AB7">
        <w:t xml:space="preserve"> IFN SA sau </w:t>
      </w:r>
      <w:r w:rsidRPr="00544AB7" w:rsidR="00E87CB3">
        <w:t>...G.3...</w:t>
      </w:r>
      <w:r w:rsidRPr="00544AB7">
        <w:t xml:space="preserve"> IFN SA, mai ales că acestea se coroborau și cu schimbul de informații privind cantitățile aferente anului anterior, care aveau un grad ridicat de detaliere, contribuind astfel la creșterea transparenței pe piață și la posibilitatea competitorilor de a-și adapta strategiile comerciale.</w:t>
      </w:r>
    </w:p>
    <w:p w:rsidRPr="00544AB7" w:rsidR="00D41C6E">
      <w:pPr>
        <w:ind w:firstLine="708"/>
        <w:jc w:val="both"/>
      </w:pPr>
      <w:r w:rsidRPr="00544AB7">
        <w:t xml:space="preserve">Odată stabilit obiectul anticoncurential al unei intelegeri si/practici concertate, efectele anticoncurenţiale sunt prezumate a se produce inevitabil si, prin urmare, nu este necesar a fi identificate, demonstrate a se putea produce/a se fi produs pe piaţa afectata. </w:t>
      </w:r>
    </w:p>
    <w:p w:rsidRPr="00544AB7" w:rsidR="00D41C6E">
      <w:pPr>
        <w:ind w:firstLine="708"/>
        <w:jc w:val="both"/>
      </w:pPr>
      <w:r w:rsidRPr="00544AB7">
        <w:t>Astfel cum rezulta din Orientările Comisiei privind aplicabilitatea articolului 101 din Tratatul privind funcţionarea Uniunii Europene acordurilor de cooperare orizontală (în continuare "Orientări"):</w:t>
      </w:r>
    </w:p>
    <w:p w:rsidRPr="00544AB7" w:rsidR="00D41C6E">
      <w:pPr>
        <w:ind w:firstLine="708"/>
        <w:jc w:val="both"/>
      </w:pPr>
      <w:r w:rsidRPr="00544AB7">
        <w:t>-art 101 alin.(l) din TFUE se aplică schimbului de date strategice - care reduce incertitudinea strategica pe piaţă, intre concurenţi, si restrâng independenţa de decizie a părţilor prin reducerea motivaţiei de a concura;</w:t>
      </w:r>
    </w:p>
    <w:p w:rsidRPr="00544AB7" w:rsidR="00D41C6E">
      <w:pPr>
        <w:ind w:firstLine="708"/>
        <w:jc w:val="both"/>
      </w:pPr>
      <w:r w:rsidRPr="00544AB7">
        <w:t>-datele strategice includ informaţii care se pot referi la preţuri, la listele de clienţi, la costurile de producţie, la cantităţi, la cifre de afaceri, la vânzări, la capacităţi, la calităţi, la planuri de marketing, la riscuri, la investiţii, la tehnologii, la programe de cercetare şi dezvoltare şi la rezultatele acestora;</w:t>
      </w:r>
    </w:p>
    <w:p w:rsidRPr="00544AB7" w:rsidR="00D41C6E">
      <w:pPr>
        <w:ind w:firstLine="708"/>
        <w:jc w:val="both"/>
      </w:pPr>
      <w:r w:rsidRPr="00544AB7">
        <w:t>-în general, informaţiile referitoare la preţuri şi cantităţi sunt cele mai importante din punct de vedere strategic, urmate de cele privind costurile şi cererea ;</w:t>
      </w:r>
    </w:p>
    <w:p w:rsidRPr="00544AB7" w:rsidR="00D41C6E">
      <w:pPr>
        <w:ind w:firstLine="708"/>
        <w:jc w:val="both"/>
      </w:pPr>
      <w:r w:rsidRPr="00544AB7">
        <w:t>-schimbul de informaţii pe piaţă poate duce şi la restrângeri ale concurenţei, în special în situaţii în care permite întreprinderilor să fie la curent cu strategiile de piaţă ale concurenţilor lor. Impactul schimbului de informaţii asupra concurenţei nu depinde doar de caracteristicile iniţiale ale pieţei în care acesta are loc (cum ar fi concentrarea, transparenţa, stabilitatea, simetria, complexitatea etc), ci şi de tipul de informaţii schimbate, care poate modifica mediul pieţei relevante în unul capabil să ducă la coluziune ;</w:t>
      </w:r>
    </w:p>
    <w:p w:rsidRPr="00544AB7" w:rsidR="00D41C6E">
      <w:pPr>
        <w:ind w:firstLine="708"/>
        <w:jc w:val="both"/>
      </w:pPr>
      <w:r w:rsidRPr="00544AB7">
        <w:t>-comunicarea informaţiilor între concurenţi poate constitui un acord, o practică concertată sau o decizie a unei asociaţii de întreprinderi, care au ca obiect fixarea, în special, a preţurilor sau a cantităţilor. In mod normal, aceste tipuri de schimburi de informaţii vor fi considerate ca fiind înţelegeri de tip cartel si vor fi amendate</w:t>
      </w:r>
    </w:p>
    <w:p w:rsidRPr="00544AB7" w:rsidR="00D41C6E">
      <w:pPr>
        <w:ind w:firstLine="708"/>
        <w:jc w:val="both"/>
      </w:pPr>
      <w:r w:rsidRPr="00544AB7">
        <w:t>-în evaluarea măsurii în care un schimb de informaţii constituie o restrângere a concurenţei prin obiect, Comisia va acorda o atenţie deosebită contextului juridic şi economic în care are loc schimbul de informaţii .</w:t>
      </w:r>
    </w:p>
    <w:p w:rsidRPr="00544AB7" w:rsidR="00D41C6E">
      <w:pPr>
        <w:ind w:firstLine="708"/>
        <w:jc w:val="both"/>
      </w:pPr>
      <w:r w:rsidRPr="00544AB7">
        <w:t>Conform para. 73 şi 74 din Orientările Comisiei privind aplicabilitatea art. 101 din TFUE acordurilor de cooperare orizontală, schimbul de informaţii cu privire la intenţiile individualizate de comportament viitor ale societăţilor referitor la preţuri sau cantităţi este foarte probabil să ducă la coluziune. (...) în plus, este mai puţin probabil ca schimbul de informaţii privind intenţiile viitoare să fie realizat din motive favorabile concurenţei, prin comparaţie cu schimbul de informaţii existente. Prin urmare, schimburile de informaţii între concurenţi privind informaţii individualizate referitoare la cantităţi sau preţuri pe care intenţionează să le aplice în viitor ar trebui considerate ca fiind o restricţie a concurenţei prin obiect". Astfel, decizia constată o practică ilicită în conformitate cu prevederile unionale şi experienţa acumulată la nivel comunitar.</w:t>
      </w:r>
    </w:p>
    <w:p w:rsidRPr="00544AB7" w:rsidR="00D41C6E">
      <w:pPr>
        <w:ind w:firstLine="708"/>
        <w:jc w:val="both"/>
      </w:pPr>
      <w:r w:rsidRPr="00544AB7">
        <w:t>În cazul de faţă este vorba despre un schimb de informaţii între concurenţi privind informaţii individualizate referitoare la cantităţi viitoare.</w:t>
      </w:r>
    </w:p>
    <w:p w:rsidRPr="00544AB7" w:rsidR="00D41C6E">
      <w:pPr>
        <w:ind w:firstLine="708"/>
        <w:jc w:val="both"/>
      </w:pPr>
      <w:r w:rsidRPr="00544AB7">
        <w:t>Decizia pronunţata in Cauza C-228/18 Budapest Bank si alţii v. Comisia (decizia Budapest Bank), invocata de reclamanta, nu schimba cu nimic intelesul noţiunii de incalcare prin obiect a normelor de concurenta si nu instituie obligaţii suplimentare in sarcina autorităţilor de concurenta atunci cand acestea analizează practici anticoncurenţiale prin obiect. Art. 101 TFUE prevede in continuare, in mod similar art. 5 din Legea concurentei, ca înţelegerile anticoncurenţiale sunt fie intelegeri restrictive de concurenta prin obiect, fie intelegeri restrictive de concurenta prin efect, fara a exista condiţii suplimentare in cazul existentei/al constatării unor astfel de intelegeri.</w:t>
      </w:r>
    </w:p>
    <w:p w:rsidRPr="00544AB7" w:rsidR="00D41C6E">
      <w:pPr>
        <w:ind w:firstLine="708"/>
        <w:jc w:val="both"/>
      </w:pPr>
      <w:r w:rsidRPr="00544AB7">
        <w:t>Dezlegarea pe care CJUE o oferă in hotărârea indicata de reclamanta nu trasează linii directoare de principiu, general aplicabile in orice cauza in care se constata existenta unei practici anticoncurenţiale prin obiect, abordarea instanţei europene fiind circumscrisa situaţiei particulare a cazului. Ceea ce delimitează speţa respectiva de toate celelalte cauze este specificul pieţei pe care s-a constatat incalcarea, respectiv un anumit segment al pieţei serviciilor bancare caracterizat printr-o natura bidimensionala (two-sided market). Prin urmare, piaţa pe care a avut loc incalcarea nu era o piaţa clasica, ci una atipica, bidimensionala.</w:t>
      </w:r>
    </w:p>
    <w:p w:rsidRPr="00544AB7" w:rsidR="00D41C6E">
      <w:pPr>
        <w:ind w:firstLine="708"/>
        <w:jc w:val="both"/>
      </w:pPr>
      <w:r w:rsidRPr="00544AB7">
        <w:t>În concluzie, practica incriminată în Decizia CC este o încălcare prin obiect, fiind parcurse toate etapele şi fiind efectuate toate analizele necesare în acest sens.</w:t>
      </w:r>
    </w:p>
    <w:p w:rsidRPr="00544AB7" w:rsidR="00D41C6E">
      <w:pPr>
        <w:ind w:firstLine="708"/>
        <w:jc w:val="both"/>
      </w:pPr>
      <w:r w:rsidRPr="00544AB7">
        <w:t>Astfel cum se precizează in Decizia CC, schimbul de informaţii realizat intre părţile implicate conţine date detaliate privind capacitatea părtilor implicate de a furniza servicii de leasing financiar. Astfel de informaţii sunt, în mod normal, considerate a fi un secret comercial care conferă avantaje concurenţiale intreprinderilor concurente ce iau cunoştinţa de acestea.</w:t>
      </w:r>
    </w:p>
    <w:p w:rsidRPr="00544AB7" w:rsidR="00D41C6E">
      <w:pPr>
        <w:ind w:firstLine="708"/>
        <w:jc w:val="both"/>
      </w:pPr>
      <w:r w:rsidRPr="00544AB7">
        <w:t xml:space="preserve">Estimările viitoare privind valoarea nou finanţată au fost raportate cu o frecvenţă trimestrială pentru perioada 2014 - sem. II 2016. Din materialul probator existent în dosarul cauzei, rezultă că centralizările </w:t>
      </w:r>
      <w:r w:rsidRPr="00544AB7" w:rsidR="0018311F">
        <w:t>...X...</w:t>
      </w:r>
      <w:r w:rsidRPr="00544AB7">
        <w:t xml:space="preserve"> SRL privind estimările viitoare ale valorii nou finanţate s-au transmis către întreprinderi trimestrial - în trim. IV 2013 şi trim. I 2014. Ceilalţi indicatori (recenţi şi trecuţi) menţionaţi anterior ca fiind parte a schimbului de informaţii (valoarea bunului, valoarea reziduală etc) au fost raportaţi, respectiv primiţi de către firme în anul 2014 atât trimestrial, cât şi lunar. </w:t>
      </w:r>
    </w:p>
    <w:p w:rsidRPr="00544AB7" w:rsidR="00D41C6E">
      <w:pPr>
        <w:ind w:firstLine="708"/>
        <w:jc w:val="both"/>
      </w:pPr>
      <w:r w:rsidRPr="00544AB7">
        <w:t xml:space="preserve">In cadrul </w:t>
      </w:r>
      <w:r w:rsidRPr="00544AB7" w:rsidR="0075748D">
        <w:t>...W*...</w:t>
      </w:r>
      <w:r w:rsidRPr="00544AB7">
        <w:t>, procedura de raportare a informaţiilor era următoarea:</w:t>
      </w:r>
    </w:p>
    <w:p w:rsidRPr="00544AB7" w:rsidR="00D41C6E">
      <w:pPr>
        <w:ind w:firstLine="708"/>
        <w:jc w:val="both"/>
      </w:pPr>
      <w:r w:rsidRPr="00544AB7">
        <w:t>(i)</w:t>
      </w:r>
      <w:r w:rsidRPr="00544AB7">
        <w:tab/>
      </w:r>
      <w:r w:rsidRPr="00544AB7" w:rsidR="0018311F">
        <w:t>...X...</w:t>
      </w:r>
      <w:r w:rsidRPr="00544AB7">
        <w:t xml:space="preserve"> (intreprindere infiintata la cererea membrilor fondatori ai </w:t>
      </w:r>
      <w:r w:rsidRPr="00544AB7" w:rsidR="0075748D">
        <w:t>...W*...</w:t>
      </w:r>
      <w:r w:rsidRPr="00544AB7">
        <w:t xml:space="preserve"> pentru a oferi servicii de management, consultanta si PR) transmitea membrilor asociaţiei, pe e-mail, modelul de raportare, perioada aferentă raportării şi data până la care trebuiau transmise informaţiile respective. In măsura in care interveneau modificări faţă de raportarea anterioara, întreprinderile erau informate in acest sens .</w:t>
      </w:r>
    </w:p>
    <w:p w:rsidRPr="00544AB7" w:rsidR="00D41C6E">
      <w:pPr>
        <w:ind w:firstLine="708"/>
        <w:jc w:val="both"/>
      </w:pPr>
      <w:r w:rsidRPr="00544AB7">
        <w:t xml:space="preserve">Stabilirea modelelor de raportare a informaţiilor si actualizarea acestora revenea membrilor Comitetului de Marketing din cadrul </w:t>
      </w:r>
      <w:r w:rsidRPr="00544AB7" w:rsidR="0075748D">
        <w:t>...W*...</w:t>
      </w:r>
      <w:r w:rsidRPr="00544AB7">
        <w:t xml:space="preserve"> (in anumite situaţii fiind constituite grupuri de lucru dedicate acestei activităţi), iar noua formă de raportare era supusă aprobării în Consiliul de Leasing din cadrul asociaţiei. Conform statutului </w:t>
      </w:r>
      <w:r w:rsidRPr="00544AB7" w:rsidR="0075748D">
        <w:t>...W*...</w:t>
      </w:r>
      <w:r w:rsidRPr="00544AB7">
        <w:t xml:space="preserve">, nerespectarea obligaţiei de raportare, stabilită potrivit normelor interne ale asociaţiei, conducea la suspendarea calităţii de membru pentru o perioadă de 6 luni, respectiv excluderea din asociaţie. Fiecare nou membru al </w:t>
      </w:r>
      <w:r w:rsidRPr="00544AB7" w:rsidR="0075748D">
        <w:t>...W*...</w:t>
      </w:r>
      <w:r w:rsidRPr="00544AB7">
        <w:t xml:space="preserve"> era informat de îndată cu privire la obligaţiile sale de raportare .</w:t>
      </w:r>
    </w:p>
    <w:p w:rsidRPr="00544AB7" w:rsidR="00D41C6E">
      <w:pPr>
        <w:ind w:firstLine="708"/>
        <w:jc w:val="both"/>
      </w:pPr>
      <w:r w:rsidRPr="00544AB7">
        <w:t>(ii)</w:t>
      </w:r>
      <w:r w:rsidRPr="00544AB7">
        <w:tab/>
        <w:t xml:space="preserve">Modelul de raportare era completat de fiecare dintre membrii </w:t>
      </w:r>
      <w:r w:rsidRPr="00544AB7" w:rsidR="0075748D">
        <w:t>...W*...</w:t>
      </w:r>
      <w:r w:rsidRPr="00544AB7">
        <w:t xml:space="preserve"> cu datele aferente activităţii sale.</w:t>
      </w:r>
    </w:p>
    <w:p w:rsidRPr="00544AB7" w:rsidR="00D41C6E">
      <w:pPr>
        <w:ind w:firstLine="708"/>
        <w:jc w:val="both"/>
      </w:pPr>
      <w:r w:rsidRPr="00544AB7">
        <w:t>(iii)</w:t>
      </w:r>
      <w:r w:rsidRPr="00544AB7">
        <w:tab/>
      </w:r>
      <w:r w:rsidRPr="00544AB7" w:rsidR="0018311F">
        <w:t>...X...</w:t>
      </w:r>
      <w:r w:rsidRPr="00544AB7">
        <w:t xml:space="preserve"> centraliza informaţiile primite de la intreprinderile membre </w:t>
      </w:r>
      <w:r w:rsidRPr="00544AB7" w:rsidR="0075748D">
        <w:t>...W*...</w:t>
      </w:r>
      <w:r w:rsidRPr="00544AB7">
        <w:t xml:space="preserve"> si transmitea rezultatele individuale către membrii </w:t>
      </w:r>
      <w:r w:rsidRPr="00544AB7" w:rsidR="0075748D">
        <w:t>...W*...</w:t>
      </w:r>
      <w:r w:rsidRPr="00544AB7">
        <w:t xml:space="preserve"> . </w:t>
      </w:r>
    </w:p>
    <w:p w:rsidRPr="00544AB7" w:rsidR="00D41C6E">
      <w:pPr>
        <w:ind w:firstLine="708"/>
        <w:jc w:val="both"/>
      </w:pPr>
      <w:r w:rsidRPr="00544AB7">
        <w:t>Aceste raportări erau ridicate personal de către un reprezentant al fiecărei întreprinderi implicate – împuternicit în acest sens. Respectivele raportări au fost preluate iniţial în format printabil, iar ulterior pe un dispozitiv de memorie personalizat - cu parolă de acces cunoscută de directorul general al fiecărei intreprinderi.</w:t>
      </w:r>
    </w:p>
    <w:p w:rsidRPr="00544AB7" w:rsidR="00D41C6E">
      <w:pPr>
        <w:ind w:firstLine="708"/>
        <w:jc w:val="both"/>
      </w:pPr>
      <w:r w:rsidRPr="00544AB7">
        <w:t xml:space="preserve">Conform menţiunilor din corespondenţa din cadrul </w:t>
      </w:r>
      <w:r w:rsidRPr="00544AB7" w:rsidR="0075748D">
        <w:t>...W*...</w:t>
      </w:r>
      <w:r w:rsidRPr="00544AB7">
        <w:t xml:space="preserve">, prezentată la pct.80 din Decizia CC , decizia de transmitere a raportărilor pe un dispozitiv de memorie (estimata a avea loc incepând cu raportările aferente trim. I 2014) ar fi fost luată ca urmare a faptului că informaţiile in discuţie erau considerate confidenţiale - pentru conformarea cu regulile de concurenţă. Cu toate acestea, membrii </w:t>
      </w:r>
      <w:r w:rsidRPr="00544AB7" w:rsidR="0075748D">
        <w:t>...W*...</w:t>
      </w:r>
      <w:r w:rsidRPr="00544AB7">
        <w:t xml:space="preserve"> au continuat sa primească informaţii individualizate privind concurenţii si ulterior modificării modului de preluare a raportărilor realizate de </w:t>
      </w:r>
      <w:r w:rsidRPr="00544AB7" w:rsidR="00F66AF9">
        <w:t>...X...</w:t>
      </w:r>
      <w:r w:rsidRPr="00544AB7">
        <w:t xml:space="preserve"> .</w:t>
      </w:r>
    </w:p>
    <w:p w:rsidRPr="00544AB7" w:rsidR="00D41C6E">
      <w:pPr>
        <w:ind w:firstLine="708"/>
        <w:jc w:val="both"/>
      </w:pPr>
      <w:r w:rsidRPr="00544AB7">
        <w:t xml:space="preserve">In baza informaţiilor primite de la întreprinderile membre </w:t>
      </w:r>
      <w:r w:rsidRPr="00544AB7" w:rsidR="0075748D">
        <w:t>...W*...</w:t>
      </w:r>
      <w:r w:rsidRPr="00544AB7">
        <w:t xml:space="preserve">, </w:t>
      </w:r>
      <w:r w:rsidRPr="00544AB7" w:rsidR="0018311F">
        <w:t>...X...</w:t>
      </w:r>
      <w:r w:rsidRPr="00544AB7">
        <w:t xml:space="preserve"> intocmea periodic următoarele raportări :</w:t>
      </w:r>
    </w:p>
    <w:p w:rsidRPr="00544AB7" w:rsidR="00D41C6E">
      <w:pPr>
        <w:ind w:firstLine="708"/>
        <w:jc w:val="both"/>
      </w:pPr>
      <w:r w:rsidRPr="00544AB7">
        <w:t>- documentul intitulat Tabel centralizator (perioada),</w:t>
      </w:r>
    </w:p>
    <w:p w:rsidRPr="00544AB7" w:rsidR="00D41C6E">
      <w:pPr>
        <w:ind w:firstLine="708"/>
        <w:jc w:val="both"/>
      </w:pPr>
      <w:r w:rsidRPr="00544AB7">
        <w:t xml:space="preserve">-documentul intitulat Romanian Leasing Market - care centraliza datele privind sumele finanţate în perioada respectivă (trimestru/lună). Acesta conţinea informaţii per total şi pentru cele trei segmente de piaţă, precum cotele de piaţă ale firmelor membre </w:t>
      </w:r>
      <w:r w:rsidRPr="00544AB7" w:rsidR="0075748D">
        <w:t>...W*...</w:t>
      </w:r>
      <w:r w:rsidRPr="00544AB7">
        <w:t>. Structura sa nu s-a modificat în perioada 2008 -2016.</w:t>
      </w:r>
    </w:p>
    <w:p w:rsidRPr="00544AB7" w:rsidR="00D41C6E">
      <w:pPr>
        <w:ind w:firstLine="708"/>
        <w:jc w:val="both"/>
      </w:pPr>
      <w:r w:rsidRPr="00544AB7">
        <w:t>-document intitulat Outstanding for the Romanian Leasing Market (perioada), cu aceeaşi structură ca şi Romanian Leasing Market. Acesta conţinea informaţii privind valoarea totală a principalului rămas de achitat ("total remaining principal").</w:t>
      </w:r>
    </w:p>
    <w:p w:rsidRPr="00544AB7" w:rsidR="00D41C6E">
      <w:pPr>
        <w:ind w:firstLine="708"/>
        <w:jc w:val="both"/>
      </w:pPr>
      <w:r w:rsidRPr="00544AB7">
        <w:t>Dintre acestea se remarcă documentul intitulat Tabel centralizator.</w:t>
      </w:r>
    </w:p>
    <w:p w:rsidRPr="00544AB7" w:rsidR="00D41C6E">
      <w:pPr>
        <w:ind w:firstLine="708"/>
        <w:jc w:val="both"/>
      </w:pPr>
      <w:r w:rsidRPr="00544AB7">
        <w:t xml:space="preserve">Astfel cum rezulta din Decizia CC, ca urmare a deciziei de modificare a machetei de raportare adoptate în cadrul organelor statutare ale </w:t>
      </w:r>
      <w:r w:rsidRPr="00544AB7" w:rsidR="0075748D">
        <w:t>...W*...</w:t>
      </w:r>
      <w:r w:rsidRPr="00544AB7">
        <w:t>, în trim. IV 2013 a fost inclus în aceasta o foaie Excel (un sheet) suplimentară, denumită Instituţional Info - conţinând estimări viitoare pe care întreprinderile trebuiau să le transmită cu privire la valoarea nou finanţată.</w:t>
      </w:r>
    </w:p>
    <w:p w:rsidRPr="00544AB7" w:rsidR="00D41C6E">
      <w:pPr>
        <w:ind w:firstLine="708"/>
        <w:jc w:val="both"/>
      </w:pPr>
      <w:r w:rsidRPr="00544AB7">
        <w:t xml:space="preserve">In acest context, în contra susţinerilor reclamantei potrivit cărora membrii </w:t>
      </w:r>
      <w:r w:rsidRPr="00544AB7" w:rsidR="0075748D">
        <w:t>...W*...</w:t>
      </w:r>
      <w:r w:rsidRPr="00544AB7">
        <w:t xml:space="preserve"> nu ar fi agreat modificarea si nu au acceptat modificarea modelului de raportare prin includerea informaţiei privind volumul nou finanţat, arată următoarele:</w:t>
      </w:r>
    </w:p>
    <w:p w:rsidRPr="00544AB7" w:rsidR="00D41C6E">
      <w:pPr>
        <w:ind w:firstLine="708"/>
        <w:jc w:val="both"/>
      </w:pPr>
      <w:r w:rsidRPr="00544AB7">
        <w:t>■</w:t>
      </w:r>
      <w:r w:rsidRPr="00544AB7">
        <w:tab/>
        <w:t>potrivit înscrisurilor din dosarul cazului, în trimestrul IV al anului 2013 macheta de raportare a inclus un sheet suplimentar, denumit Instituţional Info, care conţinea o coloană cu estimări viitoare pe care întreprinderile trebuiau să le facă cu privire la valoarea nou finanţată,</w:t>
      </w:r>
    </w:p>
    <w:p w:rsidRPr="00544AB7" w:rsidR="00D41C6E">
      <w:pPr>
        <w:ind w:firstLine="708"/>
        <w:jc w:val="both"/>
      </w:pPr>
      <w:r w:rsidRPr="00544AB7">
        <w:t xml:space="preserve">La data de 23.01.2014, </w:t>
      </w:r>
      <w:r w:rsidRPr="00544AB7" w:rsidR="0018311F">
        <w:t>...X...</w:t>
      </w:r>
      <w:r w:rsidRPr="00544AB7">
        <w:t xml:space="preserve"> a transmis prin e-mail atât </w:t>
      </w:r>
      <w:r w:rsidRPr="00544AB7" w:rsidR="0075748D">
        <w:t>...W*...</w:t>
      </w:r>
      <w:r w:rsidRPr="00544AB7">
        <w:t xml:space="preserve"> cât si membrilor acestei asociaţii "(...) modelul standard de raportare pentru perioada 01.01.2013 - 31.12.2013 actualizat si modificat ca urmare a deciziei consiliului, model ce trebuia completat de către aceştia din urma până la data de 31.01.2014 pentru a putea fi centralizate şi prelucrate datele . Desi reprezentanţii </w:t>
      </w:r>
      <w:r w:rsidRPr="00544AB7" w:rsidR="0075748D">
        <w:t>...W*...</w:t>
      </w:r>
      <w:r w:rsidRPr="00544AB7">
        <w:t xml:space="preserve"> se număra printre destinatarii mesajului, printre inscrisurile contemporane faptei nu a fost identificata nicio opozitie/nemultumire din partea asociaţiei sau a membrilor sai (inclusiv din partea reclamantei) nici cu privire la corectitudinea mesajului (spre exemplu, in sensul ca aceasta ar fi fost, asa cum susţine reclamanta, o decizie unilaterala a </w:t>
      </w:r>
      <w:r w:rsidRPr="00544AB7" w:rsidR="00F66AF9">
        <w:t>...X...</w:t>
      </w:r>
      <w:r w:rsidRPr="00544AB7">
        <w:t xml:space="preserve"> - ce nu era cunoscuta si nu avea acceptul asociaţiei), nici cu privire la conţinutul machetei de raportare ataşate acestuia (ce includea foaia Excel Instituţional Info.)</w:t>
      </w:r>
    </w:p>
    <w:p w:rsidRPr="00544AB7" w:rsidR="00D41C6E">
      <w:pPr>
        <w:ind w:firstLine="708"/>
        <w:jc w:val="both"/>
      </w:pPr>
      <w:r w:rsidRPr="00544AB7">
        <w:t xml:space="preserve">Corespondenta din februarie 2014 (ulterioara mesajului prezentat mai sus) invocata de reclamanta la pct. 127 din acţiune, nu demonstrează o eventuala introducere unilaterala (de către </w:t>
      </w:r>
      <w:r w:rsidRPr="00544AB7" w:rsidR="0018311F">
        <w:t>...X...</w:t>
      </w:r>
      <w:r w:rsidRPr="00544AB7">
        <w:t>) a foii excel Instituţional Info.</w:t>
      </w:r>
    </w:p>
    <w:p w:rsidRPr="00544AB7" w:rsidR="00D41C6E">
      <w:pPr>
        <w:ind w:firstLine="708"/>
        <w:jc w:val="both"/>
      </w:pPr>
      <w:r w:rsidRPr="00544AB7">
        <w:t xml:space="preserve">Din conţinutul mesajului rezultă că </w:t>
      </w:r>
      <w:r w:rsidRPr="00544AB7" w:rsidR="00E87CB3">
        <w:t>...G.3...</w:t>
      </w:r>
      <w:r w:rsidRPr="00544AB7">
        <w:t xml:space="preserve"> avea cunoştinţa de faptul ca "deja s-a transmis un alt format de raportări" si solicita sa i se comunice modificările propuse ("definiţiile noilor termeni, ce se va introduce, etc").</w:t>
      </w:r>
    </w:p>
    <w:p w:rsidRPr="00544AB7" w:rsidR="00D41C6E">
      <w:pPr>
        <w:ind w:firstLine="708"/>
        <w:jc w:val="both"/>
      </w:pPr>
      <w:r w:rsidRPr="00544AB7">
        <w:t xml:space="preserve">Pentru a intelege contextul acestei solicitări, consideră util sa facă precizarea ca intalnirea Grupului de Lucru </w:t>
      </w:r>
      <w:r w:rsidRPr="00544AB7" w:rsidR="0075748D">
        <w:t>...W*...</w:t>
      </w:r>
      <w:r w:rsidRPr="00544AB7">
        <w:t xml:space="preserve"> din 14.11.2013 (la care se refera </w:t>
      </w:r>
      <w:r w:rsidRPr="00544AB7" w:rsidR="00E87CB3">
        <w:t>...G.3...</w:t>
      </w:r>
      <w:r w:rsidRPr="00544AB7">
        <w:t xml:space="preserve"> in corespondenta precitata) a avut loc urmare a şedinţei Consiliului de Leasing din data de 09.10.2013 - in cadrul căreia s-a decis organizarea unei şedinţe de lucru având ca scop revizuirea şi actualizarea modelului de raportare (a se vedea pct. 133 si 134 din Decizia CC). Conform inscrisurilor din dosar (Minuta Grupului de Lucru Raportări din data de 14.11.2013), şedinţa din data de 14.11.2013 a avut ca unic subiect "Proiectul de reorganizare a raportărilor membrilor </w:t>
      </w:r>
      <w:r w:rsidRPr="00544AB7" w:rsidR="0075748D">
        <w:t>...W*...</w:t>
      </w:r>
      <w:r w:rsidRPr="00544AB7">
        <w:t xml:space="preserve">", iar rezoluţiile adoptate atribuie o serie de sarcini </w:t>
      </w:r>
      <w:r w:rsidRPr="00544AB7" w:rsidR="0018311F">
        <w:t>...X...</w:t>
      </w:r>
      <w:r w:rsidRPr="00544AB7">
        <w:t>.</w:t>
      </w:r>
    </w:p>
    <w:p w:rsidRPr="00544AB7" w:rsidR="00D41C6E">
      <w:pPr>
        <w:ind w:firstLine="708"/>
        <w:jc w:val="both"/>
      </w:pPr>
      <w:r w:rsidRPr="00544AB7">
        <w:t xml:space="preserve">Ca atare, mesajul </w:t>
      </w:r>
      <w:r w:rsidRPr="00544AB7" w:rsidR="00E87CB3">
        <w:t>...G.3...</w:t>
      </w:r>
      <w:r w:rsidRPr="00544AB7">
        <w:t xml:space="preserve"> transmis </w:t>
      </w:r>
      <w:r w:rsidRPr="00544AB7" w:rsidR="0018311F">
        <w:t>...X...</w:t>
      </w:r>
      <w:r w:rsidRPr="00544AB7">
        <w:t xml:space="preserve">  "a rămas ca veti transmite pe mail toate modificările propuse" nu exhiba vreo nemulţumire relativa la o decizie unilaterala a </w:t>
      </w:r>
      <w:r w:rsidRPr="00544AB7" w:rsidR="00F66AF9">
        <w:t>...X...</w:t>
      </w:r>
      <w:r w:rsidRPr="00544AB7">
        <w:t xml:space="preserve"> ci confirma cele consemnate in minuta respectivei intalniri.</w:t>
      </w:r>
    </w:p>
    <w:p w:rsidRPr="00544AB7" w:rsidR="00D41C6E">
      <w:pPr>
        <w:ind w:firstLine="708"/>
        <w:jc w:val="both"/>
      </w:pPr>
      <w:r w:rsidRPr="00544AB7">
        <w:t xml:space="preserve">Totodată, nici faptul ca dintre întreprinderile care au furnizat date pentru raportarea Tabel Centralizator doar o parte au completat aceasta foaie Excel nu echivalează cu o distanţare publica a societăţilor de leasing financiar fata de transmiterea si/ sau primirea acestor informaţii in raportările periodice pe care le transmitea </w:t>
      </w:r>
      <w:r w:rsidRPr="00544AB7" w:rsidR="00F66AF9">
        <w:t>...X...</w:t>
      </w:r>
      <w:r w:rsidRPr="00544AB7">
        <w:t>.</w:t>
      </w:r>
    </w:p>
    <w:p w:rsidRPr="00544AB7" w:rsidR="00D41C6E">
      <w:pPr>
        <w:ind w:firstLine="708"/>
        <w:jc w:val="both"/>
      </w:pPr>
      <w:r w:rsidRPr="00544AB7">
        <w:t>...X...</w:t>
      </w:r>
      <w:r w:rsidRPr="00544AB7" w:rsidR="00914311">
        <w:t xml:space="preserve"> a centralizat estimările viitoare privind valoarea nou finanţata:</w:t>
      </w:r>
    </w:p>
    <w:p w:rsidRPr="00544AB7" w:rsidR="00D41C6E">
      <w:pPr>
        <w:ind w:firstLine="708"/>
        <w:jc w:val="both"/>
      </w:pPr>
      <w:r w:rsidRPr="00544AB7">
        <w:t>-în trimestrul IV al anului 2013 (pentru prima oară)</w:t>
      </w:r>
    </w:p>
    <w:p w:rsidRPr="00544AB7" w:rsidR="00D41C6E">
      <w:pPr>
        <w:ind w:firstLine="708"/>
        <w:jc w:val="both"/>
      </w:pPr>
      <w:r w:rsidRPr="00544AB7">
        <w:t xml:space="preserve">Documentul astfel întocmit a fost transmis către întreprinderile membre </w:t>
      </w:r>
      <w:r w:rsidRPr="00544AB7" w:rsidR="0075748D">
        <w:t>...W*...</w:t>
      </w:r>
      <w:r w:rsidRPr="00544AB7">
        <w:t xml:space="preserve"> în formă centralizată, conţinând estimările valorii finanţate individualizate (astfel cum au fost </w:t>
      </w:r>
      <w:r w:rsidRPr="00544AB7">
        <w:t xml:space="preserve">transmise de intreprinderi)  si a fost prelevat in cadrul inspecţiei inopinate realizate la sediul </w:t>
      </w:r>
      <w:r w:rsidRPr="00544AB7" w:rsidR="0018311F">
        <w:t>...X...</w:t>
      </w:r>
      <w:r w:rsidRPr="00544AB7">
        <w:t xml:space="preserve"> SRL.</w:t>
      </w:r>
    </w:p>
    <w:p w:rsidRPr="00544AB7" w:rsidR="00D41C6E">
      <w:pPr>
        <w:ind w:firstLine="708"/>
        <w:jc w:val="both"/>
      </w:pPr>
      <w:r w:rsidRPr="00544AB7">
        <w:t xml:space="preserve">Din conţinutul acestui document, astfel cum este prezentat la pct. 217 din Decizia CC , rezulta ca întreprinderile care au furnizat estimări ale valorii nou finanţate aferente anului 2014 au fost : </w:t>
      </w:r>
      <w:r w:rsidRPr="00544AB7" w:rsidR="006B371B">
        <w:t>...G.9...</w:t>
      </w:r>
      <w:r w:rsidRPr="00544AB7" w:rsidR="00D91B7C">
        <w:t>.</w:t>
      </w:r>
      <w:r w:rsidRPr="00544AB7">
        <w:t xml:space="preserve"> Leasing IFN SA, </w:t>
      </w:r>
      <w:bookmarkStart w:name="_Hlk236754028" w:id="14"/>
      <w:r w:rsidRPr="00544AB7" w:rsidR="003E3971">
        <w:t>...G.10...</w:t>
      </w:r>
      <w:r w:rsidRPr="00544AB7">
        <w:t xml:space="preserve"> IFN SA</w:t>
      </w:r>
      <w:bookmarkEnd w:id="14"/>
      <w:r w:rsidRPr="00544AB7">
        <w:t xml:space="preserve">, </w:t>
      </w:r>
      <w:r w:rsidRPr="00544AB7" w:rsidR="006B371B">
        <w:t>...G.7...</w:t>
      </w:r>
      <w:r w:rsidRPr="00544AB7">
        <w:t xml:space="preserve"> IFN SA, </w:t>
      </w:r>
      <w:r w:rsidRPr="00544AB7" w:rsidR="007604E8">
        <w:t>...G.2...</w:t>
      </w:r>
      <w:r w:rsidRPr="00544AB7">
        <w:t xml:space="preserve"> IFN SA, </w:t>
      </w:r>
      <w:r w:rsidRPr="00544AB7" w:rsidR="006B371B">
        <w:t>...G.5...</w:t>
      </w:r>
      <w:r w:rsidRPr="00544AB7">
        <w:t xml:space="preserve"> Leasing IFN SA, </w:t>
      </w:r>
      <w:bookmarkStart w:name="_Hlk236754085" w:id="15"/>
      <w:r w:rsidRPr="00544AB7" w:rsidR="00003E0D">
        <w:t>...G.11...</w:t>
      </w:r>
      <w:r w:rsidRPr="00544AB7">
        <w:t xml:space="preserve"> </w:t>
      </w:r>
      <w:bookmarkEnd w:id="15"/>
      <w:r w:rsidRPr="00544AB7">
        <w:t xml:space="preserve">IFN SA, </w:t>
      </w:r>
      <w:bookmarkStart w:name="_Hlk236754247" w:id="16"/>
      <w:r w:rsidRPr="00544AB7" w:rsidR="00003E0D">
        <w:t>...G.12...</w:t>
      </w:r>
      <w:r w:rsidRPr="00544AB7">
        <w:t xml:space="preserve"> România IFN SA</w:t>
      </w:r>
      <w:bookmarkEnd w:id="16"/>
      <w:r w:rsidRPr="00544AB7">
        <w:t xml:space="preserve">, </w:t>
      </w:r>
      <w:r w:rsidRPr="00544AB7" w:rsidR="004C2395">
        <w:t>...Z...</w:t>
      </w:r>
      <w:r w:rsidRPr="00544AB7">
        <w:t xml:space="preserve"> România IFN SA, </w:t>
      </w:r>
      <w:bookmarkStart w:name="_Hlk236754379" w:id="17"/>
      <w:r w:rsidRPr="00544AB7" w:rsidR="00003E0D">
        <w:t>...G.13...</w:t>
      </w:r>
      <w:r w:rsidRPr="00544AB7">
        <w:t xml:space="preserve"> Leasing IFN SA</w:t>
      </w:r>
      <w:bookmarkEnd w:id="17"/>
      <w:r w:rsidRPr="00544AB7">
        <w:t xml:space="preserve"> şi </w:t>
      </w:r>
      <w:r w:rsidRPr="00544AB7" w:rsidR="006B371B">
        <w:t>...G.6...</w:t>
      </w:r>
      <w:r w:rsidRPr="00544AB7">
        <w:t xml:space="preserve"> Leasing Corporation IFN SA.</w:t>
      </w:r>
    </w:p>
    <w:p w:rsidRPr="00544AB7" w:rsidR="00D41C6E">
      <w:pPr>
        <w:ind w:firstLine="708"/>
        <w:jc w:val="both"/>
      </w:pPr>
      <w:r w:rsidRPr="00544AB7">
        <w:t xml:space="preserve">La acestea se adaugă </w:t>
      </w:r>
      <w:r w:rsidRPr="00544AB7" w:rsidR="006B371B">
        <w:t>...G.8...</w:t>
      </w:r>
      <w:r w:rsidRPr="00544AB7" w:rsidR="00D91B7C">
        <w:t xml:space="preserve"> Leasing</w:t>
      </w:r>
      <w:r w:rsidRPr="00544AB7">
        <w:t xml:space="preserve"> România IFN SA, care, potrivit înscrisurilor de la dosarul cazului, a furnizat documentul Excel cu date individuale, inclusiv estimările viitoare privind valoarea nou finanţată, însă acestea nu au fost incluse în centralizarea realizata de </w:t>
      </w:r>
      <w:r w:rsidRPr="00544AB7" w:rsidR="0018311F">
        <w:t>...X...</w:t>
      </w:r>
      <w:r w:rsidRPr="00544AB7">
        <w:t xml:space="preserve"> SRL .</w:t>
      </w:r>
    </w:p>
    <w:p w:rsidRPr="00544AB7" w:rsidR="00D41C6E">
      <w:pPr>
        <w:ind w:firstLine="708"/>
        <w:jc w:val="both"/>
      </w:pPr>
      <w:r w:rsidRPr="00544AB7">
        <w:t>-in trimestrul I al anului 2014, centralizarea conţinând date aferente anului 2014.</w:t>
      </w:r>
    </w:p>
    <w:p w:rsidRPr="00544AB7" w:rsidR="00D41C6E">
      <w:pPr>
        <w:ind w:firstLine="708"/>
        <w:jc w:val="both"/>
      </w:pPr>
      <w:r w:rsidRPr="00544AB7">
        <w:t>Modelul de raportare a informaţiilor a fost transmis pe e-mail în data de 15.04.2014  şi făcea referire la datele aferente perioadei 01.01-31.03.2014.</w:t>
      </w:r>
    </w:p>
    <w:p w:rsidRPr="00544AB7" w:rsidR="00D41C6E">
      <w:pPr>
        <w:ind w:firstLine="708"/>
        <w:jc w:val="both"/>
      </w:pPr>
      <w:r w:rsidRPr="00544AB7">
        <w:t xml:space="preserve">Documentul intocmit de </w:t>
      </w:r>
      <w:r w:rsidRPr="00544AB7" w:rsidR="0018311F">
        <w:t>...X...</w:t>
      </w:r>
      <w:r w:rsidRPr="00544AB7">
        <w:t xml:space="preserve"> a fost transmis către întreprinderile membre </w:t>
      </w:r>
      <w:r w:rsidRPr="00544AB7" w:rsidR="0075748D">
        <w:t>...W*...</w:t>
      </w:r>
      <w:r w:rsidRPr="00544AB7">
        <w:t xml:space="preserve"> în formă centralizată, conţinând informaţii individualizate  si a fost prelevat in cadrul inspecţiei inopinate realizate la sediul </w:t>
      </w:r>
      <w:r w:rsidRPr="00544AB7" w:rsidR="0018311F">
        <w:t>...X...</w:t>
      </w:r>
      <w:r w:rsidRPr="00544AB7">
        <w:t xml:space="preserve"> SRL.</w:t>
      </w:r>
    </w:p>
    <w:p w:rsidRPr="00544AB7" w:rsidR="00D41C6E">
      <w:pPr>
        <w:ind w:firstLine="708"/>
        <w:jc w:val="both"/>
      </w:pPr>
      <w:r w:rsidRPr="00544AB7">
        <w:t xml:space="preserve">Desi in documentul centralizat intocmit de </w:t>
      </w:r>
      <w:r w:rsidRPr="00544AB7" w:rsidR="00F66AF9">
        <w:t>...X...</w:t>
      </w:r>
      <w:r w:rsidRPr="00544AB7">
        <w:t xml:space="preserve"> si comunicat membrilor </w:t>
      </w:r>
      <w:r w:rsidRPr="00544AB7" w:rsidR="0075748D">
        <w:t>...W*...</w:t>
      </w:r>
      <w:r w:rsidRPr="00544AB7">
        <w:t xml:space="preserve"> sunt menţionate estimările valorii nou finanţate transmise de 4 intreprinderi, trebuie precizat ca inscrisurile aflate la dosarul cazului  evidenţiază faptul ca estimări viitoare privind valoarea nou finanţată au fost furnizate (pentru raportarea aferenta trim.l 2014) si de către </w:t>
      </w:r>
      <w:r w:rsidRPr="00544AB7" w:rsidR="00003E0D">
        <w:t>...G.11...</w:t>
      </w:r>
      <w:r w:rsidRPr="00544AB7">
        <w:t xml:space="preserve"> IFN SA, </w:t>
      </w:r>
      <w:r w:rsidRPr="00544AB7" w:rsidR="00003E0D">
        <w:t>...G.12...</w:t>
      </w:r>
      <w:r w:rsidRPr="00544AB7">
        <w:t xml:space="preserve"> România IFN SA, </w:t>
      </w:r>
      <w:r w:rsidRPr="00544AB7" w:rsidR="004C2395">
        <w:t>...Z...</w:t>
      </w:r>
      <w:r w:rsidRPr="00544AB7">
        <w:t xml:space="preserve"> România IFN SA, </w:t>
      </w:r>
      <w:r w:rsidRPr="00544AB7" w:rsidR="006B371B">
        <w:t>...G.8...</w:t>
      </w:r>
      <w:r w:rsidRPr="00544AB7" w:rsidR="00D91B7C">
        <w:t xml:space="preserve"> Leasing</w:t>
      </w:r>
      <w:r w:rsidRPr="00544AB7">
        <w:t xml:space="preserve"> România IFN SA, </w:t>
      </w:r>
      <w:r w:rsidRPr="00544AB7" w:rsidR="00003E0D">
        <w:t>...G.13...</w:t>
      </w:r>
      <w:r w:rsidRPr="00544AB7">
        <w:t xml:space="preserve"> Leasing IFN SA, </w:t>
      </w:r>
      <w:r w:rsidRPr="00544AB7" w:rsidR="006B371B">
        <w:t>...G.6...</w:t>
      </w:r>
      <w:r w:rsidRPr="00544AB7">
        <w:t xml:space="preserve"> Leasing Corporation IFN SA şi </w:t>
      </w:r>
      <w:r w:rsidRPr="00544AB7" w:rsidR="00E87CB3">
        <w:t>...G.4...</w:t>
      </w:r>
      <w:r w:rsidRPr="00544AB7">
        <w:t xml:space="preserve"> România IFN SA.</w:t>
      </w:r>
    </w:p>
    <w:p w:rsidRPr="00544AB7" w:rsidR="00D41C6E">
      <w:pPr>
        <w:ind w:firstLine="708"/>
        <w:jc w:val="both"/>
      </w:pPr>
      <w:r w:rsidRPr="00544AB7">
        <w:t>Reclamanta a primit informaţii strategice privind cantităţile viitoare</w:t>
      </w:r>
    </w:p>
    <w:p w:rsidRPr="00544AB7" w:rsidR="00D41C6E">
      <w:pPr>
        <w:ind w:firstLine="708"/>
        <w:jc w:val="both"/>
      </w:pPr>
      <w:r w:rsidRPr="00544AB7">
        <w:t>Din materialul probator rezulta ca pentru trei dintre părţile implicate (</w:t>
      </w:r>
      <w:r w:rsidRPr="00544AB7" w:rsidR="006B371B">
        <w:t>...G.9...</w:t>
      </w:r>
      <w:r w:rsidRPr="00544AB7" w:rsidR="00D91B7C">
        <w:t>.</w:t>
      </w:r>
      <w:r w:rsidRPr="00544AB7">
        <w:t xml:space="preserve"> Leasing IFN SA, </w:t>
      </w:r>
      <w:r w:rsidRPr="00544AB7" w:rsidR="003E3971">
        <w:t>...G.10...</w:t>
      </w:r>
      <w:r w:rsidRPr="00544AB7">
        <w:t xml:space="preserve"> IFN SA, </w:t>
      </w:r>
      <w:bookmarkStart w:name="_Hlk236754449" w:id="18"/>
      <w:r w:rsidRPr="00544AB7" w:rsidR="00003E0D">
        <w:t>...G.14...</w:t>
      </w:r>
      <w:r w:rsidRPr="00544AB7">
        <w:t xml:space="preserve"> Leasing IFN SA</w:t>
      </w:r>
      <w:bookmarkEnd w:id="18"/>
      <w:r w:rsidRPr="00544AB7">
        <w:t xml:space="preserve">) - in cadrul inspecţiilor inopinate realizate la sediile acestora a fost identificată raportarea comunicata de către </w:t>
      </w:r>
      <w:r w:rsidRPr="00544AB7" w:rsidR="00F66AF9">
        <w:t>...X...</w:t>
      </w:r>
      <w:r w:rsidRPr="00544AB7">
        <w:t xml:space="preserve"> pentru trimestrul 12014.</w:t>
      </w:r>
    </w:p>
    <w:p w:rsidRPr="00544AB7" w:rsidR="00D41C6E">
      <w:pPr>
        <w:ind w:firstLine="708"/>
        <w:jc w:val="both"/>
      </w:pPr>
    </w:p>
    <w:p w:rsidRPr="00544AB7" w:rsidR="00D41C6E">
      <w:pPr>
        <w:ind w:firstLine="708"/>
        <w:jc w:val="both"/>
      </w:pPr>
      <w:r w:rsidRPr="00544AB7">
        <w:t>De asemenea, o alta întreprindere (</w:t>
      </w:r>
      <w:r w:rsidRPr="00544AB7" w:rsidR="004C2395">
        <w:t>...Z...</w:t>
      </w:r>
      <w:r w:rsidRPr="00544AB7">
        <w:t xml:space="preserve"> România IFN SA) a declarat în răspunsul sau la solicitarea de informaţii a Consiliului Concurenţei că </w:t>
      </w:r>
      <w:r w:rsidRPr="00544AB7" w:rsidR="0018311F">
        <w:t>...X...</w:t>
      </w:r>
      <w:r w:rsidRPr="00544AB7">
        <w:t xml:space="preserve"> i-a transmis "estimări pentru noul volum finanţat în 2014"  </w:t>
      </w:r>
    </w:p>
    <w:p w:rsidRPr="00544AB7" w:rsidR="00D41C6E">
      <w:pPr>
        <w:ind w:firstLine="708"/>
        <w:jc w:val="both"/>
      </w:pPr>
      <w:r w:rsidRPr="00544AB7">
        <w:t xml:space="preserve">.Preluarea documentului intomit de </w:t>
      </w:r>
      <w:r w:rsidRPr="00544AB7" w:rsidR="0018311F">
        <w:t>...X...</w:t>
      </w:r>
      <w:r w:rsidRPr="00544AB7">
        <w:t xml:space="preserve"> era confirmată de către persoana împuternicita in acest sens prin semnarea unui proces verbal centralizator - în cadrul căruia era precizată perioada pentru care se făcea raportarea, numele persoanei împuternicite şi data ridicării documentului.</w:t>
      </w:r>
    </w:p>
    <w:p w:rsidRPr="00544AB7" w:rsidR="00D41C6E">
      <w:pPr>
        <w:ind w:firstLine="708"/>
        <w:jc w:val="both"/>
      </w:pPr>
      <w:r w:rsidRPr="00544AB7">
        <w:t xml:space="preserve"> Astfel cum rezulta din Decizia CC , </w:t>
      </w:r>
      <w:r w:rsidRPr="00544AB7" w:rsidR="00FC492C">
        <w:t>...Y*...</w:t>
      </w:r>
      <w:r w:rsidRPr="00544AB7">
        <w:t xml:space="preserve"> a primit (in data de 10.03.2013) raportările întocmite de către </w:t>
      </w:r>
      <w:r w:rsidRPr="00544AB7" w:rsidR="0018311F">
        <w:t>...X...</w:t>
      </w:r>
      <w:r w:rsidRPr="00544AB7">
        <w:t xml:space="preserve"> in trim.IV 2013 - conţinând date individualizate ale concurenţilor cu privire la estimările viitoare ale valorii finanţate, pe bază de împuternicire din partea întreprinderii, persoana mandatată de întreprindere semnând în acest sens procesul verbal centralizator pentru Raportări 31.12.2013  (poziţia 16 din tabel - persoana împuternicită dl. </w:t>
      </w:r>
      <w:r w:rsidRPr="00544AB7" w:rsidR="00201445">
        <w:t>...B.4...</w:t>
      </w:r>
      <w:r w:rsidRPr="00544AB7">
        <w:t xml:space="preserve">) . Înscrisul a fost prelevat in cadrul inspecţiei inopinate la sediul </w:t>
      </w:r>
      <w:r w:rsidRPr="00544AB7" w:rsidR="00F66AF9">
        <w:t>...X...</w:t>
      </w:r>
      <w:r w:rsidRPr="00544AB7">
        <w:t>.</w:t>
      </w:r>
    </w:p>
    <w:p w:rsidRPr="00544AB7" w:rsidR="00D41C6E">
      <w:pPr>
        <w:ind w:firstLine="708"/>
        <w:jc w:val="both"/>
      </w:pPr>
      <w:r w:rsidRPr="00544AB7">
        <w:t>În trim. IV 2013 în documentele existente la dosar exista trei variante ale Tabelului centralizator, dintre care una nu conţine sheet-ul Instituţional Info, iar două variante ale documentului conţin acest sheet.</w:t>
      </w:r>
    </w:p>
    <w:p w:rsidRPr="00544AB7" w:rsidR="00D41C6E">
      <w:pPr>
        <w:ind w:firstLine="708"/>
        <w:jc w:val="both"/>
      </w:pPr>
      <w:r w:rsidRPr="00544AB7">
        <w:t xml:space="preserve">Astfel cum rezulta din înscrisurile de la dosarul cazului, versiunea de tabel centralizator prelevată la sediul </w:t>
      </w:r>
      <w:r w:rsidRPr="00544AB7" w:rsidR="00F66AF9">
        <w:t>...X...</w:t>
      </w:r>
      <w:r w:rsidRPr="00544AB7">
        <w:t xml:space="preserve"> si care nu conţine sheet-ul Instituţional Info (denumită (1) Tabel Centralizator 01.01 — 31.12.2013.xls) nu este completată. </w:t>
      </w:r>
    </w:p>
    <w:p w:rsidRPr="00544AB7" w:rsidR="00D41C6E">
      <w:pPr>
        <w:ind w:firstLine="708"/>
        <w:jc w:val="both"/>
      </w:pPr>
      <w:r w:rsidRPr="00544AB7">
        <w:t>Celelalte doua versiuni ale tabelului conţin sheet-ul Instituţional Info.</w:t>
      </w:r>
    </w:p>
    <w:p w:rsidRPr="00544AB7" w:rsidR="00D41C6E">
      <w:pPr>
        <w:ind w:firstLine="708"/>
        <w:jc w:val="both"/>
      </w:pPr>
      <w:r w:rsidRPr="00544AB7">
        <w:t xml:space="preserve">Varianta documentului Excel reţinută în decizie (denumită (3)Tabel centralizator 01.01 - 31.12.2013.xls) este cea finală, aceasta fiind comunicată de către </w:t>
      </w:r>
      <w:r w:rsidRPr="00544AB7" w:rsidR="0018311F">
        <w:t>...X...</w:t>
      </w:r>
      <w:r w:rsidRPr="00544AB7">
        <w:t xml:space="preserve"> SRL odată cu depunerea cererii de clemenţă .</w:t>
      </w:r>
    </w:p>
    <w:p w:rsidRPr="00544AB7" w:rsidR="00D41C6E">
      <w:pPr>
        <w:ind w:firstLine="708"/>
        <w:jc w:val="both"/>
      </w:pPr>
      <w:r w:rsidRPr="00544AB7">
        <w:t xml:space="preserve">Este astfel evident faptul ca documentele transmise către părţi au conţinut foaia Excel in discuţie şi, implicit, estimările viitoare privind valoarea nou finanţată. </w:t>
      </w:r>
    </w:p>
    <w:p w:rsidRPr="00544AB7" w:rsidR="00D41C6E">
      <w:pPr>
        <w:ind w:firstLine="708"/>
        <w:jc w:val="both"/>
      </w:pPr>
      <w:r w:rsidRPr="00544AB7">
        <w:t xml:space="preserve">Fata de susţinerea </w:t>
      </w:r>
      <w:r w:rsidRPr="00544AB7" w:rsidR="00FC492C">
        <w:t>...Y*...</w:t>
      </w:r>
      <w:r w:rsidRPr="00544AB7">
        <w:t xml:space="preserve"> privind denumirea eronată a procesului verbal care se referă la raportările din Q4 2013, respectiv </w:t>
      </w:r>
      <w:r w:rsidRPr="00544AB7">
        <w:rPr>
          <w:rStyle w:val="Fontdeparagrafimplicit"/>
          <w:i/>
        </w:rPr>
        <w:t>Raportări 31.12.2013</w:t>
      </w:r>
      <w:r w:rsidRPr="00544AB7">
        <w:t xml:space="preserve">, în loc de </w:t>
      </w:r>
      <w:r w:rsidRPr="00544AB7">
        <w:rPr>
          <w:rStyle w:val="Fontdeparagrafimplicit"/>
          <w:i/>
        </w:rPr>
        <w:t>Raportări 31.10.2013-31.12.2013</w:t>
      </w:r>
      <w:r w:rsidRPr="00544AB7">
        <w:t>, arată că procesul verbal semnat în data de 11 aprilie 2014 este aferent trim. IV 2013, nu lunii decembrie 2013, întrucât, în anul 2013, raportările au fost trimestriale (nu şi lunare). Prin urmare, deşi procesul verbal în cauză are data de 31.12.2013, el se referă la trim. IV 2013, raportările trimestriale incluzând estimările viitoare.</w:t>
      </w:r>
    </w:p>
    <w:p w:rsidRPr="00544AB7" w:rsidR="00D41C6E">
      <w:pPr>
        <w:ind w:firstLine="708"/>
        <w:jc w:val="both"/>
      </w:pPr>
      <w:r w:rsidRPr="00544AB7">
        <w:t>In considerarea celor prezentate, in baza inscrisurilor aflate la dosarul cazului si prezentate in Decizie, rezulta ca reclamantei i-au fost comunicate estimările pentru anul 2014 ale valorii finanţate, incluse in raportarea trim IV 2013.</w:t>
      </w:r>
    </w:p>
    <w:p w:rsidRPr="00544AB7" w:rsidR="00D41C6E">
      <w:pPr>
        <w:ind w:firstLine="708"/>
        <w:jc w:val="both"/>
      </w:pPr>
      <w:r w:rsidRPr="00544AB7">
        <w:t>Conform instanţei unionale, atunci când o întreprindere primeşte date strategice de la un concurent (fie că este în cadrul unei reuniuni, prin poştă sau în mod electronic), se presupune că a acceptat informațiile şi că şi-a adaptat comportamentul de piaţă în consecinţă, cu excepţia cazului în care răspunde printr-o declaraţie clară că nu doreşte să primească astfel de date . Absenta unei opoziţii vădite reflecta o complicitate care este de natura sa angajeze răspunderea acesteia potrivit articolului 101 alin.(l) din TFUE  [similar art. 5 alin.(l) din Legea concurentei], având in vedere ca aprobarea tacita a unei iniţiative nelegale, fara a se distanta in mod public de conţinutul acesteia sau fara a o denunţa entităţilor administrative, are drept efect sa încurajeze continuarea încălcării si sa compromită descoperirea sa .</w:t>
      </w:r>
    </w:p>
    <w:p w:rsidRPr="00544AB7" w:rsidR="00D41C6E">
      <w:pPr>
        <w:ind w:firstLine="708"/>
        <w:jc w:val="both"/>
      </w:pPr>
      <w:r w:rsidRPr="00544AB7">
        <w:t>Or, la dosarul cazului nu exista niciun inscris din care sa rezulte ca implicarea reclamantei a fost perceputa de către ceilalţi participanţi la schimbul de informaţii ca fiind un semnal neechivoc ca acesta societate nu intenţionează sa participe la realizarea schimbului de informaţii privind valoarea nou finanţata,</w:t>
      </w:r>
    </w:p>
    <w:p w:rsidRPr="00544AB7" w:rsidR="00D41C6E">
      <w:pPr>
        <w:jc w:val="both"/>
      </w:pPr>
      <w:r w:rsidRPr="00544AB7">
        <w:t>aspect ce susţine concluzia ca nu a a existat o distanţare clara din partea reclamantei, in sensul consacrat de jurisprudenţa europeana pentru înţelegerile de stabilire a preturilor.</w:t>
      </w:r>
    </w:p>
    <w:p w:rsidRPr="00544AB7" w:rsidR="00D41C6E">
      <w:pPr>
        <w:ind w:firstLine="708"/>
        <w:jc w:val="both"/>
      </w:pPr>
      <w:r w:rsidRPr="00544AB7">
        <w:t>In ceea ce priveşte vinovăţia întreprinderilor ce au încălcat regulile de concurenţă, in jurisprudenţa consacrata a instanţei europene s-a statuat ca nu este necesar ca un agent economic sa fie conştient ca incalca regulile de concurenta prevăzute in Tratat pentru a considera ca o incalcare a fost săvârşita in mod intenţionat. Este suficient ca acel agent economic sa nu poată sa nu fie conştient de faptul ca prin comportamentul sancţionat se restrângea concurenta .</w:t>
      </w:r>
    </w:p>
    <w:p w:rsidRPr="00544AB7" w:rsidR="00D41C6E">
      <w:pPr>
        <w:ind w:firstLine="708"/>
        <w:jc w:val="both"/>
      </w:pPr>
      <w:r w:rsidRPr="00544AB7">
        <w:t xml:space="preserve">Prin urmare, având în vedere şi aceste consideraţii, precum şi faptul că reclamanta este o întreprindere ce trebuie să acţioneze în exercitarea obiectului său de activitate cu diligentă, dar şi notorietatea interdicţiei acordurilor anticoncurenţiale nu se pot primi afirmaţiile post factum ale reclamantei in sensul ca nu a intenţionat sa participe la un schimb de informaţii privind cantităţile viitoare comunicate de concurenţii sai (schimb facilitat de către </w:t>
      </w:r>
      <w:r w:rsidRPr="00544AB7" w:rsidR="0075748D">
        <w:t>...W*...</w:t>
      </w:r>
      <w:r w:rsidRPr="00544AB7">
        <w:t xml:space="preserve"> si </w:t>
      </w:r>
      <w:r w:rsidRPr="00544AB7" w:rsidR="0018311F">
        <w:t>...X...</w:t>
      </w:r>
      <w:r w:rsidRPr="00544AB7">
        <w:t>) si a receptat în mod pasiv informaţiile.</w:t>
      </w:r>
    </w:p>
    <w:p w:rsidRPr="00544AB7" w:rsidR="00D41C6E">
      <w:pPr>
        <w:ind w:firstLine="708"/>
        <w:jc w:val="both"/>
      </w:pPr>
      <w:r w:rsidRPr="00544AB7">
        <w:t xml:space="preserve"> In ceea ce priveşte de numărul redus al raportărilor  ce conţineau informaţii privind estimări ale valorii nou finanţate pentru anul 2014 (in forma in care au fost transmise acestea de intreprinderi), contrar susţinerilor reclamantei, Consiliul Concurenţei învederează faptul că, nici la nivel legislativ naţional sau european şi nici la nivelul jurisprudenţei şi practicii naţionale sau europene, nu există o condiţionare cantitativă în privinţa legalităţii standardului de probă.</w:t>
      </w:r>
    </w:p>
    <w:p w:rsidRPr="00544AB7" w:rsidR="00D41C6E">
      <w:pPr>
        <w:ind w:firstLine="708"/>
        <w:jc w:val="both"/>
      </w:pPr>
      <w:r w:rsidRPr="00544AB7">
        <w:t xml:space="preserve">Nu se poate face abstracţie de faptul ca schimbul de informaţii privind cantităţile viitoare a avut loc prin intermediul asociaţiei din care fac parte intreprinderile implicate. </w:t>
      </w:r>
      <w:r w:rsidRPr="00544AB7">
        <w:t xml:space="preserve">Aceasta, alături de </w:t>
      </w:r>
      <w:r w:rsidRPr="00544AB7" w:rsidR="0018311F">
        <w:t>...X...</w:t>
      </w:r>
      <w:r w:rsidRPr="00544AB7">
        <w:t xml:space="preserve"> - care a intocmit si transmis raportările in dicutie către membrii </w:t>
      </w:r>
      <w:r w:rsidRPr="00544AB7" w:rsidR="0075748D">
        <w:t>...W*...</w:t>
      </w:r>
      <w:r w:rsidRPr="00544AB7">
        <w:t xml:space="preserve"> (concurenţi pe piaţa serviciilor de leasing financiar) au constituit adevărate platforme de facilitare a schimbului de informaţii privind cantităţile viitoare intre intreprinderile concurente pe piaţa serviciilor de leasing financiar - membre ale respectivei asociaţii.</w:t>
      </w:r>
    </w:p>
    <w:p w:rsidRPr="00544AB7" w:rsidR="00D41C6E">
      <w:pPr>
        <w:ind w:firstLine="708"/>
        <w:jc w:val="both"/>
      </w:pPr>
      <w:r w:rsidRPr="00544AB7">
        <w:t xml:space="preserve">O intelegere restrictiva prin obiectul sau este interzisa independent de consecinţele produse, reprezentând un ilicit de pericol, iar nu unul de rezultat. Astfel, odată stabilit obiectul anticoncurential al unei intelegeri/practici concertate, efectele anticoncurenţiale sunt prezumate a se produce inevitabil si, prin urmare, nu este necesar, pentru a constata incalcarea normelor de concurenta, a fi identificate, demonstrate a se putea produce/a se fi produs pe piaţa afectata. </w:t>
      </w:r>
    </w:p>
    <w:p w:rsidRPr="00544AB7" w:rsidR="00D41C6E">
      <w:pPr>
        <w:ind w:firstLine="708"/>
        <w:jc w:val="both"/>
      </w:pPr>
      <w:r w:rsidRPr="00544AB7">
        <w:t xml:space="preserve">Aşadar, susţinerile reclamantei din cadrul para. 201 - 203 ale acţiunii introductive în sensul că în perioada Q4 2013 - Ql 2014, cota sa de piaţă a fost extrem de redusă nu prezintă relevanţă pentru reţinerea răspunderii contravenţionale a intreprinderii. Odată ce a fost stabilit obiectul anticoncurential al înţelegerii/practicii concertate în care întreprinderea </w:t>
      </w:r>
      <w:r w:rsidRPr="00544AB7" w:rsidR="00FC492C">
        <w:t>...Y*...</w:t>
      </w:r>
      <w:r w:rsidRPr="00544AB7">
        <w:t xml:space="preserve"> a fost implicată, iar un eventual rezultat al faptei ilicite - reflectat, astfel cum sugerează reclamanta, într-o majorare a cotei de piaţă pentru întreprindere nu este necesar a fi demonstrat.</w:t>
      </w:r>
    </w:p>
    <w:p w:rsidRPr="00544AB7" w:rsidR="00D41C6E">
      <w:pPr>
        <w:ind w:firstLine="708"/>
        <w:jc w:val="both"/>
      </w:pPr>
      <w:r w:rsidRPr="00544AB7">
        <w:t>Reclamanta a primit estimările viitoare referitoare la volumul nou finanţat. Aceste informaţii împreună cu datele recente şi trecute privind evoluţia unor indicatori precum valoarea reziduală, avansul sau perioada de leasing, pot contribui la adoptarea unor decizii strategice pentru companie, indiferent de dimensiunea acesteia sau de cota sa de piaţă.</w:t>
      </w:r>
    </w:p>
    <w:p w:rsidRPr="00544AB7" w:rsidR="00D41C6E">
      <w:pPr>
        <w:ind w:firstLine="708"/>
        <w:jc w:val="both"/>
      </w:pPr>
      <w:r w:rsidRPr="00544AB7">
        <w:t>Piaţa relevanta a fost corect definita</w:t>
      </w:r>
    </w:p>
    <w:p w:rsidRPr="00544AB7" w:rsidR="00D41C6E">
      <w:pPr>
        <w:ind w:firstLine="708"/>
        <w:jc w:val="both"/>
      </w:pPr>
      <w:r w:rsidRPr="00544AB7">
        <w:t>Reclamanta susţine ca (i) piaţa relevanta are o cuprindere mult mai larga, incluzând toate produsele de creditare, iar (ii) produsele sunt eterogene.</w:t>
      </w:r>
    </w:p>
    <w:p w:rsidRPr="00544AB7" w:rsidR="00D41C6E">
      <w:pPr>
        <w:ind w:firstLine="708"/>
        <w:jc w:val="both"/>
      </w:pPr>
      <w:r w:rsidRPr="00544AB7">
        <w:t>Prin definirea pieţei relevante se realizează identificarea şi definirea graniţelor în care se exercită concurenţa între întreprinderi, scopul principal fiind reprezentat de determinarea, într-un mod sistematic, a constrângerilor concurenţiale cu care se confruntă întreprinderile în cauză.</w:t>
      </w:r>
    </w:p>
    <w:p w:rsidRPr="00544AB7" w:rsidR="00D41C6E">
      <w:pPr>
        <w:ind w:firstLine="708"/>
        <w:jc w:val="both"/>
      </w:pPr>
      <w:r w:rsidRPr="00544AB7">
        <w:t>In cadrul Deciziei (subcapitolul. 3.3) sunt prezentate argumentele care arată o lipsă a substituibilităţii leasingului financiar cu leasingul operaţional şi cu creditul bancar.</w:t>
      </w:r>
    </w:p>
    <w:p w:rsidRPr="00544AB7" w:rsidR="00D41C6E">
      <w:pPr>
        <w:ind w:firstLine="708"/>
        <w:jc w:val="both"/>
      </w:pPr>
      <w:r w:rsidRPr="00544AB7">
        <w:t xml:space="preserve">Definirea pieţei relevante în cazul practicilor anticoncurenţiale prin obiect nu implică coordonate stricte, incriminată fiind conduita în sine. </w:t>
      </w:r>
    </w:p>
    <w:p w:rsidRPr="00544AB7" w:rsidR="00D41C6E">
      <w:pPr>
        <w:ind w:firstLine="708"/>
        <w:jc w:val="both"/>
      </w:pPr>
      <w:r w:rsidRPr="00544AB7">
        <w:t>Astfel, pentru aplicarea art. 101 alin. (1) din TFUE motivaţia care stă la baza definirii pieţei relevante este de a determina în ce măsură înţelegerea, decizia unei asociaţii de întreprinderi sau practica concertată în cauză are ca obiect sau ca efect restricţionarea, distorsionarea sau limitarea concurenţei pe piaţa internă şi dacă este posibil ca aceasta să afecteze comerţul intre Statele Membre.</w:t>
      </w:r>
    </w:p>
    <w:p w:rsidRPr="00544AB7" w:rsidR="00D41C6E">
      <w:pPr>
        <w:ind w:firstLine="708"/>
        <w:jc w:val="both"/>
      </w:pPr>
      <w:r w:rsidRPr="00544AB7">
        <w:t>In speţa, schimbul de informaţii strategice s-a realizat intre interprinderi concurente pe piaţa serviciilor de leasing financiar.</w:t>
      </w:r>
    </w:p>
    <w:p w:rsidRPr="00544AB7" w:rsidR="00D41C6E">
      <w:pPr>
        <w:ind w:firstLine="708"/>
        <w:jc w:val="both"/>
      </w:pPr>
      <w:r w:rsidRPr="00544AB7">
        <w:t>Principalele sectoare economice în care sunt folosite serviciile furnizate de intreprinderile de leasing financiar sunt: transporturile, construcţiile, agricultura, energia, sectorul medical, aviaţia.</w:t>
      </w:r>
    </w:p>
    <w:p w:rsidRPr="00544AB7" w:rsidR="00D41C6E">
      <w:pPr>
        <w:ind w:firstLine="708"/>
        <w:jc w:val="both"/>
      </w:pPr>
      <w:r w:rsidRPr="00544AB7">
        <w:t xml:space="preserve">Începând cu anul 2008, membrii </w:t>
      </w:r>
      <w:r w:rsidRPr="00544AB7" w:rsidR="0075748D">
        <w:t>...W*...</w:t>
      </w:r>
      <w:r w:rsidRPr="00544AB7">
        <w:t xml:space="preserve"> au reprezentat şi reprezintă, în continuare, o forţă importantă în piaţa serviciilor de leasing financiar, ponderea asociaţiei în total piaţă de leasing financiar situându-se permanent în jurul valorii de 85-95%. In perioada 2008 - trim. II 2016, nu a existat niciun IFN cu activitate în domeniul leasingului financiar care să aibă o cotă de piaţă notabilă şi să nu fie membru </w:t>
      </w:r>
      <w:r w:rsidRPr="00544AB7" w:rsidR="0075748D">
        <w:t>...W*...</w:t>
      </w:r>
      <w:r w:rsidRPr="00544AB7">
        <w:t>.</w:t>
      </w:r>
    </w:p>
    <w:p w:rsidRPr="00544AB7" w:rsidR="00D41C6E">
      <w:pPr>
        <w:ind w:firstLine="708"/>
        <w:jc w:val="both"/>
      </w:pPr>
      <w:r w:rsidRPr="00544AB7">
        <w:t>In anul 2014 - perioada in care a avut loc încalcarea constatata prin decizie:</w:t>
      </w:r>
    </w:p>
    <w:p w:rsidRPr="00544AB7" w:rsidR="00D41C6E">
      <w:pPr>
        <w:ind w:firstLine="708"/>
        <w:jc w:val="both"/>
      </w:pPr>
      <w:r w:rsidRPr="00544AB7">
        <w:t xml:space="preserve">-piaţa relevanta a înregistrat o revenire a volumelor nou finanţate la nivelul celor din 2011, după o scădere cu 9% în anul 2013. Evoluţia ascendentă a fost determinată de vehiculele comerciale grele, unii dintre concurenţii importanţi de pe aceasta piaţa înregistrând </w:t>
      </w:r>
      <w:r w:rsidRPr="00544AB7">
        <w:t xml:space="preserve">aproape o dublare a finanţărilor de camioane şi semiremorci. Această creştere a fost corelată cu o dezvoltare a afacerilor din domeniile transporturi şi logistic. In ceea ce priveşte segmentul echipamente, finanţarea în leasing a înregistrat o diminuare cu 11% comparativ cu anul 2013. Întreprinderile de leasing afiliate băncilor au deţinut 75% din piaţa relevanta, cele captive producătorilor auto 20%, iar cele independente 5%. Clasamentul firmelor de leasing financiar a fost dominat de </w:t>
      </w:r>
      <w:r w:rsidRPr="00544AB7" w:rsidR="006B371B">
        <w:t>...G.6...</w:t>
      </w:r>
      <w:r w:rsidRPr="00544AB7">
        <w:t xml:space="preserve"> Leasing Corporation IFN SA, intreprindere care asigura cea. 25% din finanţările auto noi din piaţă şi care în anul 2014 şi-a consolidat poziţia de lider. Pe locul doi se afla </w:t>
      </w:r>
      <w:r w:rsidRPr="00544AB7" w:rsidR="00E87CB3">
        <w:t>...G.3...</w:t>
      </w:r>
      <w:r w:rsidRPr="00544AB7">
        <w:t xml:space="preserve"> România IFN SA, cu o cotă de 9%, iar locul trei este deţinut de </w:t>
      </w:r>
      <w:r w:rsidRPr="00544AB7" w:rsidR="004C2395">
        <w:t>...Z...</w:t>
      </w:r>
      <w:r w:rsidRPr="00544AB7">
        <w:t xml:space="preserve"> România IFN SA. Toate cele trei întreprinderi şi-au menţinut poziţia în ierarhie comparativ cu anul anterior. Trebuie remarcat faptul că o mare parte a întreprinderilor de leasing s-au situat în intervalul 1-2% cotă de piaţă (şi sub 1%).</w:t>
      </w:r>
    </w:p>
    <w:p w:rsidRPr="00544AB7" w:rsidR="00D41C6E">
      <w:pPr>
        <w:ind w:firstLine="708"/>
        <w:jc w:val="both"/>
      </w:pPr>
      <w:r w:rsidRPr="00544AB7">
        <w:t>Piaţa relevantă a produsului cuprinde toate produsele şi/sau serviciile pe care consumatorul le consideră interschimbabile sau substituibile datorită caracteristicilor, preţului şi utilizării acestora.</w:t>
      </w:r>
    </w:p>
    <w:p w:rsidRPr="00544AB7" w:rsidR="00D41C6E">
      <w:pPr>
        <w:ind w:firstLine="708"/>
        <w:jc w:val="both"/>
      </w:pPr>
      <w:r w:rsidRPr="00544AB7">
        <w:t>Conform pct. 11 din Instrucţiunile din 2010 privind definirea pieţei relevante, întreprinderile se confruntă cu 3 mari constrângeri concurenţiale (substituibilitatea la nivelul cererii, substituibilitatea la nivelul ofertei şi concurenţa potenţială). Totuşi, elementul esenţial în definirea pieţei relevante, care trebuie analizat este substituibilitatea la nivelul cererii.</w:t>
      </w:r>
    </w:p>
    <w:p w:rsidRPr="00544AB7" w:rsidR="00D41C6E">
      <w:pPr>
        <w:ind w:firstLine="708"/>
        <w:jc w:val="both"/>
      </w:pPr>
      <w:r w:rsidRPr="00544AB7">
        <w:t>În acest sens, Instrucţiunile arată că „din punct de vedere economic, pentru definirea pieţei relevante, substituibilitatea la nivelul cererii reprezintă cel mai rapid şi eficace element disciplinar care acţionează asupra furnizorilor unui anumit produs, în special în ceea ce priveşte deciziile acestora în materie de preţuri. O întreprindere sau o asociaţie de întreprinderi nu poate avea un impact semnificativ asupra condiţiilor de vânzare existente, de exemplu, asupra preţurilor, atunci când clienţii săi sunt în măsură să se orienteze fără dificultate spre produse substituibile sau spre furnizori situaţi în altă parte. De aceea, procesul de definire a pieţei relevante constă, în principal, în identificarea surselor alternative reale de aprovizionare la care clienţii întreprinderilor în cauză pot apela, atât sub aspectul produselor/serviciilor propuse de ceilalţi furnizori, cât şi sub aspectul localizării geografice a acestora ".</w:t>
      </w:r>
    </w:p>
    <w:p w:rsidRPr="00544AB7" w:rsidR="00D41C6E">
      <w:pPr>
        <w:ind w:firstLine="708"/>
        <w:jc w:val="both"/>
      </w:pPr>
      <w:r w:rsidRPr="00544AB7">
        <w:t>De asemenea, conform pct. 12 din Instrucţiuni, constrângerile concurenţiale care decurg din substituibilitatea la nivelul ofertei şi din concurenţa potenţială nu sunt, în general, imediate, necesitând întotdeauna analizarea unor factori suplimentari şi, prin urmare, astfel de constrângeri nefiind, de obicei, luate în considerare în definirea pieţei relevante.</w:t>
      </w:r>
    </w:p>
    <w:p w:rsidRPr="00544AB7" w:rsidR="00D41C6E">
      <w:pPr>
        <w:ind w:firstLine="708"/>
        <w:jc w:val="both"/>
      </w:pPr>
      <w:r w:rsidRPr="00544AB7">
        <w:t>Contractul de leasing financiar este definit  ca fiind orice contract de leasing care îndeplineşte cel puţin una dintre următoarele condiţii: (i) riscurile şi beneficiile dreptului de proprietate asupra bunului care face obiectul leasingului sunt transferate utilizatorului la momentul la care contractul de leasing produce efecte; (ii) contractul de leasing prevede expres transferul dreptului de proprietate asupra bunului ce face obiectul leasingului către utilizator la momentul expirării contractului; (iii) utilizatorul are opţiunea de a cumpăra bunul la momentul expirării contractului, iar valoarea reziduală exprimată în procente este mai mică sau egală cu diferenţa dintre durata normală de funcţionare maximă şi durata contractului de leasing, raportată la durata normală de funcţionare maximă, exprimată în procente; (iv) perioada de leasing depăşeşte 80% din durata normală de funcţionare maximă a bunului care face obiectul leasingului; în înţelesul acestei definiţii, perioada de leasing include orice perioadă pentru care contractul de leasing poate fi prelungit; (v) valoarea totală a ratelor de leasing, mai puţin cheltuielile accesorii, este mai mare sau egală cu valoarea de intrare a bunului.</w:t>
      </w:r>
    </w:p>
    <w:p w:rsidRPr="00544AB7" w:rsidR="00D41C6E">
      <w:pPr>
        <w:ind w:firstLine="708"/>
        <w:jc w:val="both"/>
      </w:pPr>
      <w:r w:rsidRPr="00544AB7">
        <w:t>Pentru a se defini piaţa relevantă a produsului este necesară analiza substituibilităţii/interschimbabilităţii produselor şi/sau serviciilor.</w:t>
      </w:r>
    </w:p>
    <w:p w:rsidRPr="00544AB7" w:rsidR="00D41C6E">
      <w:pPr>
        <w:ind w:firstLine="708"/>
        <w:jc w:val="both"/>
      </w:pPr>
      <w:r w:rsidRPr="00544AB7">
        <w:t>Piaţa leasingului financiar nu este substituibila cu leasingul operaţional, respectiv cu creditul bancar.</w:t>
      </w:r>
    </w:p>
    <w:p w:rsidRPr="00544AB7" w:rsidR="00D41C6E">
      <w:pPr>
        <w:ind w:firstLine="708"/>
        <w:jc w:val="both"/>
      </w:pPr>
      <w:r w:rsidRPr="00544AB7">
        <w:t>Reclamanta pretinde faptul că autoritatatea de concurenţă nu a analizat în mod corect, la nivelul cererii, substituibilitatea dintre leasingul financiar şi alte forme de finanţare - în special creditul bancar. Astfel cum reiese din cuprinsul Deciziei atacate , autoritatea de concurenţă a analizat atât substituibilitatea leasing financiar - credit bancar cât şi substituibilitatea leasingului financiar în raport cu alte forme de finanţare (leasing operaţional).</w:t>
      </w:r>
    </w:p>
    <w:p w:rsidRPr="00544AB7" w:rsidR="00D41C6E">
      <w:pPr>
        <w:ind w:firstLine="708"/>
        <w:jc w:val="both"/>
      </w:pPr>
      <w:r w:rsidRPr="00544AB7">
        <w:t>În ceea ce priveşte substituibilitatea leasingului financiar cu creditul bancar, cea mai importantă diferenţă dintre leasingul financiar şi creditul bancar se referă la dreptul de proprietate asupra bunului.</w:t>
      </w:r>
    </w:p>
    <w:p w:rsidRPr="00544AB7" w:rsidR="00D41C6E">
      <w:pPr>
        <w:ind w:firstLine="708"/>
        <w:jc w:val="both"/>
      </w:pPr>
      <w:r w:rsidRPr="00544AB7">
        <w:t>Efectele juridice ale unui contract de vânzare-cumpărare în baza unui credit şi ale unui contract de leasing sunt diferite, context în care, şi prin raportare la acest aspect, nu se poate pune semnul egalităţii între vânzarea pe credit şi leasing. În cazul vânzării pe credit, dobânditorul bunului devine proprietar de la bun început, pe când la exprimarea opţiunii de cumpărare în leasing, dobânditorul devine proprietar ex nune, deci nu în mod retroactiv de la plata primei rate a preţului.</w:t>
      </w:r>
    </w:p>
    <w:p w:rsidRPr="00544AB7" w:rsidR="00D41C6E">
      <w:pPr>
        <w:ind w:firstLine="708"/>
        <w:jc w:val="both"/>
      </w:pPr>
      <w:r w:rsidRPr="00544AB7">
        <w:t xml:space="preserve"> În cazul contractului de leasing, proprietatea este deţinută de întreprinderea de leasing, de la începutul până la finalul contractului, transferul dreptului de proprietate fiind făcut către client după achitarea tuturor ratelor şi a valorii reziduale. Prin contractul de leasing se transmite dreptul de folosinţă al unui bun . La sfârşitul perioadei de leasing locatorul/finanţatorul se obligă să respecte dreptul de opţiune al locatarului/utilizatorului de a cumpăra bunul, de a prelungi contractul de leasing fără a schimba natura leasingului ori de a înceta raporturile contractuale. Locatarul/utilizatorul poate opta pentru cumpărarea bunului  înainte de sfârşitul perioadei de leasing şi dacă achită toate obligaţiile asumate prin contract .</w:t>
      </w:r>
    </w:p>
    <w:p w:rsidRPr="00544AB7" w:rsidR="00D41C6E">
      <w:pPr>
        <w:ind w:firstLine="708"/>
        <w:jc w:val="both"/>
      </w:pPr>
      <w:r w:rsidRPr="00544AB7">
        <w:t>În cazul creditului bancar, proprietar este clientul. Prin contractul de credit, banca pune la dispoziţia unei persoane, contra unei remuneraţii, fonduri băneşti pe un termen şi în cuantum determinat, iar prin contractul de deschidere de credit se eliberează sumele către client până la concurenţa sumei convenite, clientul fiind obligat să ramburseze creditul la termenul contractului, împreună cu dobânda stabilită. Contractul de credit bancar este un contract ce presupune aducerea unor garanţii reale, personale sau speciale (girul) de către beneficiar.</w:t>
      </w:r>
    </w:p>
    <w:p w:rsidRPr="00544AB7" w:rsidR="00D41C6E">
      <w:pPr>
        <w:ind w:firstLine="708"/>
        <w:jc w:val="both"/>
      </w:pPr>
      <w:r w:rsidRPr="00544AB7">
        <w:t>In ceea ce priveşte natura juridică a contractului de leasing se poate concluziona că acesta este un contract specific, numit, complex, comutativ, consensual, oneros, intuitu personae şi nu reprezintă un contract de credit.</w:t>
      </w:r>
    </w:p>
    <w:p w:rsidRPr="00544AB7" w:rsidR="00D41C6E">
      <w:pPr>
        <w:ind w:firstLine="708"/>
        <w:jc w:val="both"/>
      </w:pPr>
      <w:r w:rsidRPr="00544AB7">
        <w:t>Spre deosebire de contractul de credit, contractul de leasing financiar comportă o serie de distincţii ce conduc la constatarea că, cel puţin prin prisma naturii juridice, acestea nu sunt similare. In acest sens, înalta Curte de Casaţie şi Justiţie a reţinut  că „[...] în cazul creditului bancar clientul primeşte o sumă de bani de la instituţia financiară, pe când în cazul contractului de leasing, locatorul nu oferă locatarului bani, ci finanţează cumpărarea unui bun, pe care ulterior îl transmite locatarului în posesiune şi folosinţă temporară".</w:t>
      </w:r>
    </w:p>
    <w:p w:rsidRPr="00544AB7" w:rsidR="00D41C6E">
      <w:pPr>
        <w:ind w:firstLine="708"/>
        <w:jc w:val="both"/>
      </w:pPr>
      <w:r w:rsidRPr="00544AB7">
        <w:t>De asemenea, astfel cum s-a menţionat şi în Decizia CC, în cazul leasingului financiar, sunt disponibile mai multe canale de vânzări decât în cazul creditului bancar, respectiv: direct de la întreprinderea de leasing, brokeri şi dealeri auto, reţeaua de sucursale a băncii din grup (dacă este cazul).</w:t>
      </w:r>
    </w:p>
    <w:p w:rsidRPr="00544AB7" w:rsidR="00D41C6E">
      <w:pPr>
        <w:ind w:firstLine="708"/>
        <w:jc w:val="both"/>
      </w:pPr>
      <w:r w:rsidRPr="00544AB7">
        <w:t>Leasingul financiar necesită o perioadă de evaluare a cererii de finanţare mai scurtă decât un credit bancar.</w:t>
      </w:r>
    </w:p>
    <w:p w:rsidRPr="00544AB7" w:rsidR="00D41C6E">
      <w:pPr>
        <w:ind w:firstLine="708"/>
        <w:jc w:val="both"/>
      </w:pPr>
      <w:r w:rsidRPr="00544AB7">
        <w:t xml:space="preserve">În analiza efectuată de către autoritatea de concurenţă, astfel cum aceasta este prezentată în cadrul Deciziei atacate, au fost expuse argumentele pentru care s-a constatat lipsa de substitubilitate  dintre leasingul financiar şi creditul bancar. </w:t>
      </w:r>
    </w:p>
    <w:p w:rsidRPr="00544AB7" w:rsidR="00D41C6E">
      <w:pPr>
        <w:ind w:firstLine="708"/>
        <w:jc w:val="both"/>
      </w:pPr>
      <w:r w:rsidRPr="00544AB7">
        <w:t xml:space="preserve">Suplimentar, în cadrul Deciziei nr. </w:t>
      </w:r>
      <w:r w:rsidRPr="00544AB7" w:rsidR="001477A4">
        <w:t>..../2020</w:t>
      </w:r>
      <w:r w:rsidRPr="00544AB7">
        <w:t xml:space="preserve"> a fost analizată şi substituibilitatea dintre leasing financiar şi leasing operaţional, concluzionându-se în sensul lipsei unei substituibilităţi între cele două produse.</w:t>
      </w:r>
    </w:p>
    <w:p w:rsidRPr="00544AB7" w:rsidR="00D41C6E">
      <w:pPr>
        <w:ind w:firstLine="708"/>
        <w:jc w:val="both"/>
      </w:pPr>
      <w:r w:rsidRPr="00544AB7">
        <w:t>Având în vedere concluziile analizei efectuate, în cazul analizat, piaţa relevantă a produsului    a    fost   definită    ca    fiind    piaţa    serviciilor    de    leasing    financiar.</w:t>
      </w:r>
    </w:p>
    <w:p w:rsidRPr="00544AB7" w:rsidR="00D41C6E">
      <w:pPr>
        <w:ind w:firstLine="708"/>
        <w:jc w:val="both"/>
      </w:pPr>
      <w:r w:rsidRPr="00544AB7">
        <w:t>Produsele de leasing financiar sunt omogene</w:t>
      </w:r>
    </w:p>
    <w:p w:rsidRPr="00544AB7" w:rsidR="00D41C6E">
      <w:pPr>
        <w:ind w:firstLine="708"/>
        <w:jc w:val="both"/>
      </w:pPr>
      <w:r w:rsidRPr="00544AB7">
        <w:t>Piaţa serviciilor de leasing financiar este una în care produsele oferite de companii au un grad ridicat de omogenitate . Produsele financiare, în general, sunt caracterizate de existenţa unor elemente constitutive şi de calitate similare,chiar standardizate.</w:t>
      </w:r>
    </w:p>
    <w:p w:rsidRPr="00544AB7" w:rsidR="00D41C6E">
      <w:pPr>
        <w:ind w:firstLine="708"/>
        <w:jc w:val="both"/>
      </w:pPr>
      <w:r w:rsidRPr="00544AB7">
        <w:t>Prin raportare la consumator, in general, elementul determinant pentru contractarea serviciilor unei societăţi de leasing este preţul, excepţie făcând situaţiile în care alegerea unei anumite mărci pentru produsul ce urmează să facă obiectul contractului de leasing implică finanţarea de către o anumită societate de leasing, care este integrată cu producătorul (denumită şi societate de leasing captivă).</w:t>
      </w:r>
    </w:p>
    <w:p w:rsidRPr="00544AB7" w:rsidR="00D41C6E">
      <w:pPr>
        <w:ind w:firstLine="708"/>
        <w:jc w:val="both"/>
      </w:pPr>
      <w:r w:rsidRPr="00544AB7">
        <w:t xml:space="preserve">Contrar susţinerilor reclamantei in privinţa produselor de creditare oferite de societăţile de leasing financiar, elementele de altă natură, cum ar fi cele ce decurg din deţinerea unei anumite reputaţii nu joacă un rol determinant, consecinţele unei eventuale degradări a situaţiei financiare a societăţii neresfrângându-se asupra clientului, asa cum se intâmplă în cazul produselor de economisire. </w:t>
      </w:r>
    </w:p>
    <w:p w:rsidRPr="00544AB7" w:rsidR="00D41C6E">
      <w:pPr>
        <w:ind w:firstLine="708"/>
        <w:jc w:val="both"/>
      </w:pPr>
      <w:r w:rsidRPr="00544AB7">
        <w:t>In acest context, astfel cum se arata in Decizia CC  caracterul nociv al schimbului de informaţii poate fi accentuat de anumite caracteristici ale pieţei, precum natura bunurilor/serviciilor.</w:t>
      </w:r>
    </w:p>
    <w:p w:rsidRPr="00544AB7" w:rsidR="00D41C6E">
      <w:pPr>
        <w:ind w:firstLine="708"/>
        <w:jc w:val="both"/>
      </w:pPr>
      <w:r w:rsidRPr="00544AB7">
        <w:t>Pe pieţele caracterizate de un grad ridicat de omogenitate componenta de concurenţă prin calitate (concurenţa non-preţ) este suprimată într-o mare măsură. Concurenţii au, în astfel de cazuri, o capacitate limitată de a-şi diferenţia produsele pentru a atrage clienţi, astfel încât consecinţele negative ale unui schimb de informaţii privind informaţii strategice vor fi amplificate.</w:t>
      </w:r>
    </w:p>
    <w:p w:rsidRPr="00544AB7" w:rsidR="00D41C6E">
      <w:pPr>
        <w:ind w:firstLine="708"/>
        <w:jc w:val="both"/>
      </w:pPr>
      <w:r w:rsidRPr="00544AB7">
        <w:t>În ceea ce priveşte individualizarea amenzii</w:t>
      </w:r>
    </w:p>
    <w:p w:rsidRPr="00544AB7" w:rsidR="00D41C6E">
      <w:pPr>
        <w:ind w:firstLine="708"/>
        <w:jc w:val="both"/>
      </w:pPr>
      <w:r w:rsidRPr="00544AB7">
        <w:t xml:space="preserve">În cadrul secţiunii V din cuprinsul cererii de chemare în judecată, reclamanta susţine, în mod neîntemeiat, faptul că autoritatea de concurenţă a efectuat o greşită individualizare a amenzii prin aceea că: (i) calculul cifrei de afaceri nu a fost făcut cu respectarea prevederilor legale; (ii) baza de calcul a amenzii a fost stabilită în mod eronat; (iii) </w:t>
      </w:r>
      <w:r w:rsidRPr="00544AB7" w:rsidR="00FC492C">
        <w:t>...Y*...</w:t>
      </w:r>
      <w:r w:rsidRPr="00544AB7">
        <w:t xml:space="preserve"> ar fi trebuit să beneficieze de circumstanţa atenuantă constând în participarea redusă la încălcare.</w:t>
      </w:r>
    </w:p>
    <w:p w:rsidRPr="00544AB7" w:rsidR="00D41C6E">
      <w:pPr>
        <w:ind w:firstLine="708"/>
        <w:jc w:val="both"/>
      </w:pPr>
      <w:r w:rsidRPr="00544AB7">
        <w:t>1. În ceea ce priveşte calculul cifrei de afaceri</w:t>
      </w:r>
    </w:p>
    <w:p w:rsidRPr="00544AB7" w:rsidR="00D41C6E">
      <w:pPr>
        <w:ind w:firstLine="708"/>
        <w:jc w:val="both"/>
      </w:pPr>
      <w:r w:rsidRPr="00544AB7">
        <w:t xml:space="preserve">În cuprinsul cererii de chemare în judecată, </w:t>
      </w:r>
      <w:r w:rsidRPr="00544AB7" w:rsidR="00FC492C">
        <w:t>...Y*...</w:t>
      </w:r>
      <w:r w:rsidRPr="00544AB7">
        <w:t xml:space="preserve"> invocă faptul că cifra de afaceri ar fi trebuit să fie calculată prin raportare la prevederile Instrucţiunilor privind conceptele de concentrare economică, întreprindere implicată, funcţionare deplină şi cifră de afaceri .</w:t>
      </w:r>
    </w:p>
    <w:p w:rsidRPr="00544AB7" w:rsidR="00D41C6E">
      <w:pPr>
        <w:ind w:firstLine="708"/>
        <w:jc w:val="both"/>
      </w:pPr>
      <w:r w:rsidRPr="00544AB7">
        <w:t>Autoritatea de concurenţă arată că anterior modificării Legii nr. 21/1996, prin Ordonanţa de urgenţă nr. 75/2010, art. 65 din Legea concurenţei prevedea că."Cifra de afaceri este înlocuită: a)pentru societăţi bancare, instituţii de credit sau financiare şi societăţi financiare, prin a zecea parte din valoarea bilanţului lor. "</w:t>
      </w:r>
    </w:p>
    <w:p w:rsidRPr="00544AB7" w:rsidR="00D41C6E">
      <w:pPr>
        <w:ind w:firstLine="708"/>
        <w:jc w:val="both"/>
      </w:pPr>
      <w:r w:rsidRPr="00544AB7">
        <w:t xml:space="preserve">Prevederile indicate supra nu mai sunt în vigoare. </w:t>
      </w:r>
    </w:p>
    <w:p w:rsidRPr="00544AB7" w:rsidR="00D41C6E">
      <w:pPr>
        <w:ind w:firstLine="708"/>
        <w:jc w:val="both"/>
      </w:pPr>
      <w:r w:rsidRPr="00544AB7">
        <w:t>Cifra de afaceri pentru instituţiile de credit şi alte instituţii financiare se calculează potrivit art. 68 din Legea nr. 21/1996, conţinutul acestuia fiind în sensul că «cifrele de afaceri prevăzute în prezenta lege sunt înlocuite (...) pentru instituţiile de credit şi alte instituţii financiare, cu suma veniturilor, definite prin instrucţiuni adoptate de Consiliul Concurenţei, după deducerea impozitelor şi a taxelor legate direct de acestea».</w:t>
      </w:r>
    </w:p>
    <w:p w:rsidRPr="00544AB7" w:rsidR="00D41C6E">
      <w:pPr>
        <w:ind w:firstLine="708"/>
        <w:jc w:val="both"/>
      </w:pPr>
      <w:r w:rsidRPr="00544AB7">
        <w:t>Reclamanta omite în raţionamentul său aspecte importante, de natură a invalida acest raţionament, în acest sens menţionează următoarele aspecte:</w:t>
      </w:r>
    </w:p>
    <w:p w:rsidRPr="00544AB7" w:rsidR="00D41C6E">
      <w:pPr>
        <w:ind w:firstLine="708"/>
        <w:jc w:val="both"/>
      </w:pPr>
      <w:r w:rsidRPr="00544AB7">
        <w:t>Instrucţiunile privind conceptele de concentrare economică, întreprindere implicată, funcţionare deplină şi cifră de afaceri, puse în aplicare prin Ordinul preşedintelui Consiliului Concurenţei nr. 386/2010, au alt domeniu de aplicare decât individualizarea amenzii, acestea constituind o preluare în legislaţia naţională a Comunicării jurisdicţionale consolidate a Comisiei în temeiul Regulamentului (CE) nr. 139/2004 al Consiliului privind controlul concentrărilor economice între întreprinderi (2008/C 95/01, care se aplică exclusiv domeniului concentrărilor economice.</w:t>
      </w:r>
    </w:p>
    <w:p w:rsidRPr="00544AB7" w:rsidR="00D41C6E">
      <w:pPr>
        <w:ind w:firstLine="708"/>
        <w:jc w:val="both"/>
      </w:pPr>
      <w:r w:rsidRPr="00544AB7">
        <w:t>Concentrările economice şi individualizarea sancţiunilor sunt doua instituţii juridice diferite. Diferenţa dintre acestea se reflectă pe mai multe paliere (inclusiv prin maniera de adoptare a cadrului de reglementare incident).</w:t>
      </w:r>
    </w:p>
    <w:p w:rsidRPr="00544AB7" w:rsidR="00D41C6E">
      <w:pPr>
        <w:ind w:firstLine="708"/>
        <w:jc w:val="both"/>
      </w:pPr>
      <w:r w:rsidRPr="00544AB7">
        <w:t xml:space="preserve">Autoritatea de concurenţă are abilitarea de a reglementa aspecte privind cifra de afaceri, atât în ceea ce priveşte operaţiunile de concentrare economică cât şi în ceea ce priveşte individualizarea sancţiunilor, însă legea nu impune identitatea între veniturile avute în vedere în scopul exercitării controlului concentrărilor economice şi cele avute în vedere în scopul aplicării amenzii. Particularitatea cadrului de reglementare instituit de Legea concurenţei (adoptare de Instrucţiuni care reglementează in mod diferit situaţia celor doua instituţii) este explicabilă prin obiectivele diferite urmărite de cele două instituţii juridice menţionate. Astfel, dacă prin controlul concentrărilor economice se urmăreşte evitarea apariţiei sau consolidării pe piaţă a unei poziţii dominante deţinute de o întreprindere, în acest scop fiind necesară determinarea cât mai precisă a puterii de piaţă a acesteia, ce se poate face inclusiv prin intermediul raportării cifrei de afaceri (în cazul societăţilor financiare, a veniturilor asimilate acestei cifre) la cele realizate de celelalte întreprinderi de pe piaţa relevantă, pentru stabilirea cotei de piaţă a întreprinderii pe respectiva piaţă relevantă, în cazul calculării amenzii contravenţionale, ca procent din cifra de afaceri totală a întreprinderii contraveniente (deci nu numai a celei de pe piaţa relevantă), se urmăreşte un obiectiv complet diferit de cel din materia concentrărilor economice, respectiv obţinerea efectului disuasiv al sancţiunii, care să descurajeze respectiva întreprindere de a mai încălca Legea concurenţei, în viitor. </w:t>
      </w:r>
    </w:p>
    <w:p w:rsidRPr="00544AB7" w:rsidR="00D41C6E">
      <w:pPr>
        <w:ind w:firstLine="708"/>
        <w:jc w:val="both"/>
      </w:pPr>
      <w:r w:rsidRPr="00544AB7">
        <w:t>Astfel cum reiese din Partea A - Introducere (a Instrucţiunilor din 2010 privind conceptele de concentrare economică, întreprindere implicată, funcţionare deplină şi cifră de afaceri), pct. 1 şi 3:</w:t>
      </w:r>
    </w:p>
    <w:p w:rsidRPr="00544AB7" w:rsidR="00D41C6E">
      <w:pPr>
        <w:ind w:firstLine="708"/>
        <w:jc w:val="both"/>
      </w:pPr>
      <w:r w:rsidRPr="00544AB7">
        <w:t>(1) „Scopul prezentelor instrucţiuni este de a oferi îndrumări cu privire la conceptele utilizate de Legea concurenţei nr. 21/1996, (...) permiţând astfel întreprinderilor să stabilească mult mai uşor, anterior oricărui contact cu Consiliul Concurenţei, dacă şi în ce măsură operaţiunile lor de concentrare economică sunt supuse controlului autorităţii de concurenţă." (subl.ns.)</w:t>
      </w:r>
    </w:p>
    <w:p w:rsidRPr="00544AB7" w:rsidR="00D41C6E">
      <w:pPr>
        <w:ind w:firstLine="708"/>
        <w:jc w:val="both"/>
      </w:pPr>
      <w:r w:rsidRPr="00544AB7">
        <w:t>(3) „Potrivit prevederilor art. 14 din lege, aceasta se aplică doar operaţiunilor de concentrare economică care îndeplinesc două condiţii. Prima condiţie, este aceea că trebuie să existe o concentrare economică între două sau mai multe întreprinderi, în înţelesul art. 10 şi 11 din lege. (...)"</w:t>
      </w:r>
    </w:p>
    <w:p w:rsidRPr="00544AB7" w:rsidR="00D41C6E">
      <w:pPr>
        <w:ind w:firstLine="708"/>
        <w:jc w:val="both"/>
      </w:pPr>
      <w:r w:rsidRPr="00544AB7">
        <w:t>Aşadar, Instrucţiunile din 2010 reglementează strict aspecte privind concentrările economice, aplicabilitatea lor neputând fi extinsă cu privire la individualizarea sancţiunilor.</w:t>
      </w:r>
    </w:p>
    <w:p w:rsidRPr="00544AB7" w:rsidR="00D41C6E">
      <w:pPr>
        <w:ind w:firstLine="708"/>
        <w:jc w:val="both"/>
      </w:pPr>
      <w:r w:rsidRPr="00544AB7">
        <w:t xml:space="preserve">În speţă, nici nu se poate pune problema neretroactivităţii sau a unei legi mai favorabile întrucât, anterior adoptării Instrucţiunilor din 2019 privind individualizarea sancţiunilor pentru contravenţiile prevăzute la art. 55 din Legea concurenţei nr. 21/1996, aprobate prin Ordinul Preşedintelui Consiliului Concurenţei nr. 1037/2019, nu existau norme legale prevăzute prin intermediul instrucţiunilor care să prevadă veniturile ce sunt avute în vedere în scopul aplicării amenzii pentru instituţiile de credit şi alte instituţii financiare, iar "noţiunea de "cifră de afaceri" nu era aplicabilă altor instituţii financiare (precum societăţile de leasing financiar), neregăsindu-se în cadrul normelor contabile aplicabile acestui tip de </w:t>
      </w:r>
      <w:r w:rsidRPr="00544AB7">
        <w:t>societăţi, motiv pentru care a fost şi necesară stabilirea veniturilor la care se aplică amenda, în lipsa evidenţierii indicatorului cunoscut ca cifră de afaceri în cazul evidenţelor contabile ale acestui tip de societăţi.</w:t>
      </w:r>
    </w:p>
    <w:p w:rsidRPr="00544AB7" w:rsidR="00D41C6E">
      <w:pPr>
        <w:ind w:firstLine="708"/>
        <w:jc w:val="both"/>
      </w:pPr>
      <w:r w:rsidRPr="00544AB7">
        <w:t xml:space="preserve">Consiliul Concurenţei arată că cifra de afaceri a fost calculată conform art. 68 din Legea concurenţei. Actul normativ menţionat face trimitere la instrucţiuni adoptate de Consiliul Concurenţei în cazul calculării cifrei de afaceri pentru instituţiile de credit şi alte instituţii financiare. </w:t>
      </w:r>
    </w:p>
    <w:p w:rsidRPr="00544AB7" w:rsidR="00D41C6E">
      <w:pPr>
        <w:ind w:firstLine="708"/>
        <w:jc w:val="both"/>
      </w:pPr>
      <w:r w:rsidRPr="00544AB7">
        <w:t>Astfel, prin adoptarea Ordinului nr. 1037/2019, a fost completat regimul juridic iniţiat de prevederile art. 68 din Legea concurenţei</w:t>
      </w:r>
    </w:p>
    <w:p w:rsidRPr="00544AB7" w:rsidR="00D41C6E">
      <w:pPr>
        <w:ind w:firstLine="708"/>
        <w:jc w:val="both"/>
      </w:pPr>
      <w:r w:rsidRPr="00544AB7">
        <w:t>Aceste aspecte sunt prezentate în mod detaliat în cadrul para. 690 din Decizie contestată.</w:t>
      </w:r>
    </w:p>
    <w:p w:rsidRPr="00544AB7" w:rsidR="00D41C6E">
      <w:pPr>
        <w:ind w:firstLine="708"/>
        <w:jc w:val="both"/>
      </w:pPr>
      <w:r w:rsidRPr="00544AB7">
        <w:t xml:space="preserve">Menționează faptul că jurisprudenţa indicată de reclamantă - Deciziai ICCJ nr. 39/2010 -priveşte o situaţie diferită de cea incidenţă în prezenta speţă. </w:t>
      </w:r>
    </w:p>
    <w:p w:rsidRPr="00544AB7" w:rsidR="00D41C6E">
      <w:pPr>
        <w:ind w:firstLine="708"/>
        <w:jc w:val="both"/>
      </w:pPr>
      <w:r w:rsidRPr="00544AB7">
        <w:t>Referitor la susţinerea reclamantei  potrivit căreia «singura soluţie pe care ar putea să o pronunţe instanţa de judecată ar fi aceea a anulării integrale a Deciziei Consiliului Concurenţei, cel puţin bazat pe încălcarea principiului calităţii legii în materie contravenţională» menţionează faptul că obiectul prezentului dosar nu este reprezentat de critici cu privire la eventuale prevederi legale, instanţa de contencios constituţional fiind singura competentă să analizeze astfel de critici.</w:t>
      </w:r>
    </w:p>
    <w:p w:rsidRPr="00544AB7" w:rsidR="00D41C6E">
      <w:pPr>
        <w:ind w:firstLine="708"/>
        <w:jc w:val="both"/>
      </w:pPr>
      <w:r w:rsidRPr="00544AB7">
        <w:t xml:space="preserve">Legat de calculul cifrei de afaceri, </w:t>
      </w:r>
      <w:r w:rsidRPr="00544AB7" w:rsidR="00FC492C">
        <w:t>...Y*...</w:t>
      </w:r>
      <w:r w:rsidRPr="00544AB7">
        <w:t xml:space="preserve"> susţine că a fost făcut luând în considerare o altă cifră de afaceri decât cea comunicată de societate.</w:t>
      </w:r>
    </w:p>
    <w:p w:rsidRPr="00544AB7" w:rsidR="00D41C6E">
      <w:pPr>
        <w:ind w:firstLine="708"/>
        <w:jc w:val="both"/>
      </w:pPr>
      <w:r w:rsidRPr="00544AB7">
        <w:t xml:space="preserve">În vederea calculării cifrei de afaceri a </w:t>
      </w:r>
      <w:r w:rsidRPr="00544AB7" w:rsidR="00FC492C">
        <w:t>...Y...</w:t>
      </w:r>
      <w:r w:rsidRPr="00544AB7">
        <w:t xml:space="preserve"> au fost luate în considerare documentele  transmise de către societate. </w:t>
      </w:r>
    </w:p>
    <w:p w:rsidRPr="00544AB7" w:rsidR="00D41C6E">
      <w:pPr>
        <w:ind w:firstLine="708"/>
        <w:jc w:val="both"/>
      </w:pPr>
      <w:r w:rsidRPr="00544AB7">
        <w:t>Astfel, poziţiile din contul de profit şi pierdere care au fost avute în vedere în calculul cifrei de afaceri, conform prevederilor legale, sunt următoarele:</w:t>
      </w:r>
    </w:p>
    <w:p w:rsidRPr="00544AB7" w:rsidR="00D41C6E">
      <w:pPr>
        <w:ind w:firstLine="708"/>
        <w:jc w:val="both"/>
      </w:pPr>
      <w:r w:rsidRPr="00544AB7">
        <w:t>•</w:t>
      </w:r>
      <w:r w:rsidRPr="00544AB7">
        <w:tab/>
        <w:t>Dobânzi de primit şi venituri asimilate (poziţia 010) - 4.191.6251ei;</w:t>
      </w:r>
    </w:p>
    <w:p w:rsidRPr="00544AB7" w:rsidR="00D41C6E">
      <w:pPr>
        <w:ind w:firstLine="708"/>
        <w:jc w:val="both"/>
      </w:pPr>
      <w:r w:rsidRPr="00544AB7">
        <w:t>•</w:t>
      </w:r>
      <w:r w:rsidRPr="00544AB7">
        <w:tab/>
        <w:t>Venituri privind titlurile (poziţia 030) - nu există, din care:</w:t>
      </w:r>
    </w:p>
    <w:p w:rsidRPr="00544AB7" w:rsidR="00D41C6E">
      <w:pPr>
        <w:ind w:firstLine="708"/>
        <w:jc w:val="both"/>
      </w:pPr>
      <w:r w:rsidRPr="00544AB7">
        <w:t>Venituri din acţiuni şi alte titluri cu venit variabil (poziţia 033) - nu există; -   Venituri din participaţii (poziţia 035) - nu există;</w:t>
      </w:r>
    </w:p>
    <w:p w:rsidRPr="00544AB7" w:rsidR="00D41C6E">
      <w:pPr>
        <w:ind w:firstLine="708"/>
        <w:jc w:val="both"/>
      </w:pPr>
      <w:r w:rsidRPr="00544AB7">
        <w:t>Venituri din părţi în cadrul societăţilor comerciale legate - nu există;</w:t>
      </w:r>
    </w:p>
    <w:p w:rsidRPr="00544AB7" w:rsidR="00D41C6E">
      <w:pPr>
        <w:ind w:firstLine="708"/>
        <w:jc w:val="both"/>
      </w:pPr>
      <w:r w:rsidRPr="00544AB7">
        <w:t xml:space="preserve"> Venituri din comisioane (poziţia 040) -143.069 lei;</w:t>
      </w:r>
    </w:p>
    <w:p w:rsidRPr="00544AB7" w:rsidR="00D41C6E">
      <w:pPr>
        <w:ind w:firstLine="708"/>
        <w:jc w:val="both"/>
      </w:pPr>
      <w:r w:rsidRPr="00544AB7">
        <w:t>Profitul net din operaţiuni financiare (poziţia 060) - - 1.366.170 lei;</w:t>
      </w:r>
    </w:p>
    <w:p w:rsidRPr="00544AB7" w:rsidR="00D41C6E">
      <w:pPr>
        <w:ind w:firstLine="708"/>
        <w:jc w:val="both"/>
      </w:pPr>
      <w:r w:rsidRPr="00544AB7">
        <w:t>Alte venituri din exploatare (poziţia 070) - 6.699.528 lei.</w:t>
      </w:r>
    </w:p>
    <w:p w:rsidRPr="00544AB7" w:rsidR="00D41C6E">
      <w:pPr>
        <w:ind w:firstLine="708"/>
        <w:jc w:val="both"/>
      </w:pPr>
      <w:r w:rsidRPr="00544AB7">
        <w:t>Aşadar, rezultă o valoare de 11.034.222 lei ce a fost avută în vedere pentru calcularea amenzii aplicate societăţii, contrar celor afirmate de reclamanta în cadrul acţiunii introductive.</w:t>
      </w:r>
    </w:p>
    <w:p w:rsidRPr="00544AB7" w:rsidR="00D41C6E">
      <w:pPr>
        <w:ind w:firstLine="708"/>
        <w:jc w:val="both"/>
      </w:pPr>
      <w:r w:rsidRPr="00544AB7">
        <w:t>În ceea ce priveşte baza de calcul al amenzii</w:t>
      </w:r>
    </w:p>
    <w:p w:rsidRPr="00544AB7" w:rsidR="00D41C6E">
      <w:pPr>
        <w:ind w:firstLine="708"/>
        <w:jc w:val="both"/>
      </w:pPr>
      <w:r w:rsidRPr="00544AB7">
        <w:t>In ceea ce priveşte evaluarea gravităţii faptei menţionează faptul că criticile reclamantei sub -acest aspect (în sensul că fapta s-ar încadra, cel mult, în categoria faptelor de gravitate medie) sunt neîntemeiate pentru motivele pe care le va prezenta în continuare.</w:t>
      </w:r>
    </w:p>
    <w:p w:rsidRPr="00544AB7" w:rsidR="00D41C6E">
      <w:pPr>
        <w:ind w:firstLine="708"/>
        <w:jc w:val="both"/>
      </w:pPr>
      <w:r w:rsidRPr="00544AB7">
        <w:t>Nivelul de bază al sancţiunii se determină în funcţie de gravitatea şi de durata faptei anticoncurenţiale, prin însumarea celor două cuantumuri.</w:t>
      </w:r>
    </w:p>
    <w:p w:rsidRPr="00544AB7" w:rsidR="00D41C6E">
      <w:pPr>
        <w:ind w:firstLine="708"/>
        <w:jc w:val="both"/>
      </w:pPr>
      <w:r w:rsidRPr="00544AB7">
        <w:t>Potrivit prevederilor legale incidente, evaluarea gravităţii unei încălcări se face de la caz la caz, pentru fiecare tip de încălcare, luându-se în considerare toate împrejurările relevante. în evaluarea gravităţii încălcării se iau în considerare, printre altele, natura faptei săvârşite, dimensiunea şi importanţa pieţei relevante, cotele de piaţă cumulate ale tuturor întreprinderilor participante, impactul concret al încălcării pe piaţă, atunci când acesta poate fi măsurat.</w:t>
      </w:r>
    </w:p>
    <w:p w:rsidRPr="00544AB7" w:rsidR="00D41C6E">
      <w:pPr>
        <w:ind w:firstLine="708"/>
        <w:jc w:val="both"/>
      </w:pPr>
      <w:r w:rsidRPr="00544AB7">
        <w:t xml:space="preserve">Din jurisprudenţa Curţii reiese că gravitatea încălcărilor trebuie stabilită în funcţie de un număr mare de elemente precum, printre altele, circumstanţele speciale ale cauzei, </w:t>
      </w:r>
      <w:r w:rsidRPr="00544AB7">
        <w:t>contextul acesteia şi întinderea disuasivă a amenzilor, fără să se stabilească o listă imperativă sau exhaustivă a criteriilor care trebuie să fie luate în mod obligatoriu în considerare .</w:t>
      </w:r>
    </w:p>
    <w:p w:rsidRPr="00544AB7" w:rsidR="00D41C6E">
      <w:pPr>
        <w:ind w:firstLine="708"/>
        <w:jc w:val="both"/>
      </w:pPr>
      <w:r w:rsidRPr="00544AB7">
        <w:t>După cum s-a statuat în mod constant în jurisprudenţa europeană, dintre aspectele care se iau, de obicei, în calcul la stabilirea gravităţii încălcării nu toate au aceeaşi pondere în cadrul examinării globale a faptei. Astfel, natura încălcării are un rol principal în caracterizarea încălcării ca fiind de gravitate mare, constituind, de altfel, reperul esenţial în individualizarea sancţiunii.</w:t>
      </w:r>
    </w:p>
    <w:p w:rsidRPr="00544AB7" w:rsidR="00D41C6E">
      <w:pPr>
        <w:ind w:firstLine="708"/>
        <w:jc w:val="both"/>
      </w:pPr>
      <w:r w:rsidRPr="00544AB7">
        <w:t>În analiza efectuată cu prilejul evaluării gravităţii încălcării reţinute în prezenta speţă, autoritatea de concurenţă a avut în vedere următoarele aspecte :</w:t>
      </w:r>
    </w:p>
    <w:p w:rsidRPr="00544AB7" w:rsidR="00D41C6E">
      <w:pPr>
        <w:ind w:firstLine="708"/>
        <w:jc w:val="both"/>
      </w:pPr>
      <w:r w:rsidRPr="00544AB7">
        <w:t xml:space="preserve">-cota de piaţă cumulată a membrilor </w:t>
      </w:r>
      <w:r w:rsidRPr="00544AB7" w:rsidR="0075748D">
        <w:t>...W*...</w:t>
      </w:r>
      <w:r w:rsidRPr="00544AB7">
        <w:t xml:space="preserve"> participanţi la schimbul de informaţii s-a situat peste pragul de 80% la nivelul pieţei afectate;</w:t>
      </w:r>
    </w:p>
    <w:p w:rsidRPr="00544AB7" w:rsidR="00D41C6E">
      <w:pPr>
        <w:ind w:firstLine="708"/>
        <w:jc w:val="both"/>
      </w:pPr>
      <w:r w:rsidRPr="00544AB7">
        <w:t>-piaţa relevantă este una extinsă, acoperind întreg teritoriul naţional şi implicând un număr mare de consumatori;</w:t>
      </w:r>
    </w:p>
    <w:p w:rsidRPr="00544AB7" w:rsidR="00D41C6E">
      <w:pPr>
        <w:ind w:firstLine="708"/>
        <w:jc w:val="both"/>
      </w:pPr>
      <w:r w:rsidRPr="00544AB7">
        <w:t>-produsul este considerat a fi unul omogen, concurenţa putându-se manifesta doar prin preţ;</w:t>
      </w:r>
    </w:p>
    <w:p w:rsidRPr="00544AB7" w:rsidR="00D41C6E">
      <w:pPr>
        <w:ind w:firstLine="708"/>
        <w:jc w:val="both"/>
      </w:pPr>
      <w:r w:rsidRPr="00544AB7">
        <w:t>-practica anticoncurenţială este bine organizată/structurată şi, mai mult, în cadrul acesteia, s-au implicat persoane la cel mai înalt nivel al conducerii firmelor;</w:t>
      </w:r>
    </w:p>
    <w:p w:rsidRPr="00544AB7" w:rsidR="00D41C6E">
      <w:pPr>
        <w:ind w:firstLine="708"/>
        <w:jc w:val="both"/>
      </w:pPr>
      <w:r w:rsidRPr="00544AB7">
        <w:t>-   informaţiile schimbate se referă la estimări viitoare privind valoarea nou finanţată.</w:t>
      </w:r>
    </w:p>
    <w:p w:rsidRPr="00544AB7" w:rsidR="00D41C6E">
      <w:pPr>
        <w:ind w:firstLine="708"/>
        <w:jc w:val="both"/>
      </w:pPr>
      <w:r w:rsidRPr="00544AB7">
        <w:t>Rezultă dintr-o jurisprudenţa constantă că, la stabilirea cuantumului amenzii în cazul încălcării normelor de concurenţă, autoritatea îşi respectă obligaţia de motivare atunci când indică în decizia sa elementele de apreciere care i~au permis să determine gravitatea şi durata încălcării, fără să fie obligată să indice elementele cifrice referitoare la modul de calcul al amenzii (a se vedea Hotărârea din 22 octombrie 2015, AC-Treuhand/Comisia, 0194/14 P, EU:C:2015:717, punctul 68 şi jurisprudenţa citată).</w:t>
      </w:r>
    </w:p>
    <w:p w:rsidRPr="00544AB7" w:rsidR="00D41C6E">
      <w:pPr>
        <w:ind w:firstLine="708"/>
        <w:jc w:val="both"/>
      </w:pPr>
      <w:r w:rsidRPr="00544AB7">
        <w:t>În categoria faptelor de gravitate mare se încadrează, de regulă, restricţionările pe orizontală de natura celor prevăzute la art. 7 alin. (4) lit. a) din lege, respectiv restricţiile în vederea fixării preţurilor, împărţirii pieţelor sau a clienţilor, limitării producţiei ori a vânzărilor sau alte practici care împiedică buna funcţionare a pieţei.</w:t>
      </w:r>
    </w:p>
    <w:p w:rsidRPr="00544AB7" w:rsidR="00D41C6E">
      <w:pPr>
        <w:ind w:firstLine="708"/>
        <w:jc w:val="both"/>
      </w:pPr>
      <w:r w:rsidRPr="00544AB7">
        <w:t>Subliniază faptul că, în timp ce descrierea orientativă 133 a tipurilor de încălcări care pot fi considerate ca fiind de gravitate medie (reclamanta pretinzând încadrarea faptei reţinute în sarcina sa ca fiind de gravitate medie) includ încălcări de acelaşi tip ca acelea definite ca fiind încălcări de gravitate mica, dar mult mai riguros aplicate, cu un impact mai mare pe piaţa si cu efecte in arii extinse ale pieţei, din contra, in descrierea intelegerilor grave nu se face nici o menţiune cu privire la necesitatea existentei unui impact sau a unor efecte intr-o anumita arie geografica.</w:t>
      </w:r>
    </w:p>
    <w:p w:rsidRPr="00544AB7" w:rsidR="00D41C6E">
      <w:pPr>
        <w:ind w:firstLine="708"/>
        <w:jc w:val="both"/>
      </w:pPr>
      <w:r w:rsidRPr="00544AB7">
        <w:t>Având în vedere aspectele enunţate supra, fapta analizată a fost încadrată în categoria faptelor de gravitate mare.</w:t>
      </w:r>
    </w:p>
    <w:p w:rsidRPr="00544AB7" w:rsidR="00D41C6E">
      <w:pPr>
        <w:ind w:firstLine="708"/>
        <w:jc w:val="both"/>
      </w:pPr>
      <w:r w:rsidRPr="00544AB7">
        <w:t xml:space="preserve">În prezenta speţă este vorba despre o practică anticoncurenţială constând în realizarea unei înţelegeri şi/sau practici concertate săvârşite prin participarea la un schimb de informaţii sensibile din punct de vedere comercial. Schimbul de informaţii sensibile a avut ca obiect estimări viitoare cu privire la valoarea nou finanţată (estimări transmise membrilor </w:t>
      </w:r>
      <w:r w:rsidRPr="00544AB7" w:rsidR="0075748D">
        <w:t>...W*...</w:t>
      </w:r>
      <w:r w:rsidRPr="00544AB7">
        <w:t xml:space="preserve"> de către </w:t>
      </w:r>
      <w:r w:rsidRPr="00544AB7" w:rsidR="0018311F">
        <w:t>...X...</w:t>
      </w:r>
      <w:r w:rsidRPr="00544AB7">
        <w:t xml:space="preserve"> SRL în cadrul procedurii agreate de schimb de informaţii).</w:t>
      </w:r>
    </w:p>
    <w:p w:rsidRPr="00544AB7" w:rsidR="00D41C6E">
      <w:pPr>
        <w:ind w:firstLine="708"/>
        <w:jc w:val="both"/>
      </w:pPr>
      <w:r w:rsidRPr="00544AB7">
        <w:t>Conform prevederilor legale, în cazul faptelor de gravitate mare, cuantumul preconizat este de la 4% până la 8% din cifra de afaceri totală a contravenientului.</w:t>
      </w:r>
    </w:p>
    <w:p w:rsidRPr="00544AB7" w:rsidR="00D41C6E">
      <w:pPr>
        <w:ind w:firstLine="708"/>
        <w:jc w:val="both"/>
      </w:pPr>
      <w:r w:rsidRPr="00544AB7">
        <w:t>Astfel cum reiese din Decizia atacată, pentru fapta sancţionată prin intermediul acesteia, s-a reţinut, pentru gravitate:</w:t>
      </w:r>
    </w:p>
    <w:p w:rsidRPr="00544AB7" w:rsidR="00D41C6E">
      <w:pPr>
        <w:ind w:firstLine="708"/>
        <w:jc w:val="both"/>
      </w:pPr>
      <w:r w:rsidRPr="00544AB7">
        <w:t>•</w:t>
      </w:r>
      <w:r w:rsidRPr="00544AB7">
        <w:tab/>
        <w:t>un procent de 4% în cazul facilitatorilor (</w:t>
      </w:r>
      <w:r w:rsidRPr="00544AB7" w:rsidR="0075748D">
        <w:t>...W*...</w:t>
      </w:r>
      <w:r w:rsidRPr="00544AB7">
        <w:t xml:space="preserve"> şi </w:t>
      </w:r>
      <w:r w:rsidRPr="00544AB7" w:rsidR="0018311F">
        <w:t>...X...</w:t>
      </w:r>
      <w:r w:rsidRPr="00544AB7">
        <w:t>);</w:t>
      </w:r>
    </w:p>
    <w:p w:rsidRPr="00544AB7" w:rsidR="00D41C6E">
      <w:pPr>
        <w:ind w:firstLine="708"/>
        <w:jc w:val="both"/>
      </w:pPr>
      <w:r w:rsidRPr="00544AB7">
        <w:t>•</w:t>
      </w:r>
      <w:r w:rsidRPr="00544AB7">
        <w:tab/>
        <w:t xml:space="preserve">un procent de 5% în cazul societăţilor sancţionate în calitate de autori ai faptei sancţionate, excepţie făcând societatea </w:t>
      </w:r>
      <w:r w:rsidRPr="00544AB7" w:rsidR="006B371B">
        <w:t>...G.7...</w:t>
      </w:r>
      <w:r w:rsidRPr="00544AB7" w:rsidR="00D91B7C">
        <w:t xml:space="preserve"> Leasing</w:t>
      </w:r>
      <w:r w:rsidRPr="00544AB7">
        <w:t xml:space="preserve">, în cazul căreia s-a reţinut un nivel de bază al amenzii de 6% - având în vedere fuziunea prin absorbţie între </w:t>
      </w:r>
      <w:r w:rsidRPr="00544AB7" w:rsidR="006B371B">
        <w:t>...G.7...</w:t>
      </w:r>
      <w:r w:rsidRPr="00544AB7" w:rsidR="00D91B7C">
        <w:t xml:space="preserve"> Leasing</w:t>
      </w:r>
      <w:r w:rsidRPr="00544AB7">
        <w:t xml:space="preserve"> şi </w:t>
      </w:r>
      <w:r w:rsidRPr="00544AB7" w:rsidR="007604E8">
        <w:t>...G.2...</w:t>
      </w:r>
      <w:r w:rsidRPr="00544AB7">
        <w:t xml:space="preserve"> IFN SA din anul 2018, </w:t>
      </w:r>
      <w:r w:rsidRPr="00544AB7" w:rsidR="006B371B">
        <w:t>...G.7...</w:t>
      </w:r>
      <w:r w:rsidRPr="00544AB7" w:rsidR="00D91B7C">
        <w:t xml:space="preserve"> Leasing</w:t>
      </w:r>
      <w:r w:rsidRPr="00544AB7">
        <w:t xml:space="preserve"> fiind răspunzătoare pentru fapta proprie şi devenind răspunzătoare şi pentru fapta </w:t>
      </w:r>
      <w:r w:rsidRPr="00544AB7" w:rsidR="007604E8">
        <w:t>...G.2...</w:t>
      </w:r>
      <w:r w:rsidRPr="00544AB7">
        <w:t xml:space="preserve"> IFN SA, în calitate de succesor legal al acesteia din urmă.</w:t>
      </w:r>
    </w:p>
    <w:p w:rsidRPr="00544AB7" w:rsidR="00D41C6E">
      <w:pPr>
        <w:ind w:firstLine="708"/>
        <w:jc w:val="both"/>
      </w:pPr>
      <w:r w:rsidRPr="00544AB7">
        <w:t>Prin stabilirea în această manieră a cuantumului aferent gravităţii au fost luate în considerare toate împrejurările relevante şi, în acelaşi timp, s-a realizat o distincţie sub aspectul participării părţilor la săvârşirea faptei.</w:t>
      </w:r>
    </w:p>
    <w:p w:rsidRPr="00544AB7" w:rsidR="00D41C6E">
      <w:pPr>
        <w:ind w:firstLine="708"/>
        <w:jc w:val="both"/>
      </w:pPr>
      <w:r w:rsidRPr="00544AB7">
        <w:t>Pentru faptele de gravitate mare, ca urmare evaluării efectuate, autoritatea de concurenţă poate fixa cuantumul oriunde în intervalul 4%-8%, nefiind instituită vreo obligativitate pentru aceasta ca, în anumite cazuri, să aplice cuantumul minim / maxim.</w:t>
      </w:r>
    </w:p>
    <w:p w:rsidRPr="00544AB7" w:rsidR="00D41C6E">
      <w:pPr>
        <w:ind w:firstLine="708"/>
        <w:jc w:val="both"/>
      </w:pPr>
      <w:r w:rsidRPr="00544AB7">
        <w:t>Deşi a stabilit că fapta anticoncurenţială se circumscrie criteriilor pentru faptele de gravitate mare, pentru care cuantumul amenzii poate fi fixat între 4% si 8%, Consiliul Concurenţei a stabilit un nivel de bază în funcţie de gravitate de doar 5% pentru societăţile autoare ale încălcării (deci spre minimul prevăzut in Instrucţiuni).</w:t>
      </w:r>
    </w:p>
    <w:p w:rsidRPr="00544AB7" w:rsidR="00D41C6E">
      <w:pPr>
        <w:ind w:firstLine="708"/>
        <w:jc w:val="both"/>
      </w:pPr>
      <w:r w:rsidRPr="00544AB7">
        <w:t xml:space="preserve">În ceea ce priveşte circumstanţa atenuantă reprezentată de participarea redusă la încălcare, menționează faptul că reclamanta </w:t>
      </w:r>
      <w:r w:rsidRPr="00544AB7" w:rsidR="00FC492C">
        <w:t>...Y*...</w:t>
      </w:r>
      <w:r w:rsidRPr="00544AB7">
        <w:t xml:space="preserve"> a beneficiat de un număr de 3 circumstanţe atenuante, după cum urmează:</w:t>
      </w:r>
    </w:p>
    <w:p w:rsidRPr="00544AB7" w:rsidR="00D41C6E">
      <w:pPr>
        <w:ind w:firstLine="708"/>
        <w:jc w:val="both"/>
      </w:pPr>
      <w:r w:rsidRPr="00544AB7">
        <w:t xml:space="preserve">-a dovedit existenţa şi implementarea efectivă a unui program de conformare cu regulile de concurenţă - nivelul de bază al amenzii s-a diminuat cu 10%; </w:t>
      </w:r>
    </w:p>
    <w:p w:rsidRPr="00544AB7" w:rsidR="00D41C6E">
      <w:pPr>
        <w:ind w:firstLine="708"/>
        <w:jc w:val="both"/>
      </w:pPr>
      <w:r w:rsidRPr="00544AB7">
        <w:t>-a colaborat în mod efectiv şi pe deplin cu Consiliul Concurenţei, dincolo de obligaţia sa legală de a coopera, prin pregătirea unui studiu util în scopul investigării eficiente şi complete a cauzei (realizat de către Copenhagen Economics în anul 2019) - nivelul de bază al amenzii s-a diminuat cu 10%;</w:t>
      </w:r>
    </w:p>
    <w:p w:rsidRPr="00544AB7" w:rsidR="00D41C6E">
      <w:pPr>
        <w:ind w:firstLine="708"/>
        <w:jc w:val="both"/>
      </w:pPr>
      <w:r w:rsidRPr="00544AB7">
        <w:t>-a contribuit la bunăstarea consumatorilor prin implementarea unor măsuri proprii referitoare la credite din piaţa financiară non-bancară în contextul pandemiei Covid-19 - nivelul de bază al amenzii s-a diminuat cu 10%.</w:t>
      </w:r>
    </w:p>
    <w:p w:rsidRPr="00544AB7" w:rsidR="00D41C6E">
      <w:pPr>
        <w:ind w:firstLine="708"/>
        <w:jc w:val="both"/>
      </w:pPr>
      <w:r w:rsidRPr="00544AB7">
        <w:t>Independent de circumstanţele atenuante reţinute de către autoritatea de concurenţă, reclamanta solicită reţinerea circumstanţei atenuante suplimentare reprezentată de participarea redusă la încălcare.</w:t>
      </w:r>
    </w:p>
    <w:p w:rsidRPr="00544AB7" w:rsidR="00D41C6E">
      <w:pPr>
        <w:ind w:firstLine="708"/>
        <w:jc w:val="both"/>
      </w:pPr>
      <w:r w:rsidRPr="00544AB7">
        <w:t>În cauză nu este incidenţă circumstanţa atenuantă suplimentară solicitată de reclamantă.</w:t>
      </w:r>
    </w:p>
    <w:p w:rsidRPr="00544AB7" w:rsidR="00D41C6E">
      <w:pPr>
        <w:ind w:firstLine="708"/>
        <w:jc w:val="both"/>
      </w:pPr>
      <w:r w:rsidRPr="00544AB7">
        <w:t>...Y*...</w:t>
      </w:r>
      <w:r w:rsidRPr="00544AB7" w:rsidR="00914311">
        <w:t xml:space="preserve"> susţine faptul că: (i) a întreprins un singur act material; (ii) nu a participat la şedinţa in cadrul căreia s-a propus modificarea modelului de raportare; (iii) a participat doar ocazional la şedinţele Comitetului de Marketing şi ale Consiliului de Leasing.</w:t>
      </w:r>
    </w:p>
    <w:p w:rsidRPr="00544AB7" w:rsidR="00D41C6E">
      <w:pPr>
        <w:ind w:firstLine="708"/>
        <w:jc w:val="both"/>
      </w:pPr>
      <w:r w:rsidRPr="00544AB7">
        <w:t>Menționează faptul că, în speţă, a fost sancţionată participarea la un schimb de informaţii sensibile din punct de vedere comercial cu privire la cantităţi viitoare, care a avut potenţialul de a conduce la reducerea incertitudinii strategice de pe piaţă.</w:t>
      </w:r>
    </w:p>
    <w:p w:rsidRPr="00544AB7" w:rsidR="00D41C6E">
      <w:pPr>
        <w:ind w:firstLine="708"/>
        <w:jc w:val="both"/>
      </w:pPr>
      <w:r w:rsidRPr="00544AB7">
        <w:t xml:space="preserve">Posibilitatea de sancţionare pentru participarea la schimbul de informaţii nu este condiţionată de deţinerea unei anumite calităţi în cadrul </w:t>
      </w:r>
      <w:r w:rsidRPr="00544AB7" w:rsidR="0075748D">
        <w:t>...W*...</w:t>
      </w:r>
      <w:r w:rsidRPr="00544AB7">
        <w:t xml:space="preserve"> ori de existenţa unui anumit volum de implicare în activitatea asociaţiei.</w:t>
      </w:r>
    </w:p>
    <w:p w:rsidRPr="00544AB7" w:rsidR="00D41C6E">
      <w:pPr>
        <w:ind w:firstLine="708"/>
        <w:jc w:val="both"/>
      </w:pPr>
      <w:r w:rsidRPr="00544AB7">
        <w:t>De asemenea, astfel cum reiese din decizia atacată , autoritatea de concurenţă consideră că, în conformitate cu prevederile legale, pentru analiza acestei circumstanţe atenuante trebuie avută în vedere implicarea întreprinderii în realizarea înţelegerii prin săvârşirea de acte materiale, respectiv îndeplinirea standardului de probă (primirea estimărilor viitoare ale valorii nou finanţate), şi nu perioada de timp în care aceasta a participat la practica anticoncurenţială.</w:t>
      </w:r>
    </w:p>
    <w:p w:rsidRPr="00544AB7" w:rsidR="00D41C6E">
      <w:pPr>
        <w:ind w:firstLine="708"/>
        <w:jc w:val="both"/>
        <w:rPr>
          <w:rStyle w:val="Fontdeparagrafimplicit"/>
          <w:i/>
        </w:rPr>
      </w:pPr>
      <w:r w:rsidRPr="00544AB7">
        <w:rPr>
          <w:rStyle w:val="Fontdeparagrafimplicit"/>
          <w:i/>
        </w:rPr>
        <w:t>I.3.Reclamanta a depus răspuns la întâmpinarea Consiliului Concurenței.</w:t>
      </w:r>
    </w:p>
    <w:p w:rsidRPr="00544AB7" w:rsidR="00D41C6E">
      <w:pPr>
        <w:ind w:firstLine="708"/>
        <w:jc w:val="both"/>
        <w:rPr>
          <w:rStyle w:val="Fontdeparagrafimplicit"/>
          <w:i/>
        </w:rPr>
      </w:pPr>
      <w:r w:rsidRPr="00544AB7">
        <w:rPr>
          <w:rStyle w:val="Fontdeparagrafimplicit"/>
          <w:i/>
        </w:rPr>
        <w:t>I.4.Cererea completatoare și precizatoare</w:t>
      </w:r>
    </w:p>
    <w:p w:rsidRPr="00544AB7" w:rsidR="00D41C6E">
      <w:pPr>
        <w:ind w:firstLine="708"/>
        <w:jc w:val="both"/>
      </w:pPr>
      <w:r w:rsidRPr="00544AB7">
        <w:t xml:space="preserve">În data de 26.01.2022, reclamanta a depus o cerere (VII, 52) prin care a completat obiectul acțiunii cu capătul de cerere privind constatarea prescripției executării sancțiunii contravențonale, a completat motivele acțiunii cu critici privitoare la nesemnarea valabilă a </w:t>
      </w:r>
      <w:r w:rsidRPr="00544AB7">
        <w:t>deciziei contestate și, totodată, a formulat precizări cu privire la aplicarea deciziei nr.58/2021 a Curții Constituționale.</w:t>
      </w:r>
    </w:p>
    <w:p w:rsidRPr="00544AB7" w:rsidR="00D41C6E">
      <w:pPr>
        <w:ind w:firstLine="708"/>
        <w:jc w:val="both"/>
      </w:pPr>
      <w:r w:rsidRPr="00544AB7">
        <w:t>Reclamanta a afirmat că decizia nu a fost semnată în mod valabil, fiind lovită de nulitate.</w:t>
      </w:r>
    </w:p>
    <w:p w:rsidRPr="00544AB7" w:rsidR="00D41C6E">
      <w:pPr>
        <w:ind w:firstLine="708"/>
        <w:jc w:val="both"/>
      </w:pPr>
      <w:r w:rsidRPr="00544AB7">
        <w:t>Potrivit art. 19 alin. (7) din Legea nr. 21/1996, deciziile adoptate de Consiliul Concurenţei în plen conform prevederilor alin. (4) se semnează de către preşedinte, în numele Consiliului Concurenţei. In acelaşi sens, art. 20 alin. (2) din Lege prevede că ordinele şi deciziile Consiliului Concurenţei, prin care se dispun măsuri şi se aplică sancţiuni, se semnează de către preşedinte.</w:t>
      </w:r>
    </w:p>
    <w:p w:rsidRPr="00544AB7" w:rsidR="00D41C6E">
      <w:pPr>
        <w:ind w:firstLine="708"/>
        <w:jc w:val="both"/>
      </w:pPr>
      <w:r w:rsidRPr="00544AB7">
        <w:t xml:space="preserve">Potrivit Legii nr. 455/ 2001 privind semnătura electronică: </w:t>
      </w:r>
    </w:p>
    <w:p w:rsidRPr="00544AB7" w:rsidR="00D41C6E">
      <w:pPr>
        <w:ind w:firstLine="708"/>
        <w:jc w:val="both"/>
      </w:pPr>
      <w:r w:rsidRPr="00544AB7">
        <w:t>”Art. 5</w:t>
      </w:r>
    </w:p>
    <w:p w:rsidRPr="00544AB7" w:rsidR="00D41C6E">
      <w:pPr>
        <w:ind w:firstLine="708"/>
        <w:jc w:val="both"/>
      </w:pPr>
      <w:r w:rsidRPr="00544AB7">
        <w:t>Înscrisul informă electronică, căruia i s-a încorporat, ataşat sau i s-a asociat logic o semnătură electronică extinsă, bazată pe un certificat calificat nesuspendat sau nerevocat la momentul respectiv şi generată cu ajutorul unui dispozitiv securizat de creare a semnăturii electronice, este asimilat, în ceea ce priveşte condiţiile şi efectele sale, cu înscrisul sub semnătură privată.</w:t>
      </w:r>
    </w:p>
    <w:p w:rsidRPr="00544AB7" w:rsidR="00D41C6E">
      <w:pPr>
        <w:ind w:firstLine="708"/>
        <w:jc w:val="both"/>
      </w:pPr>
      <w:r w:rsidRPr="00544AB7">
        <w:t>Art. 7</w:t>
      </w:r>
    </w:p>
    <w:p w:rsidRPr="00544AB7" w:rsidR="00D41C6E">
      <w:pPr>
        <w:ind w:firstLine="708"/>
        <w:jc w:val="both"/>
      </w:pPr>
      <w:r w:rsidRPr="00544AB7">
        <w:t>În cazurile în care, potrivit legii, forma scrisă este cerută ca o condiţie de probă sau de validitate a unui act juridic, un înscris în formă electronică îndeplineşte această cerinţă dacă i s-a încorporat, ataşat sau i s-a asociat logic o semnătură electronică extinsă, bazată pe un certificat calificat şi generată prin intermediul unui dispozitiv securizat de creare a semnăturii.”</w:t>
      </w:r>
    </w:p>
    <w:p w:rsidRPr="00544AB7" w:rsidR="00D41C6E">
      <w:pPr>
        <w:ind w:firstLine="708"/>
        <w:jc w:val="both"/>
      </w:pPr>
      <w:r w:rsidRPr="00544AB7">
        <w:t xml:space="preserve">În primul rând, se constată că semnătura electronică a dlui </w:t>
      </w:r>
      <w:r w:rsidRPr="00544AB7" w:rsidR="002C56E4">
        <w:t>...J...</w:t>
      </w:r>
      <w:r w:rsidRPr="00544AB7">
        <w:t>, acţionând în calitate de preşedinte al Consiliului Concurenţei, nu cuprinde menţiuni privind data şi ora semnării, aşa cum există în cazul celorlalţi semnatari, existând dubii serioase asupra autenticităţii acesteia.</w:t>
      </w:r>
    </w:p>
    <w:p w:rsidRPr="00544AB7" w:rsidR="00D41C6E">
      <w:pPr>
        <w:ind w:firstLine="708"/>
        <w:jc w:val="both"/>
      </w:pPr>
      <w:r w:rsidRPr="00544AB7">
        <w:t>În al doilea rând, în condiţiile transmiterii Deciziei doar în format hârtie, respectiv în copie conformată cu originalul, se pune problema validităţii Deciziei prin prisma îndeplinirii condiţiilor de formă.</w:t>
      </w:r>
    </w:p>
    <w:p w:rsidRPr="00544AB7" w:rsidR="00D41C6E">
      <w:pPr>
        <w:ind w:firstLine="708"/>
        <w:jc w:val="both"/>
      </w:pPr>
      <w:r w:rsidRPr="00544AB7">
        <w:t>Astfel, prin Decizia nr. 6/2015 privind examinarea recursului în interesul legii formulat de Avocatul Poporului privind interpretarea dispoziţiilor art. 17 din Ordonanţa Guvernului nr. 2/2001 şi ale Legii nr. 455/2001, din punctul de vedere al semnăturii agentului constatator necesare legalităţii procesului-verbal de contravenţie, pentru contravenţiile sancţionate de Ordonanţa Guvernului nr. 15/2002 privind aplicarea tarifului de utilizare şi a tarifului de trecere pe reţeaua de drumuri naţionale din România, aprobată cu modificări şi completări prin Legea nr. 424/2002, cu modificările şi completările ulterioare (Anexa 1), înalta Curte de Casaţie şi Justiţie a decis astfel:</w:t>
      </w:r>
    </w:p>
    <w:p w:rsidRPr="00544AB7" w:rsidR="00D41C6E">
      <w:pPr>
        <w:ind w:firstLine="708"/>
        <w:jc w:val="both"/>
      </w:pPr>
      <w:r w:rsidRPr="00544AB7">
        <w:t>În interpretarea şi aplicarea dispoziţiilor art. 17 din Ordonanţa Guvernului nr. 2/2001 privind regimul juridic al contravenţiilor, aprobată cu modificări şi completări prin Legea nr. 180/2002, cu modificările şi completările ulterioare, raportate la dispoziţiile art.4pct. 1-4 şi art. 7 din Legea nr. 455/2001 privind semnătura electronică, republicată, procesele-verbale de constatare şi sancţionare a contravenţiilor, prevăzute de art. 8 alin. (1) din Ordonanţa Guvernului nr. 15/2002 privind aplicarea tarifului de utilizare şi a tarifului de trecere pe reţeaua de drumuri naţionale din România, aprobată cu modificări şi completări prin Legea nr. 424/2002, cu modificările şi completările ulterioare, încheiate potrivit art. 9 alin. (1) Ut. a), alin. (2) şi (3) din acest act normativ, transmise persoanelor sancţionate contravenţional pe suport hârtie, sunt lovite de nulitate absolută în lipsa semnăturii olografe a agentului constatator.</w:t>
      </w:r>
    </w:p>
    <w:p w:rsidRPr="00544AB7" w:rsidR="00D41C6E">
      <w:pPr>
        <w:ind w:firstLine="708"/>
        <w:jc w:val="both"/>
      </w:pPr>
      <w:r w:rsidRPr="00544AB7">
        <w:t>Pentru a dispune astfel, instanţa supremă a reţinut:</w:t>
      </w:r>
    </w:p>
    <w:p w:rsidRPr="00544AB7" w:rsidR="00D41C6E">
      <w:pPr>
        <w:ind w:firstLine="708"/>
        <w:jc w:val="both"/>
      </w:pPr>
      <w:r w:rsidRPr="00544AB7">
        <w:t>Doctrina a relevat faptul că elementul de diferenţiere a actului juridic în formă electronică de actul juridic informă scrisă este modul diferit de acces la manifestarea de voinţă.</w:t>
      </w:r>
    </w:p>
    <w:p w:rsidRPr="00544AB7" w:rsidR="00D41C6E">
      <w:pPr>
        <w:ind w:firstLine="708"/>
        <w:jc w:val="both"/>
      </w:pPr>
      <w:r w:rsidRPr="00544AB7">
        <w:t>Aşadar, un act juridic, înţeles atât ca negotium, cât şi ca instrumentum, poate să intre în sfera de aplicare a Legii nr. 455/2001 doar atunci când manifestarea de voinţă a celui de la care actul emană îmbracă forma electronică şi, de asemenea, ajunge la destinatarul transmiterii în aceeaşi formă, prin intermediul unor mijloace de transmitere a datelor informat electronic.</w:t>
      </w:r>
    </w:p>
    <w:p w:rsidRPr="00544AB7" w:rsidR="00D41C6E">
      <w:pPr>
        <w:ind w:firstLine="708"/>
        <w:jc w:val="both"/>
      </w:pPr>
      <w:r w:rsidRPr="00544AB7">
        <w:t>Această specificitate distinge înscrisurile electronice de înscrisurile "clasice", pe suport hârtie. (...)</w:t>
      </w:r>
    </w:p>
    <w:p w:rsidRPr="00544AB7" w:rsidR="00D41C6E">
      <w:pPr>
        <w:ind w:firstLine="708"/>
        <w:jc w:val="both"/>
      </w:pPr>
      <w:r w:rsidRPr="00544AB7">
        <w:t>În situaţia în care manifestarea de voinţă a emitentului actului ajunge la destinatarul său pe suport hârtie, înscrisul astfel transmis nu mai este în formă electronică.</w:t>
      </w:r>
    </w:p>
    <w:p w:rsidRPr="00544AB7" w:rsidR="00D41C6E">
      <w:pPr>
        <w:ind w:firstLine="708"/>
        <w:jc w:val="both"/>
      </w:pPr>
      <w:r w:rsidRPr="00544AB7">
        <w:t>În temeiul art. 5 din Legea nr. 455/2001, "înscrisul informă electronică, căruia i s-a încorporat, ataşat sau i s-a asociat logic o semnătură electronică extinsă, bazată pe un certificat calificat nesuspendat sau nerevocat la momentul respectiv şi generată cu ajutorul unui dispozitiv securizat de creare a semnăturii electronice, este asimilat, în ceea ce priveşte condiţiile şi efectele sale, cu înscrisul sub semnătură privată."</w:t>
      </w:r>
    </w:p>
    <w:p w:rsidRPr="00544AB7" w:rsidR="00D41C6E">
      <w:pPr>
        <w:ind w:firstLine="708"/>
        <w:jc w:val="both"/>
      </w:pPr>
      <w:r w:rsidRPr="00544AB7">
        <w:t>Că legiuitorul a prevăzut expres că actul în format electronic ce poartă o semnătură electronică extinsă este asimilat unui act sub semnătură privată, însă acesta este destinat exclusiv folosirii în sistemul electronic. (...)</w:t>
      </w:r>
    </w:p>
    <w:p w:rsidRPr="00544AB7" w:rsidR="00D41C6E">
      <w:pPr>
        <w:ind w:firstLine="708"/>
        <w:jc w:val="both"/>
      </w:pPr>
      <w:r w:rsidRPr="00544AB7">
        <w:t>În baza dispoziţiilor art. 7 din Legea nr. 455/2001, "în cazurile în care, potrivit legii, forma scrisă este cerută ca o condiţie de probă sau de validitate a unui act juridic, un înscris în formă electronică îndeplineşte această cerinţă dacă i s-a încorporat, ataşat sau i s-a asociat logic o semnătură electronică extinsă, bazata pe un certificat calificat şi generată prin intermediul unui dispozitiv securizat de creare a semnăturii". Semnătura electronică este definită de art. 4 pct. 3 din Legea nr. 455/2001 ca reprezentând "date informă electronică, care sunt ataşate sau logic asociate cu alte date informă electronică şi care servesc ca metodă de identificare". (...)</w:t>
      </w:r>
    </w:p>
    <w:p w:rsidRPr="00544AB7" w:rsidR="00D41C6E">
      <w:pPr>
        <w:ind w:firstLine="708"/>
        <w:jc w:val="both"/>
      </w:pPr>
      <w:r w:rsidRPr="00544AB7">
        <w:t>Din analiza dispoziţiilor legale citate se desprinde concluzia că semnătura electronică nu se poate ataşa decât unui înscris informă electronică. Ca atare, ea nu poate fi aplicată pe un înscris aflat pe suport hârtie. (...)</w:t>
      </w:r>
    </w:p>
    <w:p w:rsidRPr="00544AB7" w:rsidR="00D41C6E">
      <w:pPr>
        <w:ind w:firstLine="708"/>
        <w:jc w:val="both"/>
      </w:pPr>
      <w:r w:rsidRPr="00544AB7">
        <w:t>În aceste condiţii, un act comunicat celeilalte părţi pe suport hârtie, fără semnătura originală a celui de la care emană, nu poate avea decât valoarea unei copii a înscrisului electronic original.(...)</w:t>
      </w:r>
    </w:p>
    <w:p w:rsidRPr="00544AB7" w:rsidR="00D41C6E">
      <w:pPr>
        <w:ind w:firstLine="708"/>
        <w:jc w:val="both"/>
      </w:pPr>
      <w:r w:rsidRPr="00544AB7">
        <w:t>Este adevărat că semnătura electronică extinsă ataşată unui înscris informat electronic pentru care forma scrisă este cerută de lege ad validitatem îndeplineşte aceeaşi funcţie întocmai semnăturii olografe pe înscrisul imprimat pe suport hârtie şi, în plus, aduce garanţii suplimentare, de unicitate, identitate, securitate, integritate, neputând fi repudiată de autorul său, însă aceste funcţii nu sunt recunoscute decât atunci când înscrisul căruia i se ataşează este transmis şi primit de către destinatarul comunicării tot informat electronic.</w:t>
      </w:r>
    </w:p>
    <w:p w:rsidRPr="00544AB7" w:rsidR="00D41C6E">
      <w:pPr>
        <w:ind w:firstLine="708"/>
        <w:jc w:val="both"/>
      </w:pPr>
      <w:r w:rsidRPr="00544AB7">
        <w:t>Având în vedere că deciziile pronunţate de Înalta Curte de Casaţie şi Justiţie în recurs în interesul legii sunt obligatorii, atât în privinţa dispozitivului cât şi în ceea ce priveşte considerentele acesteia, în cauză urmează a se face aplicarea Deciziei nr. 6/2015, constatându-se că transmiterea actului administrativ în formă fizică duce la nulitatea acestuia, semnarea valabilă a Deciziei Consiliului Concurenţei fiind o condiţie de formă impusă de Legea concurenţei pentru validitatea acesteia.</w:t>
      </w:r>
    </w:p>
    <w:p w:rsidRPr="00544AB7" w:rsidR="00D41C6E">
      <w:pPr>
        <w:ind w:firstLine="708"/>
        <w:jc w:val="both"/>
      </w:pPr>
      <w:r w:rsidRPr="00544AB7">
        <w:t>În privinţa amenzii aplicate prin decizie, a intervenit prescripţia executării sancţiunii, ce poate fi constatată de instanţa învestită cu soluţionarea prezentei acţiuni</w:t>
      </w:r>
    </w:p>
    <w:p w:rsidRPr="00544AB7" w:rsidR="00D41C6E">
      <w:pPr>
        <w:ind w:firstLine="708"/>
        <w:jc w:val="both"/>
      </w:pPr>
      <w:r w:rsidRPr="00544AB7">
        <w:t xml:space="preserve">Din perspectiva regulilor şi principiilor generale aplicabile contravenţiilor, prevederile Legii nr. 21/1996 se completează, mutatis mutandis, cu dispoziţiile O.G. nr. 2/2001. Aceasta </w:t>
      </w:r>
      <w:r w:rsidRPr="00544AB7">
        <w:t>deoarece O.G.nr. 2/2001, în virtutea rolului său de lege cadru, este şi rămâne în continuare dreptul comun  aplicabil în materie contravenţională.</w:t>
      </w:r>
    </w:p>
    <w:p w:rsidRPr="00544AB7" w:rsidR="00D41C6E">
      <w:pPr>
        <w:ind w:firstLine="708"/>
        <w:jc w:val="both"/>
      </w:pPr>
      <w:r w:rsidRPr="00544AB7">
        <w:t>În susţinerea acestui punct de vedere, face referire la jurisprudenţa relevantă a înaltei Curţi de Casaţie şi Justiţie, care a statuat în sensul că:</w:t>
      </w:r>
    </w:p>
    <w:p w:rsidRPr="00544AB7" w:rsidR="00D41C6E">
      <w:pPr>
        <w:ind w:firstLine="708"/>
        <w:jc w:val="both"/>
      </w:pPr>
      <w:r w:rsidRPr="00544AB7">
        <w:t>"[...] în lipsa unor reglementări speciale în Legea nr. 21/1QQ6. se vor aplica dispoziţiile legii generale în materie contravenţională, respectiv O.G. nr. 2/2001. având în vedere, pe de o parte, natura contravenţională a sancţiunii, iar pe de altă parte faptul că termenul de prescripţie prevăzut de legea cadru este de ordine publică" :</w:t>
      </w:r>
    </w:p>
    <w:p w:rsidRPr="00544AB7" w:rsidR="00D41C6E">
      <w:pPr>
        <w:ind w:firstLine="708"/>
        <w:jc w:val="both"/>
      </w:pPr>
      <w:r w:rsidRPr="00544AB7">
        <w:t>„legiuitorul a prevăzut expres pentru faptele de la art. 55 lit. a) aplicarea O.G. nr. 2/2001, însă pentru celelalte fapte nu a stabilit nici un alt termen de prescripţie. Cu toate acestea nu există nici un motiv de a nu fi aplicabile regulile generale în materie contravenţională şi pentru celelalte contravenţii, cât timp legea specială nu conţine alte termene de prescripţie. Nu există nici un motiv pentru care în situaţia contravenţiilor prevăzute de art. 55 lit. a) din lege să se aplice O.G. nr. 2/2001, iar pentru celelalte contravenţii să se aplice Decretul nr. 167/1958. O normă specială din cadrul ramurii de drept public se completează cu norma generală existentă în aceeaşi ramură. Numai în cazul în care nu există normă generală, se poate pune problema aplicării normei generale din cadrul unei alte ramuri de drept' .</w:t>
      </w:r>
    </w:p>
    <w:p w:rsidRPr="00544AB7" w:rsidR="00D41C6E">
      <w:pPr>
        <w:ind w:firstLine="708"/>
        <w:jc w:val="both"/>
      </w:pPr>
      <w:r w:rsidRPr="00544AB7">
        <w:t>Pe cale de consecinţă, având în vedere că O.G. nr. 2/2001 reprezintă dreptul comun în materie contravenţională, rezultă că regulile şi principiile sale generale referitoare la prescripţie, inclusiv caracterul de ordine publică al termenului de prescripţie, vor completa, mutatis mutandis, Legea nr. 21/1996.</w:t>
      </w:r>
    </w:p>
    <w:p w:rsidRPr="00544AB7" w:rsidR="00D41C6E">
      <w:pPr>
        <w:ind w:firstLine="708"/>
        <w:jc w:val="both"/>
      </w:pPr>
      <w:r w:rsidRPr="00544AB7">
        <w:t xml:space="preserve">Or, potrivit art. 14 din O.G. 2/2001:   </w:t>
      </w:r>
    </w:p>
    <w:p w:rsidRPr="00544AB7" w:rsidR="00D41C6E">
      <w:pPr>
        <w:ind w:firstLine="708"/>
        <w:jc w:val="both"/>
      </w:pPr>
      <w:r w:rsidRPr="00544AB7">
        <w:t>(1)Executarea sancţiunilor contravenţionale se prescrie dacă procesul-verbal de constatare a contravenţiei nu a fost comunicat contravenientului în termen de cel mult două luni de la data aplicării sancţiunii.</w:t>
      </w:r>
    </w:p>
    <w:p w:rsidRPr="00544AB7" w:rsidR="00D41C6E">
      <w:pPr>
        <w:ind w:firstLine="708"/>
        <w:jc w:val="both"/>
      </w:pPr>
      <w:r w:rsidRPr="00544AB7">
        <w:t>(2)Prescripţia executării sancţiunilor contravenţionale poate fi constatată chiar şi de instanţa învestită cu soluţionarea plângerii contravenţionale.</w:t>
      </w:r>
    </w:p>
    <w:p w:rsidRPr="00544AB7" w:rsidR="00D41C6E">
      <w:pPr>
        <w:ind w:firstLine="708"/>
        <w:jc w:val="both"/>
      </w:pPr>
      <w:r w:rsidRPr="00544AB7">
        <w:t>În ceea ce priveşte termenul de comunicare a deciziilor Consiliului Concurenţei, art. 51 alin. (1) din Legea nr. 21/1996 prevede că Deciziile adoptate de Consiliul Concurenţei în aplicarea prevederilor art. 8,13,25 alin. (5) lit. c), art. 46 şi 47 vor fi motivate şi comunicate pârâţilor în termen de maximum 120 de zile de la deliberare.</w:t>
      </w:r>
    </w:p>
    <w:p w:rsidRPr="00544AB7" w:rsidR="00D41C6E">
      <w:pPr>
        <w:ind w:firstLine="708"/>
        <w:jc w:val="both"/>
      </w:pPr>
      <w:r w:rsidRPr="00544AB7">
        <w:t>În ceea ce priveşte sancţiunea aplicabilă în cazul necomunicării actului în termen, Legea concurenţei nu cuprinde nicio derogare. Prin urmare, în cazul necomunicării Deciziei în termenul de 120 de zile prevăzut de Legea concurenţei, intervine prescripţia executării sancţiunii.</w:t>
      </w:r>
    </w:p>
    <w:p w:rsidRPr="00544AB7" w:rsidR="00D41C6E">
      <w:pPr>
        <w:ind w:firstLine="708"/>
        <w:jc w:val="both"/>
      </w:pPr>
      <w:r w:rsidRPr="00544AB7">
        <w:t>În speţă, a fost comunicată doar o copie conformată cu originalul, pe suport hârtie, a Deciziei Consiliului Concurenţei. Or, o astfel de comunicare a unei copii conforme cu originalul nu reprezintă o comunicare valabilă a actului administrativ.</w:t>
      </w:r>
    </w:p>
    <w:p w:rsidRPr="00544AB7" w:rsidR="00D41C6E">
      <w:pPr>
        <w:ind w:firstLine="708"/>
        <w:jc w:val="both"/>
      </w:pPr>
      <w:r w:rsidRPr="00544AB7">
        <w:t>În acest sens, prin aceeaşi Decizie nr. 6/2015 pronunţată în cadrul unui recurs în interesul legii, mai sus menţionată, Înalta Curte a reţinut:</w:t>
      </w:r>
    </w:p>
    <w:p w:rsidRPr="00544AB7" w:rsidR="00D41C6E">
      <w:pPr>
        <w:ind w:firstLine="708"/>
        <w:jc w:val="both"/>
      </w:pPr>
      <w:r w:rsidRPr="00544AB7">
        <w:t>”În aceste condiţii, un act comunicat celeilalte părţi pe suport hârtie, fără semnătura originală a celui de la care emană, nu poate avea decât valoarea unei copii a înscrisului electronic original.</w:t>
      </w:r>
    </w:p>
    <w:p w:rsidRPr="00544AB7" w:rsidR="00D41C6E">
      <w:pPr>
        <w:ind w:firstLine="708"/>
        <w:jc w:val="both"/>
      </w:pPr>
      <w:r w:rsidRPr="00544AB7">
        <w:t xml:space="preserve">Concluzionând, se reţine că procesul-verbal întocmit în format electronic, ce are ataşată o semnătură electronică extinsă,] care nu a fost comunicat persoanei sancţionate contravenţional în format electronic, stocat pe un suport informatic al autorităţii din care face parte agentul constatator, beneficiază doar de prezumţia de validitate prevăzută de art. 283 din Codul de procedură civilă! însă această prezumţie nu funcţionează împotriva terţilor (în cauzele analizate, persoanele sancţionate contravenţional), ci în favoarea lor. în plus, un </w:t>
      </w:r>
      <w:r w:rsidRPr="00544AB7">
        <w:t>asemenea act nu produce efecte juridice, de vreme ce nu a fost comunicat în formele prevăzute de lege, motiv pentru care este lipsit de forţa executorie conferită actelor administrative unilaterale adoptate în regim de putere publică.</w:t>
      </w:r>
    </w:p>
    <w:p w:rsidRPr="00544AB7" w:rsidR="00D41C6E">
      <w:pPr>
        <w:ind w:firstLine="708"/>
        <w:jc w:val="both"/>
      </w:pPr>
      <w:r w:rsidRPr="00544AB7">
        <w:t>Este adevărat că semnătura electronică extinsă ataşată unui înscris în format electronic pentru care forma scrisă este cerută de lege ad validitatem îndeplineşte aceeaşi funcţie întocmai semnăturii olografe pe înscrisul imprimat pe suport hârtie şi, în plus, aduce garanţii suplimentare, de unicitate, identitate, securitate, integritate, neputând fi repudiată de autorul său, însă aceste funcţii nu sunt recunoscute decât atunci când înscrisul căruia i se ataşează este transmis şi primit de către destinatarul comunicării tot în format electronic.”</w:t>
      </w:r>
    </w:p>
    <w:p w:rsidRPr="00544AB7" w:rsidR="00D41C6E">
      <w:pPr>
        <w:ind w:firstLine="708"/>
        <w:jc w:val="both"/>
      </w:pPr>
      <w:r w:rsidRPr="00544AB7">
        <w:t>Decizia CCR nr. 58/2021 este pe deplin aplicabilă în cauză</w:t>
      </w:r>
    </w:p>
    <w:p w:rsidRPr="00544AB7" w:rsidR="00D41C6E">
      <w:pPr>
        <w:ind w:firstLine="708"/>
        <w:jc w:val="both"/>
      </w:pPr>
      <w:r w:rsidRPr="00544AB7">
        <w:t>Reclamanta redă câteva argumente suplimentare, desprinse din jurisprudenţa Curţii Constituţionale şi a Înaltei Curţi de Casaţie şi Justiţie, pentru aplicabilitatea în cauză a Deciziei CCR nr. 58/2021.</w:t>
      </w:r>
    </w:p>
    <w:p w:rsidRPr="00544AB7" w:rsidR="00D41C6E">
      <w:pPr>
        <w:ind w:firstLine="708"/>
        <w:jc w:val="both"/>
      </w:pPr>
      <w:r w:rsidRPr="00544AB7">
        <w:t>Astfel, este importantă distincţia între efectele Curţii Constituţionale de modificare a prevederilor legale declarate neconstituţionale, respectiv asupra raporturilor juridice născute sub imperiul legii declarate neconstituţionale şi, pe cale de consecinţă, asupra litigiilor în legătură cu aceste raporturi juridice. în cauză, ceea ce interesează este efectul asupra cauzelor aflate pe rolul instanţelor judecătoreşti, în funcţie de momentul publicării deciziei Curţii Constituţionale.</w:t>
      </w:r>
    </w:p>
    <w:p w:rsidRPr="00544AB7" w:rsidR="00D41C6E">
      <w:pPr>
        <w:ind w:firstLine="708"/>
        <w:jc w:val="both"/>
      </w:pPr>
      <w:r w:rsidRPr="00544AB7">
        <w:t xml:space="preserve"> Potrivit jurisprudenţei Curţii Constituţionale (Decizia nr. 874/2018 - Anexa 2), singura situaţie în care nu sunt aplicabile efectele unei decizii de admitere a Curţii Constituţionale, fiind vorba de un raport juridic epuizat-factapraeterita, este aceea a cauzelor care nu se află pe rolul instanţelor judecătoreşti la momentul publicării deciziei de admitere a Curţii, cauzele fiind soluţionate până la acest moment, şi în care nu a fost dispusă sesizarea Curţii Constituţionale cu o excepţie având ca obiect o dispoziţie d intr-o lege sau ordonanţă constatată neconstituţională.</w:t>
      </w:r>
    </w:p>
    <w:p w:rsidRPr="00544AB7" w:rsidR="00D41C6E">
      <w:pPr>
        <w:ind w:firstLine="708"/>
        <w:jc w:val="both"/>
      </w:pPr>
      <w:r w:rsidRPr="00544AB7">
        <w:t>Cu alte cuvinte, conform jurisprudenţei Curţii, singura situaţie în care deciziile de admitere a neconstituţionalităţii nu se aplică este aceea a cauzelor deja finalizate la momentul publicării deciziei, cu excepţia cazului în care este incident un motiv de revizuire.</w:t>
      </w:r>
    </w:p>
    <w:p w:rsidRPr="00544AB7" w:rsidR="00D41C6E">
      <w:pPr>
        <w:ind w:firstLine="708"/>
        <w:jc w:val="both"/>
      </w:pPr>
      <w:r w:rsidRPr="00544AB7">
        <w:t>Din această perspectivă, deciziile de admitere a neconstituționalității se vor aplica în următoarele tipuri de cauze:</w:t>
      </w:r>
    </w:p>
    <w:p w:rsidRPr="00544AB7" w:rsidR="00D41C6E">
      <w:pPr>
        <w:ind w:firstLine="708"/>
        <w:jc w:val="both"/>
      </w:pPr>
      <w:r w:rsidRPr="00544AB7">
        <w:t>■</w:t>
      </w:r>
      <w:r w:rsidRPr="00544AB7">
        <w:tab/>
        <w:t>Cele în care a fost invocată excepţia de neconstituționalitate ce a făcut obiectul controlului de constituţionalitate;</w:t>
      </w:r>
    </w:p>
    <w:p w:rsidRPr="00544AB7" w:rsidR="00D41C6E">
      <w:pPr>
        <w:ind w:firstLine="708"/>
        <w:jc w:val="both"/>
      </w:pPr>
      <w:r w:rsidRPr="00544AB7">
        <w:t>■</w:t>
      </w:r>
      <w:r w:rsidRPr="00544AB7">
        <w:tab/>
        <w:t>Cele în care a fost sesizată Curtea Constituţională cu o excepţie de neconstituționalitate, înainte de publicarea Deciziei CCR. Ipoteza are în vedere situaţia în care se ridică excepţia de neconstituționalitate, însă într-o altă cauză decât cea în care a fost invocată excepţia soluţionată de Curte;</w:t>
      </w:r>
    </w:p>
    <w:p w:rsidRPr="00544AB7" w:rsidR="00D41C6E">
      <w:pPr>
        <w:ind w:firstLine="708"/>
        <w:jc w:val="both"/>
      </w:pPr>
      <w:r w:rsidRPr="00544AB7">
        <w:t>■</w:t>
      </w:r>
      <w:r w:rsidRPr="00544AB7">
        <w:tab/>
        <w:t>Cele aflate pe rolul instanţelor judecătoreşti în care nu a fost sesizată Curtea Constituţională cu excepţia de neconstituționalitate până la publicarea deciziei Curţii Constituţionale;</w:t>
      </w:r>
    </w:p>
    <w:p w:rsidRPr="00544AB7" w:rsidR="00D41C6E">
      <w:pPr>
        <w:ind w:firstLine="708"/>
        <w:jc w:val="both"/>
      </w:pPr>
      <w:r w:rsidRPr="00544AB7">
        <w:t>■</w:t>
      </w:r>
      <w:r w:rsidRPr="00544AB7">
        <w:tab/>
        <w:t>Cele care nu se aflau încă pe rolul instanţelor judecătoreşti la momentul publicării Deciziei CCR.</w:t>
      </w:r>
    </w:p>
    <w:p w:rsidRPr="00544AB7" w:rsidR="00D41C6E">
      <w:pPr>
        <w:ind w:firstLine="708"/>
        <w:jc w:val="both"/>
      </w:pPr>
      <w:r w:rsidRPr="00544AB7">
        <w:t>În privinţa acestei din urmă categorii, dincolo de faptul că litigiul născut după publicarea Deciziei Curţii Constituţionale reprezintă o situaţie juridică viitoare din perspectiva aplicării deciziei Curţii Constituţionale, principalul argument pentru aplicarea deciziilor de admitere a neconstituționalității îl reprezintă principiul legalităţii. Astfel, dacă acceptăm aplicarea deciziilor CCR în cauze pendinte înregistrate înainte de publicarea deciziei (adică înregistrate la un moment la care legea se bucura încă de prezumţia de constituţionalitate), cu atât mai mult se impune aplicarea Deciziei în cazurile înregistrate după publicarea Deciziei, atunci când textul de lege şi-a pierdut prezumţia de constituţionalitate.</w:t>
      </w:r>
    </w:p>
    <w:p w:rsidRPr="00544AB7" w:rsidR="00D41C6E">
      <w:pPr>
        <w:ind w:firstLine="708"/>
        <w:jc w:val="both"/>
      </w:pPr>
      <w:r w:rsidRPr="00544AB7">
        <w:t>În ceea ce priveşte efectele deciziilor de admitere cu privire la litigiile iniţiate după data publicării deciziei, sunt relevante următoarele considerente ale Curţii Constituţionale din Decizia nr.874/2018, mai sus citată):</w:t>
      </w:r>
    </w:p>
    <w:p w:rsidRPr="00544AB7" w:rsidR="00D41C6E">
      <w:pPr>
        <w:ind w:firstLine="708"/>
        <w:jc w:val="both"/>
      </w:pPr>
      <w:r w:rsidRPr="00544AB7">
        <w:t>”71. Astfel, aşa cum s-a arătat anterior în paragrafele 48-51, potrivit jurisprudenţei Curţii Constituţionale referitoare la efectele unei decizii prin care se constată neconstituționalitatea unei dispoziţii legale, o decizie de admitere a unei excepţii de neconstituționalitate se va aplica în privinţa raporturilor juridice ce urmează a se naşte după publicarea acesteia în Monitorul Oficial al României - facta futura; de asemenea, decizia va fi aplicabilă în cauzele aflate pe rolul instanţelor judecătoreşti la momentul publicării acesteia - cauze pendinte, în care respectivele dispoziţii sunt aplicabile, indiferent de invocarea excepţiei până la publicarea deciziei de admitere, precum şi, în mod excepţional, acelor situaţii care au devenit facta praeterita - respectiv cauzelor în care a fost invocată excepţia, indiferent dacă până la publicarea acesteia au fost soluţionate în mod definitiv, cauze în care este incident motivul de revizuire prevăzut în art. 509 alin. (i)pct. 11 din Codul de procedură civilă.</w:t>
      </w:r>
    </w:p>
    <w:p w:rsidRPr="00544AB7" w:rsidR="00D41C6E">
      <w:pPr>
        <w:ind w:firstLine="708"/>
        <w:jc w:val="both"/>
      </w:pPr>
      <w:r w:rsidRPr="00544AB7">
        <w:t>72. Prin urmare, Curtea retine coincidenţa efectelor deciziei Curţii Constituţionale nr. 369 din 30 mai 2017 şi în cauzele aflate pe rolul instanţelor judecătoreşti, la momentul publicării acesteia -cauze pendinte, în care respectivele dispoziţii sunt aplicabile - indiferent de invocarea excepţiei până la publicarea deciziei de admitere, este în acord cu prevederile art. 147 alin. (4) din Constituţie, dispoziţii constituţionale pe care se întemeiază expresia obligativităţii erga omnes a interpretării şi soluţiei pronunţate de instanţa de contencios constituţional, care implică obligaţia constituţională a tuturor autorităţilor de a aplica întocmai deciziile Curţii, la situaţiile concrete în care normele constatate neconstituţionale au incidenţă (a se vedea şi Decizia nr. 866 din 10 decembrie 2015, publicată în Monitorul Oficial al României, Partea I, nr. 69 din 1 februarie 2016). Aşa cum Curtea Constituţională a reţinut în mod expres în Decizia nr. 454 din 4 iulie 2018, anterior citată, paragraful 61, art. 147 din Constituţie este, în privinţa normelor procedurale, de imediată aplicare, având caracter sancţionatorul. Prin urmare, în interpretarea acestui text constituţional, raportat la normele de procedură civilă, Curtea a constatat că acesta se aplică atât situaţiilor pendinte, cât şi celor ce se vor naşte în viitor, sfera de aplicare a art. 147 alin. (4) din Constituţie neputândfi condiţionată de faptul căprocesul civil a fost pornit anterior sau ulterior publicării Deciziei Curţii Constituţionale din 30 mai 2017.”</w:t>
      </w:r>
    </w:p>
    <w:p w:rsidRPr="00544AB7" w:rsidR="00D41C6E">
      <w:pPr>
        <w:ind w:firstLine="708"/>
        <w:jc w:val="both"/>
      </w:pPr>
      <w:r w:rsidRPr="00544AB7">
        <w:t>De asemenea, prin Decizia 77/2017 pronunţata de ICCJ, privind dezlegarea unei chestiuni de drept, s-au reţinut următoarele:</w:t>
      </w:r>
    </w:p>
    <w:p w:rsidRPr="00544AB7" w:rsidR="00D41C6E">
      <w:pPr>
        <w:ind w:firstLine="708"/>
        <w:jc w:val="both"/>
      </w:pPr>
      <w:r w:rsidRPr="00544AB7">
        <w:t>"(...) daca instanţele au găsit justificat sa recunoască efecte deciziei de neconstituţionalitate in privinţa unor contestaţii la executare in curs (...), cu atat mai mult (afortiori) se impune producerea acestor efecte in situaţiile in care aceasta contestare se face la un moment cand norma este declarata neconstitutionala (si deci, prezumţia de validitate a textului si cea de valabilitate a incheierii executorului nu mai subzistau). Faptul că partea nu a formulat contestaţie la executare anterior (pentru a fi contestaţie pe rol în sensul considerentelor deciziei) nu-i poate fi imputabil, câtă vreme termenul de contestare curge de la comunicarea încheierii, iar, pe de altă parte, o nouă sesizare a Curţii Constituţionale cu excepţia de neconstituţionalitate ar fi fost inadmisibilă având în vedere statuarea deja existentă [art. 29 alin. (3) din Legea nr. 47/1992]."</w:t>
      </w:r>
    </w:p>
    <w:p w:rsidRPr="00544AB7" w:rsidR="00D41C6E">
      <w:pPr>
        <w:ind w:firstLine="708"/>
        <w:jc w:val="both"/>
      </w:pPr>
      <w:r w:rsidRPr="00544AB7">
        <w:t>În lumina celor de mai sus, solicită să se constate aplicabilitatea în cauză a Deciziei CCR nr.58/2021.</w:t>
      </w:r>
      <w:r w:rsidRPr="00544AB7">
        <w:tab/>
      </w:r>
    </w:p>
    <w:p w:rsidRPr="00544AB7" w:rsidR="00D41C6E">
      <w:pPr>
        <w:ind w:firstLine="708"/>
        <w:jc w:val="both"/>
        <w:rPr>
          <w:rStyle w:val="Fontdeparagrafimplicit"/>
          <w:i/>
        </w:rPr>
      </w:pPr>
      <w:r w:rsidRPr="00544AB7">
        <w:rPr>
          <w:rStyle w:val="Fontdeparagrafimplicit"/>
          <w:i/>
        </w:rPr>
        <w:t>I.5.Întâmpinarea la cererea completatoare și precizatoare</w:t>
      </w:r>
    </w:p>
    <w:p w:rsidRPr="00544AB7" w:rsidR="00D41C6E">
      <w:pPr>
        <w:ind w:firstLine="708"/>
        <w:jc w:val="both"/>
      </w:pPr>
      <w:r w:rsidRPr="00544AB7">
        <w:t>Pârâtul Consiliul Concurenţei a depus întâmpinare la cererea completatoare și precizatoare, solicitând respingerea argumentelor reclamantei, pentru motivele ce vor fi expuse în continuare.</w:t>
      </w:r>
    </w:p>
    <w:p w:rsidRPr="00544AB7" w:rsidR="00D41C6E">
      <w:pPr>
        <w:ind w:firstLine="708"/>
        <w:jc w:val="both"/>
      </w:pPr>
      <w:r w:rsidRPr="00544AB7">
        <w:t xml:space="preserve">În ceea ce priveşte semnarea deciziei nr. </w:t>
      </w:r>
      <w:r w:rsidRPr="00544AB7" w:rsidR="001477A4">
        <w:t>..../2020</w:t>
      </w:r>
      <w:r w:rsidRPr="00544AB7">
        <w:t>, menționează că  Decizia nr.6/2015 este  inaplicabilită in speţa.</w:t>
      </w:r>
    </w:p>
    <w:p w:rsidRPr="00544AB7" w:rsidR="00D41C6E">
      <w:pPr>
        <w:ind w:firstLine="708"/>
        <w:jc w:val="both"/>
      </w:pPr>
      <w:r w:rsidRPr="00544AB7">
        <w:t>In cuprinsul cererii completatoare, reclamanta prezintă un raţionament ce se poate rezuma in sensul ca un inscris electronic emis de autoritatea publica trebuie sa fie comunicat, in mod obligatoriu, in format electronic destinatarului, in caz contrar, fiind afectata validitatea actului.</w:t>
      </w:r>
    </w:p>
    <w:p w:rsidRPr="00544AB7" w:rsidR="00D41C6E">
      <w:pPr>
        <w:ind w:firstLine="708"/>
        <w:jc w:val="both"/>
      </w:pPr>
      <w:r w:rsidRPr="00544AB7">
        <w:t>Un astfel de raţionament precum cel al reclamantei este menit sa impiedice derularea cu eficienta a raporturilor juridice intre autorităţile si instituţiile publice si cetăţeni (fiind evident ca autoritatea trebuie sa aleagă calea de comunicare cu celeritate a actelor administrative, optând in funcţie de situaţia concreta intre formatul electronic si cel fizic). Acest raţionament contrazice inclusiv abordarea coerenta a instanţelor care, la momentul comunicării unei hotărâri, pe documentul de Înaintare a hotărârii aplica stampila instituţiei, insotita de semnătura magistratului asistent/ a grefierului, fara ca hotărârea comunicata sa conţină si semnaturile membrilor completului de judecata (Anexa nr. 1 la prezenta). Totodată, nu feste lipsit de relevanta contextul pandemic existent, ce presupune protejarea inclusiv a personalului din cadrul instituţiilor publice prin desfăşurarea activităţii intr-o maniera care sa reducă la minim interacţiunea cu alte persoane, inclusiv prin utilizarea instrumentelor digitale disponibile - pentru evitarea transferului fizic al documentelor intre cei implicaţi in adoptarea si comunicarea unui act administrativ.</w:t>
      </w:r>
    </w:p>
    <w:p w:rsidRPr="00544AB7" w:rsidR="00D41C6E">
      <w:pPr>
        <w:ind w:firstLine="708"/>
        <w:jc w:val="both"/>
      </w:pPr>
      <w:r w:rsidRPr="00544AB7">
        <w:t>Or, autoritatea de concurenta, din considerente practice, a ales sa comunice in mod valid juridic, in format fizic asumat de conformitate cu originalul (conformitatea fiind atestata prin semnătura de conformitate in original) intrucat autoritatea de concurenta nu avea certitudinea ca documentul aflat in original in format electronic putea fi comunicat către toti destinatarii deciziei din diverse motive tehnice [cu titlu de exemplu: (i) lipsa certitudinii cu privire la existenta unor cai de comunicare electronice eficiente si securizate pentru toti destinatarii deciziei; (ii) imposibilitatea protejării informaţiilor confidenţiale, experţii in domeniul IT precizând ca exista posibilitatea ca metodele de confidențializare ale documentului sa fie înlăturate cu un soft adecvat, astfel încât informaţiile protejate ar ajunge la cunoştinţa unui terţ.</w:t>
      </w:r>
    </w:p>
    <w:p w:rsidRPr="00544AB7" w:rsidR="00D41C6E">
      <w:pPr>
        <w:ind w:firstLine="708"/>
        <w:jc w:val="both"/>
      </w:pPr>
      <w:r w:rsidRPr="00544AB7">
        <w:t>Totodată, in mod eronat reclamanta a inteles si a invocat Decizia nr. 6/2015 privind examinarea unui recurs in interesul legii.</w:t>
      </w:r>
    </w:p>
    <w:p w:rsidRPr="00544AB7" w:rsidR="00D41C6E">
      <w:pPr>
        <w:ind w:firstLine="708"/>
        <w:jc w:val="both"/>
      </w:pPr>
      <w:r w:rsidRPr="00544AB7">
        <w:t>Situaţia analizata in cuprinsul acestei decizii prezintă deosebiri esenţiale de situaţia din prezenta speţa, dupa cum urmează:</w:t>
      </w:r>
      <w:r w:rsidRPr="00544AB7">
        <w:tab/>
        <w:t>!</w:t>
      </w:r>
    </w:p>
    <w:p w:rsidRPr="00544AB7" w:rsidR="00D41C6E">
      <w:pPr>
        <w:ind w:firstLine="708"/>
        <w:jc w:val="both"/>
      </w:pPr>
      <w:r w:rsidRPr="00544AB7">
        <w:t xml:space="preserve">(i) in cuprinsul deciziei erau analizate aspectele privind semnarea, cu semnătura electronica, a unui document pentru care legea nu prevedea in mod expres aceasta posibilitate </w:t>
      </w:r>
    </w:p>
    <w:p w:rsidRPr="00544AB7" w:rsidR="00D41C6E">
      <w:pPr>
        <w:ind w:firstLine="708"/>
        <w:jc w:val="both"/>
      </w:pPr>
      <w:r w:rsidRPr="00544AB7">
        <w:t>(ii)</w:t>
      </w:r>
      <w:r w:rsidRPr="00544AB7">
        <w:tab/>
        <w:t>situaţia nu avea ca obiectiv analiza certificării pentru conformitate cu originalul;</w:t>
      </w:r>
    </w:p>
    <w:p w:rsidRPr="00544AB7" w:rsidR="00D41C6E">
      <w:pPr>
        <w:ind w:firstLine="708"/>
        <w:jc w:val="both"/>
      </w:pPr>
      <w:r w:rsidRPr="00544AB7">
        <w:t>(iii)</w:t>
      </w:r>
      <w:r w:rsidRPr="00544AB7">
        <w:tab/>
        <w:t>documentele ce au fost analizate in respectiva speţa nu erau procesele-verbale semnate in mod corespunzător cu semnătura electronica ci documente (procese-verbale) ce conţineau doar menţiunea ca au fost generate si semnate electronic;</w:t>
      </w:r>
    </w:p>
    <w:p w:rsidRPr="00544AB7" w:rsidR="00D41C6E">
      <w:pPr>
        <w:ind w:firstLine="708"/>
        <w:jc w:val="both"/>
      </w:pPr>
      <w:r w:rsidRPr="00544AB7">
        <w:t>(iv)</w:t>
      </w:r>
      <w:r w:rsidRPr="00544AB7">
        <w:tab/>
        <w:t>recursul in interesul legii viza interpretarea art. 17 din OG nr. 2/2001.</w:t>
      </w:r>
    </w:p>
    <w:p w:rsidRPr="00544AB7" w:rsidR="00D41C6E">
      <w:pPr>
        <w:ind w:firstLine="708"/>
        <w:jc w:val="both"/>
      </w:pPr>
      <w:r w:rsidRPr="00544AB7">
        <w:t>Spre deosebire de situaţia analizată in cuprinsul recursului in interesul legii, in prezenta speţa:</w:t>
      </w:r>
    </w:p>
    <w:p w:rsidRPr="00544AB7" w:rsidR="00D41C6E">
      <w:pPr>
        <w:ind w:firstLine="708"/>
        <w:jc w:val="both"/>
      </w:pPr>
      <w:r w:rsidRPr="00544AB7">
        <w:t>(i)</w:t>
      </w:r>
      <w:r w:rsidRPr="00544AB7">
        <w:tab/>
        <w:t>la momentul emiterii Deciziei contestate, se afla în vigoare OUG nr. 38/2020  prin care legiuitorul român a înţeles să reglementeze în mod expres posibilitatea ca actele administrative să poată fi semnate şi în format electronic.</w:t>
      </w:r>
    </w:p>
    <w:p w:rsidRPr="00544AB7" w:rsidR="00D41C6E">
      <w:pPr>
        <w:ind w:firstLine="708"/>
        <w:jc w:val="both"/>
      </w:pPr>
      <w:r w:rsidRPr="00544AB7">
        <w:t>Drept urmare, spre deosebire de situaţia de fapt reţinută de Înalta Curte prin Decizia nr. 6/2015, Consiliul Concurenţei are un temei legal care îi permite să emită acte administrative semnate în format electronic, nefiind ţinut de dezlegarea dată de Instanţa Supremă în respectiva decizie bazată pe argumentul că: "modalitatea de semnare a procesului-</w:t>
      </w:r>
      <w:r w:rsidRPr="00544AB7">
        <w:t>verbal utilizată de agentul constatator din cadrul Companiei Naţionale de Autostrăzi şi Drumuri Naţionale din România - S.A. constituie o lipsă a semnăturii agentului constatator care atrage sancţiunea nulităţii absolute a actului, în condiţiile art. 17 din Ordonanţa Guvernului nr. 2/2001".</w:t>
      </w:r>
    </w:p>
    <w:p w:rsidRPr="00544AB7" w:rsidR="00D41C6E">
      <w:pPr>
        <w:ind w:firstLine="708"/>
        <w:jc w:val="both"/>
      </w:pPr>
      <w:r w:rsidRPr="00544AB7">
        <w:t>(ii)</w:t>
      </w:r>
      <w:r w:rsidRPr="00544AB7">
        <w:tab/>
        <w:t>Decizia CC comunicata părţilor este semnata electronic de către membrii Plenului CC (spre deosebire de actul analizat in cadrul recursului in interesul legii, care cuprindea doar menţiunea ca actul a fost generat si semnat electronic).</w:t>
      </w:r>
    </w:p>
    <w:p w:rsidRPr="00544AB7" w:rsidR="00D41C6E">
      <w:pPr>
        <w:ind w:firstLine="708"/>
        <w:jc w:val="both"/>
      </w:pPr>
      <w:r w:rsidRPr="00544AB7">
        <w:t>(iii)</w:t>
      </w:r>
      <w:r w:rsidRPr="00544AB7">
        <w:tab/>
        <w:t>Prevederile Legii concurentei nr. 21/1996 nu se completează cu prevederile OG nr.2/2001  aşadar nici cu prevederile art. 17 din acest text normativ, prevederi ce au fost analizate in cuprinsul recursului in interesul legii.</w:t>
      </w:r>
    </w:p>
    <w:p w:rsidRPr="00544AB7" w:rsidR="00D41C6E">
      <w:pPr>
        <w:ind w:firstLine="708"/>
        <w:jc w:val="both"/>
      </w:pPr>
      <w:r w:rsidRPr="00544AB7">
        <w:t>Diferenţa semnificativa este aceea ca, in cadrul situaţiei analizate in cadrul recursului in interesul legii, nu s-a pus problema imposibilităţii transmiterii unei copii a unui document asumat pentru conformitate cu originalul.</w:t>
      </w:r>
    </w:p>
    <w:p w:rsidRPr="00544AB7" w:rsidR="00D41C6E">
      <w:pPr>
        <w:ind w:firstLine="708"/>
        <w:jc w:val="both"/>
      </w:pPr>
      <w:r w:rsidRPr="00544AB7">
        <w:t>Ca atare, in respectivul RIL nu s-a invalidat ideea ca o copie in format fizic a unui înscris electronic in sensul art. 267 C.proc.civ., are valoare juridica, in condiţiile in care aceasta a fost asumata pentru conformitate cu originalul.</w:t>
      </w:r>
    </w:p>
    <w:p w:rsidRPr="00544AB7" w:rsidR="00D41C6E">
      <w:pPr>
        <w:ind w:firstLine="708"/>
        <w:jc w:val="both"/>
      </w:pPr>
      <w:r w:rsidRPr="00544AB7">
        <w:t>In prezenta speţă, copia de pe decizia CC, cu atât mai mult cu cât aceasta era semnată pentru conformitate cu originalul, face dovada despre ceea ce era cuprins în înscrisul original .</w:t>
      </w:r>
    </w:p>
    <w:p w:rsidRPr="00544AB7" w:rsidR="00D41C6E">
      <w:pPr>
        <w:ind w:firstLine="708"/>
        <w:jc w:val="both"/>
      </w:pPr>
      <w:r w:rsidRPr="00544AB7">
        <w:t>Cauza analizata in cuprinsul recursului in interesul legii nu viza nici măcar transmiterea unei copii simple, in format fizic, dupa documentul electronic ci doar transmiterea unui document purtând menţiunea ca a fost generat si semnat electronic.</w:t>
      </w:r>
    </w:p>
    <w:p w:rsidRPr="00544AB7" w:rsidR="00D41C6E">
      <w:pPr>
        <w:ind w:firstLine="708"/>
        <w:jc w:val="both"/>
      </w:pPr>
      <w:r w:rsidRPr="00544AB7">
        <w:t>Concluziile prezentate supra de autoritatea de concurenta sunt logice in condiţiile in care, prin asimilare, o copie fizica certificata de conformitate cu originalul este opozabila destinatarului, in mod evident, in condiţiile in care respectiva copie fizica a fost realizata dupa un înscris semnat in original, in format fizic.</w:t>
      </w:r>
    </w:p>
    <w:p w:rsidRPr="00544AB7" w:rsidR="00D41C6E">
      <w:pPr>
        <w:ind w:firstLine="708"/>
        <w:jc w:val="both"/>
      </w:pPr>
      <w:r w:rsidRPr="00544AB7">
        <w:t>Ilogica unui eventual argument in sensul ca nu poate fi verificata semnătura electronica este demonstrata de insasi posibilitatea comunicării unei copii asumate de expeditor, prin certificare de conformitate cu originalul, dupa un inscris incheiat in format fizic.</w:t>
      </w:r>
    </w:p>
    <w:p w:rsidRPr="00544AB7" w:rsidR="00D41C6E">
      <w:pPr>
        <w:ind w:firstLine="708"/>
        <w:jc w:val="both"/>
      </w:pPr>
      <w:r w:rsidRPr="00544AB7">
        <w:t>In acest context, prin raportare la argumentele prezentate supra, rezulta faptul ca Decizia nr. 6/2015 priveşte o situaţie de fapt si drept diferita de cea incidenţa in prezenta speţa, cu consecinţa inaplicabilitatii respectivei decizii in prezentul dosar.</w:t>
      </w:r>
    </w:p>
    <w:p w:rsidRPr="00544AB7" w:rsidR="00D41C6E">
      <w:pPr>
        <w:ind w:firstLine="708"/>
        <w:jc w:val="both"/>
      </w:pPr>
      <w:r w:rsidRPr="00544AB7">
        <w:t>Mai mult, întreaga dizertatie a reclamantei vizează, in realitate, opozabilitatea actului administrativ care, de la comunicarea sa intra in circuitul civil si creează raporturi juridice de drept administrativ. Or, contestarea validităţii comunicării actului administrativ in condiţiile in care:</w:t>
      </w:r>
    </w:p>
    <w:p w:rsidRPr="00544AB7" w:rsidR="00D41C6E">
      <w:pPr>
        <w:ind w:firstLine="708"/>
        <w:jc w:val="both"/>
      </w:pPr>
      <w:r w:rsidRPr="00544AB7">
        <w:t>-</w:t>
      </w:r>
      <w:r w:rsidRPr="00544AB7">
        <w:tab/>
        <w:t xml:space="preserve">reprezentantul desemnat de reclamanta s-a prezentat la sediul CC, primind sub semnătura decizia nr. </w:t>
      </w:r>
      <w:r w:rsidRPr="00544AB7" w:rsidR="001477A4">
        <w:t>..../2020</w:t>
      </w:r>
      <w:r w:rsidRPr="00544AB7">
        <w:t>,</w:t>
      </w:r>
    </w:p>
    <w:p w:rsidRPr="00544AB7" w:rsidR="00D41C6E">
      <w:pPr>
        <w:ind w:firstLine="708"/>
        <w:jc w:val="both"/>
      </w:pPr>
      <w:r w:rsidRPr="00544AB7">
        <w:t>-</w:t>
      </w:r>
      <w:r w:rsidRPr="00544AB7">
        <w:tab/>
        <w:t>reclamanta a inteles sa-si exercite dreptul de acces la justiţie impotriva actului administrativ, aducând critici intr-un număr semnificativ de pagini pe fondul actului administrativ (recunoscând astfel opozabilitatea actului sancţionator), are valoarea exclusiv a unui demers impropriu unei acţiuni in justiţie cu atat mai mult cu cat o acţiune in anulare impotriva unui act administrativ poate privi motive de nulitate din perioada anterioara/concomitenta emiterii acestuia.</w:t>
      </w:r>
    </w:p>
    <w:p w:rsidRPr="00544AB7" w:rsidR="00D41C6E">
      <w:pPr>
        <w:ind w:firstLine="708"/>
        <w:jc w:val="both"/>
      </w:pPr>
      <w:r w:rsidRPr="00544AB7">
        <w:t xml:space="preserve">In ceea ce priveşte semnarea Deciziei CC nr. </w:t>
      </w:r>
      <w:r w:rsidRPr="00544AB7" w:rsidR="001477A4">
        <w:t>..../2020</w:t>
      </w:r>
    </w:p>
    <w:p w:rsidRPr="00544AB7" w:rsidR="00D41C6E">
      <w:pPr>
        <w:ind w:firstLine="708"/>
        <w:jc w:val="both"/>
      </w:pPr>
      <w:r w:rsidRPr="00544AB7">
        <w:t xml:space="preserve">Decizia CC ce a fost comunicata </w:t>
      </w:r>
      <w:r w:rsidRPr="00544AB7" w:rsidR="00FC492C">
        <w:t>...Y*...</w:t>
      </w:r>
      <w:r w:rsidRPr="00544AB7">
        <w:t>, in copie certificata pentru conformitate cu originalul, conţine semnătura electronica a membrilor plenului CC, inclusiv semnătura electronică a preşedintelui CC, determinarea aspectului afişat al semnăturii digitale fiind la latitudinea utilizatorului, fără ca forma de afişare (ce poate conţine doar numele semnatarului ori numele împreună cu o serie de date) să afecteze valabilitatea semnăturii.</w:t>
      </w:r>
    </w:p>
    <w:p w:rsidRPr="00544AB7" w:rsidR="00D41C6E">
      <w:pPr>
        <w:ind w:firstLine="708"/>
        <w:jc w:val="both"/>
      </w:pPr>
      <w:r w:rsidRPr="00544AB7">
        <w:t>Similar print-screen-urilor inserate in cuprinsul prezentei pentru preşedintele CC, in Anexele nr. 2 - 4 la prezenta intampinare sunt prezentate aspectele privind semnaturile membrilor Plenului CC.</w:t>
      </w:r>
    </w:p>
    <w:p w:rsidRPr="00544AB7" w:rsidR="00D41C6E">
      <w:pPr>
        <w:ind w:firstLine="708"/>
        <w:jc w:val="both"/>
      </w:pPr>
      <w:r w:rsidRPr="00544AB7">
        <w:t xml:space="preserve"> Este evident că decizia comunicată reclamantei conţine certificarea de conformitate aplicată de către raportor, aceasta fiind dovada că decizia comunicată este conformă cu exemplarul original, semnat electronic de către membrii Plenului Consiliului Concurenţei, inclusiv de către Preşedinte, aflat la dosarul investigaţiei.</w:t>
      </w:r>
      <w:r w:rsidRPr="00544AB7">
        <w:tab/>
      </w:r>
    </w:p>
    <w:p w:rsidRPr="00544AB7" w:rsidR="00D41C6E">
      <w:pPr>
        <w:ind w:firstLine="708"/>
        <w:jc w:val="both"/>
      </w:pPr>
      <w:r w:rsidRPr="00544AB7">
        <w:t xml:space="preserve">Decizia nr. </w:t>
      </w:r>
      <w:r w:rsidRPr="00544AB7" w:rsidR="001477A4">
        <w:t>..../2020</w:t>
      </w:r>
      <w:r w:rsidRPr="00544AB7">
        <w:t xml:space="preserve"> a fost semnată în mod valabil de către Preşedintele CC, fiind utilizată o semnătură electronică calificată, bazată pe un certificat calificat nesuspendat sau nerevocat.</w:t>
      </w:r>
    </w:p>
    <w:p w:rsidRPr="00544AB7" w:rsidR="00D41C6E">
      <w:pPr>
        <w:ind w:firstLine="708"/>
        <w:jc w:val="both"/>
      </w:pPr>
      <w:r w:rsidRPr="00544AB7">
        <w:t>Potrivit art. 25 alin. I  din cadrul Regulamentului nr. 910/2014, unei semnături electronice nu i se refuză efectul juridic si posibilitatea de a fi acceptată ca probă în procedurile judiciare doar din motiv că aceasta este în format electronic sau că nu îndeplineşte cerinţele pentru semnăturile electronice calificate.</w:t>
      </w:r>
    </w:p>
    <w:p w:rsidRPr="00544AB7" w:rsidR="00D41C6E">
      <w:pPr>
        <w:ind w:firstLine="708"/>
        <w:jc w:val="both"/>
      </w:pPr>
      <w:r w:rsidRPr="00544AB7">
        <w:t>De asemenea, potrivit art. 25 alin. 2 din Regulamentul nr. 910/2014, o semnătură electronică calificată are efectul juridic echivalent al unei semnături olografe.</w:t>
      </w:r>
    </w:p>
    <w:p w:rsidRPr="00544AB7" w:rsidR="00D41C6E">
      <w:pPr>
        <w:ind w:firstLine="708"/>
        <w:jc w:val="both"/>
      </w:pPr>
      <w:r w:rsidRPr="00544AB7">
        <w:t>În contextul în care actele emise în format electronic de autorităţile şi instituţiile publice sunt semnate cu semnătura electronică calificată, în vederea definirii semnăturii electronice facă trimitere la prevederile art. 3 din Regulamentul nr. 910/2014, după cum urmează:</w:t>
      </w:r>
    </w:p>
    <w:p w:rsidRPr="00544AB7" w:rsidR="00D41C6E">
      <w:pPr>
        <w:ind w:firstLine="708"/>
        <w:jc w:val="both"/>
      </w:pPr>
      <w:r w:rsidRPr="00544AB7">
        <w:t>(i) "semnătură electronică calificată" înseamnă o semnătură electronică avansată care este creată de un dispozitiv de creare a semnăturilor electronice calificat şi care se bazează pe un certificat calificat pentru semnăturile electronice;</w:t>
      </w:r>
    </w:p>
    <w:p w:rsidRPr="00544AB7" w:rsidR="00D41C6E">
      <w:pPr>
        <w:ind w:firstLine="708"/>
        <w:jc w:val="both"/>
      </w:pPr>
      <w:r w:rsidRPr="00544AB7">
        <w:t>(ii) "semnătură electronică avansată" înseamnă o semnătură electronică ce îndeplineşte cerinţele prevăzute la articolul 26 din Regulament;</w:t>
      </w:r>
    </w:p>
    <w:p w:rsidRPr="00544AB7" w:rsidR="00D41C6E">
      <w:pPr>
        <w:ind w:firstLine="708"/>
        <w:jc w:val="both"/>
      </w:pPr>
      <w:r w:rsidRPr="00544AB7">
        <w:t>Articolul 26 - Cerinţe pentru semnături electronice avansate</w:t>
      </w:r>
    </w:p>
    <w:p w:rsidRPr="00544AB7" w:rsidR="00D41C6E">
      <w:pPr>
        <w:ind w:firstLine="708"/>
        <w:jc w:val="both"/>
      </w:pPr>
      <w:r w:rsidRPr="00544AB7">
        <w:t>O semnătura electronică avansată îndeplineşte următoarele cerinţe:</w:t>
      </w:r>
    </w:p>
    <w:p w:rsidRPr="00544AB7" w:rsidR="00D41C6E">
      <w:pPr>
        <w:ind w:firstLine="708"/>
        <w:jc w:val="both"/>
      </w:pPr>
      <w:r w:rsidRPr="00544AB7">
        <w:t>(a)</w:t>
      </w:r>
      <w:r w:rsidRPr="00544AB7">
        <w:tab/>
        <w:t>face trimitere exclusiv la semnatar;</w:t>
      </w:r>
    </w:p>
    <w:p w:rsidRPr="00544AB7" w:rsidR="00D41C6E">
      <w:pPr>
        <w:ind w:firstLine="708"/>
        <w:jc w:val="both"/>
      </w:pPr>
      <w:r w:rsidRPr="00544AB7">
        <w:t>(b)</w:t>
      </w:r>
      <w:r w:rsidRPr="00544AB7">
        <w:tab/>
        <w:t>permite identificarea semnatarului;</w:t>
      </w:r>
    </w:p>
    <w:p w:rsidRPr="00544AB7" w:rsidR="00D41C6E">
      <w:pPr>
        <w:ind w:firstLine="708"/>
        <w:jc w:val="both"/>
      </w:pPr>
      <w:r w:rsidRPr="00544AB7">
        <w:t>(c)</w:t>
      </w:r>
      <w:r w:rsidRPr="00544AB7">
        <w:tab/>
        <w:t>este creată utilizând date de creare a semnăturilor electronice pe care semnatarul le poate utiliza, cu un nivel ridicat de încredere, exclusiv sub controlul său; şi</w:t>
      </w:r>
    </w:p>
    <w:p w:rsidRPr="00544AB7" w:rsidR="00D41C6E">
      <w:pPr>
        <w:ind w:firstLine="708"/>
        <w:jc w:val="both"/>
      </w:pPr>
      <w:r w:rsidRPr="00544AB7">
        <w:t>(d)</w:t>
      </w:r>
      <w:r w:rsidRPr="00544AB7">
        <w:tab/>
        <w:t xml:space="preserve">este legată de datele utilizate la semnare astfel încât orice modificare ulterioară a datelor poate fi detectată.   </w:t>
      </w:r>
    </w:p>
    <w:p w:rsidRPr="00544AB7" w:rsidR="00D41C6E">
      <w:pPr>
        <w:ind w:firstLine="708"/>
        <w:jc w:val="both"/>
      </w:pPr>
      <w:r w:rsidRPr="00544AB7">
        <w:t xml:space="preserve"> Semnătura aplicată de către Preşedintele Consiliului Concurenţei, dl. </w:t>
      </w:r>
      <w:r w:rsidRPr="00544AB7" w:rsidR="00D02E14">
        <w:t>...J...</w:t>
      </w:r>
      <w:r w:rsidRPr="00544AB7">
        <w:t>, se bazează pe un certificat calificat pentru semnăturile electronice.</w:t>
      </w:r>
    </w:p>
    <w:p w:rsidRPr="00544AB7" w:rsidR="00D41C6E" w:rsidP="00D02E14">
      <w:pPr>
        <w:ind w:firstLine="708"/>
        <w:jc w:val="both"/>
      </w:pPr>
      <w:r w:rsidRPr="00544AB7">
        <w:t xml:space="preserve">Astfel cum rezultă din imaginea ataşată\supra, semnătura electronică utilizată de dl. </w:t>
      </w:r>
      <w:r w:rsidRPr="00544AB7" w:rsidR="00D02E14">
        <w:t>...J...</w:t>
      </w:r>
      <w:r w:rsidRPr="00544AB7">
        <w:t>: (i) este validă; (ii) este calificată în acord cu prevederile Regulamentului nr. 910/2014; (iii) este obţinută de la un furnizor de servicii de certificare existent în Registrul furnizorilor de servicii de certificare (</w:t>
      </w:r>
      <w:r w:rsidRPr="00544AB7" w:rsidR="00FD17E3">
        <w:t>....................</w:t>
      </w:r>
      <w:r w:rsidRPr="00544AB7">
        <w:t>); (iv) a fost emisă în baza unui certificat nerevocat.</w:t>
      </w:r>
    </w:p>
    <w:p w:rsidRPr="00544AB7" w:rsidR="00D41C6E">
      <w:pPr>
        <w:ind w:firstLine="708"/>
        <w:jc w:val="both"/>
      </w:pPr>
      <w:r w:rsidRPr="00544AB7">
        <w:t>Certificatul pentru semnătura electronică reprezintă o atestare electronică care face legătura între datele de validare a semnăturii electronice şi o persoană fizică şi care confirmă cel puţin numele sau pseudonimul persoanei respective.</w:t>
      </w:r>
      <w:r w:rsidRPr="00544AB7">
        <w:tab/>
        <w:t>Potrivit Anexei I la Regulamentul nr. j 910/2014, ce reglementează cerinţele necesar a fi îndeplinite de către certificatele calificate pentru semnături electronice, aceste certificate conţin, printre altele, «celpuţin numele semnatarului sau un pseudonim».</w:t>
      </w:r>
    </w:p>
    <w:p w:rsidRPr="00544AB7" w:rsidR="00D41C6E">
      <w:pPr>
        <w:ind w:firstLine="708"/>
        <w:jc w:val="both"/>
      </w:pPr>
      <w:r w:rsidRPr="00544AB7">
        <w:t>Suplimentar, astfel cum reiese din cuprinsul articolul 28, alin. 3 din Regulamentul nr.910/2014, certificatele calificate pentru semnăturile electronice pot include atribute specifice suplimentare facultative, acestea din urmă neafectând interoperabilitatea şi recunoaşterea semnăturilor electronice calificate.</w:t>
      </w:r>
      <w:r w:rsidRPr="00544AB7">
        <w:tab/>
      </w:r>
    </w:p>
    <w:p w:rsidRPr="00544AB7" w:rsidR="00D41C6E">
      <w:pPr>
        <w:ind w:firstLine="708"/>
        <w:jc w:val="both"/>
      </w:pPr>
      <w:r w:rsidRPr="00544AB7">
        <w:t>Articolul 28 - Certificate calificate pentru semnăturile electronice</w:t>
      </w:r>
    </w:p>
    <w:p w:rsidRPr="00544AB7" w:rsidR="00D41C6E">
      <w:pPr>
        <w:ind w:firstLine="708"/>
        <w:jc w:val="both"/>
      </w:pPr>
      <w:r w:rsidRPr="00544AB7">
        <w:t xml:space="preserve">(3) Certificatele calificate pentru semnăturile electronice pot include atribute specifice suplimentare facultative. Aceste atribuie nu afectează interoperabilitatea şi recunoaşterea semnăturilor electronice calificate".    </w:t>
      </w:r>
    </w:p>
    <w:p w:rsidRPr="00544AB7" w:rsidR="00D41C6E">
      <w:pPr>
        <w:ind w:firstLine="708"/>
        <w:jc w:val="both"/>
      </w:pPr>
      <w:r w:rsidRPr="00544AB7">
        <w:t>Prin urmare, elementele vizibile cu care apare o semnătură electronică calificată pe un document sunt atribute facultative şi pot fi configurate de către utilizator fără a afecta autenticitatea semnăturii electronice.</w:t>
      </w:r>
    </w:p>
    <w:p w:rsidRPr="00544AB7" w:rsidR="00D41C6E">
      <w:pPr>
        <w:ind w:firstLine="708"/>
        <w:jc w:val="both"/>
      </w:pPr>
      <w:r w:rsidRPr="00544AB7">
        <w:t xml:space="preserve">In acest context - in care aspectele privind o serie de date (e.g. data, ora) cuprinse in cadrul semnăturii electronice privesc aspecte de afisaj/aparenta, se impune respingerea susţinerilor reclamantei in sensul ca lipsa menţiunilor privind data si ora semnării (in cazul dlui. </w:t>
      </w:r>
      <w:r w:rsidRPr="00544AB7" w:rsidR="00D02E14">
        <w:t>...J...</w:t>
      </w:r>
      <w:r w:rsidRPr="00544AB7">
        <w:t>) ar ridica dubii cu privire la autenticitatea semnăturii.</w:t>
      </w:r>
    </w:p>
    <w:p w:rsidRPr="00544AB7" w:rsidR="00D41C6E">
      <w:pPr>
        <w:ind w:firstLine="708"/>
        <w:jc w:val="both"/>
      </w:pPr>
      <w:r w:rsidRPr="00544AB7">
        <w:t>In ceea ce priveşte actele CC si pretinsa nulitate a acestora. Aspecte privind cvorumul</w:t>
      </w:r>
    </w:p>
    <w:p w:rsidRPr="00544AB7" w:rsidR="00D41C6E">
      <w:pPr>
        <w:ind w:firstLine="708"/>
        <w:jc w:val="both"/>
      </w:pPr>
      <w:r w:rsidRPr="00544AB7">
        <w:t>Pe scurt, astfel cum a arătat in cuprinsul notelor scrise, nerespectarea normelor cu caracter dispozitiv nu determina nulitatea absoluta a unui act ci nulitatea relativa a acestuia, nulitate relativa a cărei incidenţa este condiţionata de demonstrarea unei vătămări care nu poate fi indreptata decât prin anularea actului administrativ (aspecte confirmate de către înalta Curte de Casaţie si Justiţie in cadrul Deciziei nr. 1812/07.05.2018 - anexata notelor scrise nr. 13948/12.11.2021 - Anexa nr.5 la respectivele note - ce se regăsesc la dosarul cauzei). Or, astfel cum reiese din apărările formulate de către reclamanta si depuse la dosarul cauzei, aceasta nu a demonstrat existenta unei vătămări, context in care se impune respingerea solicitării de anulare a actului administrativ formulata din aceasta perspectiva.</w:t>
      </w:r>
    </w:p>
    <w:p w:rsidRPr="00544AB7" w:rsidR="00D41C6E">
      <w:pPr>
        <w:ind w:firstLine="708"/>
        <w:jc w:val="both"/>
      </w:pPr>
      <w:r w:rsidRPr="00544AB7">
        <w:t>Independent de totalitatea argumentelor prezentate in secţiunile anterioare, menționează faptul ca, oricum, argumentele reclamantei nu pot fi validate in contextul in care soluţia cauzei din punct de vedere procedural nu depinde de acestea deoarece:</w:t>
      </w:r>
    </w:p>
    <w:p w:rsidRPr="00544AB7" w:rsidR="00D41C6E">
      <w:pPr>
        <w:ind w:firstLine="708"/>
        <w:jc w:val="both"/>
      </w:pPr>
      <w:r w:rsidRPr="00544AB7">
        <w:t xml:space="preserve"> (1)</w:t>
      </w:r>
      <w:r w:rsidRPr="00544AB7">
        <w:tab/>
        <w:t>Normele procedurale privind activitatea preşedintelui (din cuprinsul legislaţiei secundare-- Regulamentul de organizare şi funcţionare a Consiliului Concurenţei) sunt norme dispozitive (nu imperative) - a căror eventuala nerespectare nu este sancţionată cu nulitatea absoluta.</w:t>
      </w:r>
    </w:p>
    <w:p w:rsidRPr="00544AB7" w:rsidR="00D41C6E">
      <w:pPr>
        <w:ind w:firstLine="708"/>
        <w:jc w:val="both"/>
      </w:pPr>
      <w:r w:rsidRPr="00544AB7">
        <w:t xml:space="preserve"> (2)</w:t>
      </w:r>
      <w:r w:rsidRPr="00544AB7">
        <w:tab/>
        <w:t>Chiar daca s-ar fi considerat ca Preşedintele CC nu avea mandat, la momentul adoptării deciziei condiţia de cvorum era îndeplinita.</w:t>
      </w:r>
    </w:p>
    <w:p w:rsidRPr="00544AB7" w:rsidR="00D41C6E">
      <w:pPr>
        <w:ind w:firstLine="708"/>
        <w:jc w:val="both"/>
      </w:pPr>
      <w:r w:rsidRPr="00544AB7">
        <w:t xml:space="preserve">Astfel cum am indicat in cuprinsul întâmpinării si al notelor scrise depuse la dosarul cauzei, prin raportare la prevederile art. 18 alin. 3 din Legea nr. 21/1996 si data fiind obligaţia ce revenea autorităţii de concurenta de a aplica prevederile' legale aflate in vigoare, la data de 09.12.2020, data adoptării deciziei CC, dl. </w:t>
      </w:r>
      <w:r w:rsidRPr="00544AB7" w:rsidR="00D02E14">
        <w:t>...J...</w:t>
      </w:r>
      <w:r w:rsidRPr="00544AB7">
        <w:t xml:space="preserve"> era abilitat să exercite calitatea de Preşedinte al Consiliului Concurenţei, având obligaţia legală de a-şi continua activitatea până la momentul depunerii jurământului de către succesor.</w:t>
      </w:r>
    </w:p>
    <w:p w:rsidRPr="00544AB7" w:rsidR="00D41C6E">
      <w:pPr>
        <w:ind w:firstLine="708"/>
        <w:jc w:val="both"/>
      </w:pPr>
      <w:r w:rsidRPr="00544AB7">
        <w:t xml:space="preserve">Astfel cum a menţionat în cuprinsul întâmpinării si notelor scrise depuse la dosarul cauzei, chiar raportându-se la raţionamentul </w:t>
      </w:r>
      <w:r w:rsidRPr="00544AB7" w:rsidR="00FC492C">
        <w:t>...Y*...</w:t>
      </w:r>
      <w:r w:rsidRPr="00544AB7">
        <w:t>, contrar susţinerilor acestei societăţi, decizia Consiliului Concurenţei nu este de jure lovita de sancţiunea nulităţii, ci întruneşte în continuare condiţiile de  legalitate prevăzute de Legea concurenţei cu privire la emiterea valabilă.</w:t>
      </w:r>
    </w:p>
    <w:p w:rsidRPr="00544AB7" w:rsidR="00D41C6E">
      <w:pPr>
        <w:ind w:firstLine="708"/>
        <w:jc w:val="both"/>
      </w:pPr>
      <w:r w:rsidRPr="00544AB7">
        <w:t>Potrivit art. 15 din lege, forul decizional al autorităţii de concurenţă - Plenul este un organ colegial format din 7 membri. Fiind vorba de un organ colectiv cu atribuţii decizionale in materia constatării si sancţionării practicilor anticoncurentiale, adoptarea unei hotărâri de către acesta este guvernată de regulile existente în Legea concurenţei, cum sunt cele referitoare la dezbatere, deliberare si votarea deciziei ce urmează sa se emită de către autoritatea de concurenta, cu privire la cazul investigat.</w:t>
      </w:r>
    </w:p>
    <w:p w:rsidRPr="00544AB7" w:rsidR="00D41C6E">
      <w:pPr>
        <w:ind w:firstLine="708"/>
        <w:jc w:val="both"/>
      </w:pPr>
      <w:r w:rsidRPr="00544AB7">
        <w:t xml:space="preserve">In ceea ce priveşte adoptarea soluţiilor de către plenul Consiliului Concurentei, la art. 19 alin.(l) din Legea nr. 21/1996 , sunt reglementate expres condiţiile in care organul colegial se întruneşte valabil si poate adopta hotărâri, respectiv in prezenta majorităţii membrilor in </w:t>
      </w:r>
      <w:r w:rsidRPr="00544AB7">
        <w:t>funcţie , dar nu mai puţin de trei dintre aceştia. In acelaşi timp, se prevede ca adoptarea unei soluţii se face cu votul majorităţii membrilor prezenţi.</w:t>
      </w:r>
      <w:r w:rsidRPr="00544AB7">
        <w:tab/>
        <w:t>!</w:t>
      </w:r>
    </w:p>
    <w:p w:rsidRPr="00544AB7" w:rsidR="00D41C6E">
      <w:pPr>
        <w:ind w:firstLine="708"/>
        <w:jc w:val="both"/>
      </w:pPr>
      <w:r w:rsidRPr="00544AB7">
        <w:t>Raportându-ne la susţinerile reclamantei, din cuprinsul acestora transpare faptul că întreaga procedură de deliberare şi adoptare a deciziei depinde întru totul de activitatea persoanei ce deţine calitatea de preşedinte.</w:t>
      </w:r>
    </w:p>
    <w:p w:rsidRPr="00544AB7" w:rsidR="00D41C6E">
      <w:pPr>
        <w:ind w:firstLine="708"/>
        <w:jc w:val="both"/>
      </w:pPr>
      <w:r w:rsidRPr="00544AB7">
        <w:t xml:space="preserve">Cu toate acestea, </w:t>
      </w:r>
      <w:r w:rsidRPr="00544AB7" w:rsidR="00FC492C">
        <w:t>...Y*...</w:t>
      </w:r>
      <w:r w:rsidRPr="00544AB7">
        <w:t xml:space="preserve"> alege să omită în raţionamentul său distincţia esenţială dintre forurile decizionale unipersonale şi cele colegiale, în bazul acestora din urmă esenţiale fiind întrunirea necesar a fi întrunită pentru adoptarea unei decizii membru).</w:t>
      </w:r>
    </w:p>
    <w:p w:rsidRPr="00544AB7" w:rsidR="00D41C6E">
      <w:pPr>
        <w:ind w:firstLine="708"/>
        <w:jc w:val="both"/>
      </w:pPr>
      <w:r w:rsidRPr="00544AB7">
        <w:t>Aşadar, condiţiile de cvorum pentru adoptarea valabilă a unei decizii de sancţionare, aşa cum sunt prevăzute de art. 19 alin. (1) din Legea concurenţei, presupun "prezenţa majorităţii membrilor în funcţie, dar nu mai puţin de 3 dintre aceştia", iar aceste condiţii în mod evident sunt întrunite în cauză, astfel încât Decizia Consiliului Concurenţei a fost adoptată cu respectarea normelor legale în vigoare (atat privind cvorumul cat si majoritatea necesara pentru adoptarea unei decizii) şi nu este afectată de o cauză de nulitate, aşa cum în mod eronat susţine reclamanta în cauză.</w:t>
      </w:r>
    </w:p>
    <w:p w:rsidRPr="00544AB7" w:rsidR="00D41C6E">
      <w:pPr>
        <w:ind w:firstLine="708"/>
        <w:jc w:val="both"/>
      </w:pPr>
      <w:r w:rsidRPr="00544AB7">
        <w:t>11 Deciziile emise de autoritatea de concurenţă în temeiul art. 25 alin. (1) lit. b) din Legea concurenţei sunt adoptate de către Plenul Consiliului Concurentei ca organ colegial si nu de către preşedintele Consiliului Concurentei, în cadrul procesului de deliberare fiecare dintre membrii Plenului beneficiind de un singur vot.</w:t>
      </w:r>
    </w:p>
    <w:p w:rsidRPr="00544AB7" w:rsidR="00D41C6E">
      <w:pPr>
        <w:ind w:firstLine="708"/>
        <w:jc w:val="both"/>
      </w:pPr>
      <w:r w:rsidRPr="00544AB7">
        <w:t xml:space="preserve">Având in vedere dispoziţiile Legii nr. 21/1996 (art. 19 alin. 1) care prevedeau faptul ca cvorumul este reprezentat de «majoritatea membrilor în funcţie, dar nu mai puţin de 3 dintre aceştia», rezulta ca, chiar in ipoteza antamata de reclamanta, Decizia nr. </w:t>
      </w:r>
      <w:r w:rsidRPr="00544AB7" w:rsidR="001477A4">
        <w:t>..../2020</w:t>
      </w:r>
      <w:r w:rsidRPr="00544AB7">
        <w:t xml:space="preserve"> a fost luata in unanimitate, aspect confirmat atât prin Decizie cat si prin minuta ce consemnează soluţia plenului Consiliului Concurentei in urma deliberării din data de 09.12.2020 (Anexa nr. 5 la prezenta) cu un cvorum de sase membri (sau cinci membri - in ipoteza ad absurdum in care s-ar retine neconformitati privind unul dintre membrii Plenului), cu respectarea pragului de minim trei membri prevăzut de lege.</w:t>
      </w:r>
    </w:p>
    <w:p w:rsidRPr="00544AB7" w:rsidR="00D41C6E">
      <w:pPr>
        <w:ind w:firstLine="708"/>
        <w:jc w:val="both"/>
      </w:pPr>
      <w:r w:rsidRPr="00544AB7">
        <w:t>Este de o deosebită importanţă faptul că Decizia Consiliului Concurenţei este adoptata de un organ colegial (nu de un organ unipersonal), fiecare dintre membrii forului decizional beneficiind, astfel cum am menţionat supra, de câte un vot.</w:t>
      </w:r>
    </w:p>
    <w:p w:rsidRPr="00544AB7" w:rsidR="00D41C6E">
      <w:pPr>
        <w:ind w:firstLine="708"/>
        <w:jc w:val="both"/>
      </w:pPr>
      <w:r w:rsidRPr="00544AB7">
        <w:t xml:space="preserve">Data fiind totalitatea argumentelor invocate in cadrul prezentei secţiuni, solicitam respingerea tuturor criticilor reclamantei referitoare la semnarea Deciziei CC. </w:t>
      </w:r>
    </w:p>
    <w:p w:rsidRPr="00544AB7" w:rsidR="00D41C6E">
      <w:pPr>
        <w:ind w:firstLine="708"/>
        <w:jc w:val="both"/>
      </w:pPr>
      <w:r w:rsidRPr="00544AB7">
        <w:t>In ceea ce priveşte pretinsa incidenţa a prescripţiei executării sancţiunii</w:t>
      </w:r>
    </w:p>
    <w:p w:rsidRPr="00544AB7" w:rsidR="00D41C6E">
      <w:pPr>
        <w:ind w:firstLine="708"/>
        <w:jc w:val="both"/>
      </w:pPr>
      <w:r w:rsidRPr="00544AB7">
        <w:t>Argumentele reclamantei cuprinse in cadrul secţiunii II din cadrul cererii completatoare si precizatoare a acţiunii introductive se impun a fi respinse pentru motivele pe care le va prezenta in  continuare.</w:t>
      </w:r>
    </w:p>
    <w:p w:rsidRPr="00544AB7" w:rsidR="00D41C6E">
      <w:pPr>
        <w:ind w:firstLine="708"/>
        <w:jc w:val="both"/>
      </w:pPr>
      <w:r w:rsidRPr="00544AB7">
        <w:t xml:space="preserve">Raţionamentul reclamantei este unul greşit inca de la debutul acestuia intrucat premisa de la care </w:t>
      </w:r>
      <w:r w:rsidRPr="00544AB7" w:rsidR="00FC492C">
        <w:t>...Y*...</w:t>
      </w:r>
      <w:r w:rsidRPr="00544AB7">
        <w:t xml:space="preserve"> porneşte in construcţia argumentaţiei sale este eronata.</w:t>
      </w:r>
    </w:p>
    <w:p w:rsidRPr="00544AB7" w:rsidR="00D41C6E">
      <w:pPr>
        <w:ind w:firstLine="708"/>
        <w:jc w:val="both"/>
      </w:pPr>
      <w:r w:rsidRPr="00544AB7">
        <w:t>Astfel, contrar celor susţinute de către reclamanta, prevederile Legii nr. 21/1996 nu se completează in totalitate cu dispoziţiile OG nr. 2/2001. Acest aspect a fost tranşat de către înalta Curte de Casaţie si Justiţie - Completul pentru dezlegarea unor chestiuni de drept, prin Decizia nr.72/09.11.2020 (Anexa nr. 6 la prezenta). în cadrul acestei decizii au fost statuate in mod expres următoarele:</w:t>
      </w:r>
    </w:p>
    <w:p w:rsidRPr="00544AB7" w:rsidR="00D41C6E">
      <w:pPr>
        <w:ind w:firstLine="708"/>
        <w:jc w:val="both"/>
      </w:pPr>
      <w:r w:rsidRPr="00544AB7">
        <w:t>-norma generală nu mai completează norma specială, căci specificul normativ diferit al legii speciale o exclude de la aplicare" ;</w:t>
      </w:r>
    </w:p>
    <w:p w:rsidRPr="00544AB7" w:rsidR="00D41C6E">
      <w:pPr>
        <w:ind w:firstLine="708"/>
        <w:jc w:val="both"/>
      </w:pPr>
      <w:r w:rsidRPr="00544AB7">
        <w:t>- „în condiţiile specificului normativ al Legii nr. 21/1996, norma generală (prevederile Ordonanţei Guvernului nr. 2/2001) se aplică numai contravenţiilor prevăzute de art. 53 lit. d) şi e) şi nici în cazul acestora în integralitate" ;</w:t>
      </w:r>
    </w:p>
    <w:p w:rsidRPr="00544AB7" w:rsidR="00D41C6E">
      <w:pPr>
        <w:ind w:firstLine="708"/>
        <w:jc w:val="both"/>
      </w:pPr>
      <w:r w:rsidRPr="00544AB7">
        <w:t>-„utilizând raţionamentul per a contrario, celorlalte contravenţii prevăzute de Legea nr. 21/1996 nu li se aplică prevederile Ordonanţei Guvernului nr. 2/2001"</w:t>
      </w:r>
    </w:p>
    <w:p w:rsidRPr="00544AB7" w:rsidR="00D41C6E">
      <w:pPr>
        <w:ind w:firstLine="708"/>
        <w:jc w:val="both"/>
      </w:pPr>
      <w:r w:rsidRPr="00544AB7">
        <w:t>- „dacă Ordonanţa Guvernului nr.2/2001 şi dispoziţiile art. 22 alin. (2) din Legea nr. 203/2018 reprezintă norma generală în materie contravenţională, Legea nr. 21/1996, reglementând materia concurenţei, a instituit un regim sancționator propriu în domeniu, cu un dublu rol, de amendare a conduitei ilicite şi de descurajare a săvârşirii unor fapte similare"</w:t>
      </w:r>
    </w:p>
    <w:p w:rsidRPr="00544AB7" w:rsidR="00D41C6E">
      <w:pPr>
        <w:ind w:firstLine="708"/>
        <w:jc w:val="both"/>
      </w:pPr>
      <w:r w:rsidRPr="00544AB7">
        <w:t>-„caracterul special al dispoziţiilor legale care reglementează încălcarea normelor de concurenţă rezultă şi din modalitatea de constatare şi de sancţionare a contravenţiilor" ;</w:t>
      </w:r>
    </w:p>
    <w:p w:rsidRPr="00544AB7" w:rsidR="00D41C6E">
      <w:pPr>
        <w:ind w:firstLine="708"/>
        <w:jc w:val="both"/>
      </w:pPr>
      <w:r w:rsidRPr="00544AB7">
        <w:t>-şi instanţa de contencios constituţional a reţinut în jurisprudenţa sa că regimul sancţionator contravenţional aplicabil în domeniul concurenţei are trăsături specifice, cum ar fi amenzile prevăzute în cuantumuri foarte ridicate, aplicabilitatea limitată a dreptului comun în materie contravenţională, spre deosebire de aplicabilitatea normelor europene şi a jurisprudenţei Curţii de Justiţie a Uniunii Europene şi o individualizare a sancţiunii distinctă de cea a altor contravenţii (a se vedea, spre exemplu, Decizia Curţii Constituţionale nr. 490 din 21 noiembrie 2013, publicată în Monitorul Oficjial al României, Partea 1, nr. 92 din 6 februarie 2014)"</w:t>
      </w:r>
    </w:p>
    <w:p w:rsidRPr="00544AB7" w:rsidR="00D41C6E">
      <w:pPr>
        <w:ind w:firstLine="708"/>
        <w:jc w:val="both"/>
      </w:pPr>
      <w:r w:rsidRPr="00544AB7">
        <w:t>-„spre deosebire de norma generală - Ordonanţa Guvernului nr. 2/2001 - care, în art. 15 alin. (1), consacră procesul-verbal ca instrument juridic prin care se aplică sancţiunea contravenţional^, Legea nr. 21/1996 prevede două tipuri de acte de sancţionare: decizii ale autorităţii de concurenţă (prin intermediul cărora se constată şi se sancţionează faptele cu un grad de pericol social ridicat), precum şi procesele-verbale de sancţionare (prin care se constată şi se sancţionează faptele cu un grad de pericol social redus)."</w:t>
      </w:r>
    </w:p>
    <w:p w:rsidRPr="00544AB7" w:rsidR="00D41C6E">
      <w:pPr>
        <w:ind w:firstLine="708"/>
        <w:jc w:val="both"/>
      </w:pPr>
      <w:r w:rsidRPr="00544AB7">
        <w:t>Potrivit prevederilor art. 521 alin. 3 C.proc.civ., dezlegarea dată problemelor de drept este obligatorie de la data publicării deciziei în Monitorul Oficial al României, Partea I. Decizia nr.72/2020 pronunţata de Completul privind dezlegarea unor chestiuni de drept a fost publicată în Monitorul Oficial nr. 75/25.01.2021, Partea I.</w:t>
      </w:r>
    </w:p>
    <w:p w:rsidRPr="00544AB7" w:rsidR="00D41C6E">
      <w:pPr>
        <w:ind w:firstLine="708"/>
        <w:jc w:val="both"/>
      </w:pPr>
      <w:r w:rsidRPr="00544AB7">
        <w:t>Prin raportare la aspectele obligatorii prezentate supra rezultă faptul că Legea concurenţei constituie cadrul legal aplicabil în materie de concurenţă, instituind un regim sancţionator propriu în domeniu, cu trăsături specifice (e.g. aplicabilitatea limitată a dreptului comun în materie contravenţională).</w:t>
      </w:r>
    </w:p>
    <w:p w:rsidRPr="00544AB7" w:rsidR="00D41C6E">
      <w:pPr>
        <w:ind w:firstLine="708"/>
        <w:jc w:val="both"/>
      </w:pPr>
      <w:r w:rsidRPr="00544AB7">
        <w:t>Sub aspectul specificităţii dreptului concurenţei, în cadrul Deciziei nr. 72/2020, Instanţa Supremă a calificat Legea Concurenţei drept lege specială, iar Ordonanţa Guvernului nr. 2/2001 drept lege generală în materie convenţională, analizând măsura în care norma specială se completează, cu norma generală, şi reliefând totodată principiul conform căruia o astfel de completare este posibilă, dar numai în măsura în care conţinutul normativ al reglementării generale nu este exclus de la aplicare de specificul diferit al legii speciale.</w:t>
      </w:r>
      <w:r w:rsidRPr="00544AB7">
        <w:tab/>
        <w:t xml:space="preserve"> </w:t>
      </w:r>
    </w:p>
    <w:p w:rsidRPr="00544AB7" w:rsidR="00D41C6E">
      <w:pPr>
        <w:ind w:firstLine="708"/>
        <w:jc w:val="both"/>
        <w:rPr>
          <w:rStyle w:val="Fontdeparagrafimplicit"/>
        </w:rPr>
      </w:pPr>
      <w:r w:rsidRPr="00544AB7">
        <w:t>Examinând legislaţia în materie de în condiţiile specificului normativ al concurenţă, Instanţa Suprema a concluzionat în sensul că legii concurentei, norma generală se aplică numai contravenţiilor prevăzute de art. 53 lit.d) şi e) (ce reglementează contravenţii de procedura)</w:t>
      </w:r>
      <w:r w:rsidRPr="00544AB7">
        <w:rPr>
          <w:rStyle w:val="Fontdeparagrafimplicit"/>
          <w:vertAlign w:val="superscript"/>
        </w:rPr>
        <w:t>18</w:t>
      </w:r>
      <w:r w:rsidRPr="00544AB7">
        <w:t xml:space="preserve"> şi nici în cazul acestora în integralitate</w:t>
      </w:r>
      <w:r w:rsidRPr="00544AB7">
        <w:rPr>
          <w:rStyle w:val="Fontdeparagrafimplicit"/>
          <w:vertAlign w:val="superscript"/>
        </w:rPr>
        <w:t>19</w:t>
      </w:r>
    </w:p>
    <w:p w:rsidRPr="00544AB7" w:rsidR="00D41C6E">
      <w:pPr>
        <w:ind w:firstLine="708"/>
        <w:jc w:val="both"/>
      </w:pPr>
      <w:r w:rsidRPr="00544AB7">
        <w:t xml:space="preserve"> Legea concurenţei reprezintă lex special deoarece specificul normativ diferit al legii "is şi norma generală nu completează norma specială, speciale o exclude de la aplicare.</w:t>
      </w:r>
    </w:p>
    <w:p w:rsidRPr="00544AB7" w:rsidR="00D41C6E">
      <w:pPr>
        <w:ind w:firstLine="708"/>
        <w:jc w:val="both"/>
      </w:pPr>
      <w:r w:rsidRPr="00544AB7">
        <w:t>Aşadar, prin Decizia ICCJ nr. 72/2020, a fost confirmat faptul că, dată fiind specificitatea dreptului concurenţei, legea generală în materie (OG nr. 2/2001) nu completează reglementarea cuprinsă în cadrul Legii nr. 21/1996. Legea concurenţei prevede expres condiţiile şi limitele în care sunt incidente dispoziţiile O.G. nr. 2/2001 exclusiv în ceea ce priveşte contravenţiile de procedură. Art. 61 din Legea nr. 21/1996 prevede expres incidenţa, în anumite condiţii şi limite, a O.G. nr. 2/2001 doar pentru contravenţiile de procedură conţinute de art. 53 lit. d) si e), nu şi pentru practici anticoncurenţiale.</w:t>
      </w:r>
    </w:p>
    <w:p w:rsidRPr="00544AB7" w:rsidR="00D41C6E">
      <w:pPr>
        <w:ind w:firstLine="708"/>
        <w:jc w:val="both"/>
      </w:pPr>
      <w:r w:rsidRPr="00544AB7">
        <w:t xml:space="preserve">Niciuna dintre prevederile O.G. nr. 2/2001 nu se aplică practicilor anticoncurenţiale contravenţiilor de fond precum cea pentru care a fost sancţionată reclamanta din prezentul dosar. Aşadar eroarea de interpretare a reclamantei rezultă inclusiv din faptul că dispoziţiile </w:t>
      </w:r>
      <w:r w:rsidRPr="00544AB7">
        <w:t>O.G. nr. 2/2001 nu sunt aplicabile în nicio circumstanţă contravenţiilor prevăzute de art. 55 din Legea concurenţei, deci nici faptei anticoncurenţiale constatate de Consiliul Concurentei în cauză.</w:t>
      </w:r>
    </w:p>
    <w:p w:rsidRPr="00544AB7" w:rsidR="00D41C6E">
      <w:pPr>
        <w:ind w:firstLine="708"/>
        <w:jc w:val="both"/>
      </w:pPr>
      <w:r w:rsidRPr="00544AB7">
        <w:t>Specificul încălcărilor în materie de concurenţă se reflectă inclusiv în actul final de constatare concurenţă, diferită de procesul-verbal de constatare a , cât şi a procedurii de emitere şi comunicare, motiv juridic a celor două tipuri de acte administrative este fundamental eronată.</w:t>
      </w:r>
    </w:p>
    <w:p w:rsidRPr="00544AB7" w:rsidR="00D41C6E">
      <w:pPr>
        <w:ind w:firstLine="708"/>
        <w:jc w:val="both"/>
      </w:pPr>
      <w:r w:rsidRPr="00544AB7">
        <w:t>Constatarea şi aplicarea amenzilor pentru practicile anticoncurenţiale prevăzute la capitolul VI din Legea concurenţei se realizează prin decizii ale Consiliului Concurentei, care nu se supun regulilor O.G. nr. 2/2001, şi nicidecum prin procese-verbale.</w:t>
      </w:r>
    </w:p>
    <w:p w:rsidRPr="00544AB7" w:rsidR="00D41C6E">
      <w:pPr>
        <w:ind w:firstLine="708"/>
        <w:jc w:val="both"/>
      </w:pPr>
      <w:r w:rsidRPr="00544AB7">
        <w:t>Rezultă că voinţa legiuitorului a fost aceea de a crea un cadru legislativ propriu al dreptului concurenţei, care diferă de cadrul instituit prin O.G. nr. 2/2001, deciziile autorităţii de concurenţă  neputând fi asimilate proceselor-verbale de  contravenţie.</w:t>
      </w:r>
    </w:p>
    <w:p w:rsidRPr="00544AB7" w:rsidR="00D41C6E">
      <w:pPr>
        <w:ind w:firstLine="708"/>
        <w:jc w:val="both"/>
      </w:pPr>
      <w:r w:rsidRPr="00544AB7">
        <w:t xml:space="preserve"> Diferenţa dintre decizii şi procese verbale ca acte de sancţionare şi imposibilitatea de asimilare  a acestora  a fost confirmată de Decizia  nr. 72/2020. Astfel, în cadrul pct. 75, Instanţa Supremă  a statuat că :</w:t>
      </w:r>
    </w:p>
    <w:p w:rsidRPr="00544AB7" w:rsidR="00D41C6E">
      <w:pPr>
        <w:ind w:firstLine="708"/>
        <w:jc w:val="both"/>
      </w:pPr>
      <w:r w:rsidRPr="00544AB7">
        <w:t>„spre e deosebire de norma generală – Ordonanţa Guvernului nr. 2/2001 - care, în art. 15 alin. (1), consacră procesul-verbal ca instrument juridic prin care se aplică sancţiunea contravenţională Legea nr. 21/1996 prevede două tipuri de acte de sancţionare: decizii ale autorităţii de concurenţă  (prin intermediul cărora se constată sancţionează faptele cu un grad de pericol social ridicat), precum şi procesele-verbale de sancţionare (prin care se constată şi se sancţionează faptele cu un  grad de pericol social redus).'"</w:t>
      </w:r>
    </w:p>
    <w:p w:rsidRPr="00544AB7" w:rsidR="00D41C6E">
      <w:pPr>
        <w:ind w:firstLine="708"/>
        <w:jc w:val="both"/>
      </w:pPr>
      <w:r w:rsidRPr="00544AB7">
        <w:t>În acest context, este eronată efectuarea unei paralele şi crearea unei identităţi de regim juridic între procesele-verbale reglementate de către OG nr. 2/2001 şi deciziile prevăzute de  Legea nr. 21/1996.</w:t>
      </w:r>
    </w:p>
    <w:p w:rsidRPr="00544AB7" w:rsidR="00D41C6E">
      <w:pPr>
        <w:ind w:firstLine="708"/>
        <w:jc w:val="both"/>
      </w:pPr>
      <w:r w:rsidRPr="00544AB7">
        <w:t xml:space="preserve">Acest aspect este de o deosebită importanţă în contextul în care art. 14 din OG nr. 2/2001 invocat de către </w:t>
      </w:r>
      <w:r w:rsidRPr="00544AB7" w:rsidR="00FC492C">
        <w:t>...Y*...</w:t>
      </w:r>
      <w:r w:rsidRPr="00544AB7">
        <w:t xml:space="preserve"> (pentru a susţine o eventuală incidenţă a prescripţiei executării silite) reglementează în mod expres situaţia proceselor-verbale de contravenţie, principalele motive în temeiul cărora susţinerile privind o eventuală incidenţă a prescripţiei ar trebui respinse fiind tocmai specificitatea dreptului concurentei şi crearea unui regim derogatoriu prin reglementarea deciziilor autorităţii de concurenţă ca acte de sancţionare.</w:t>
      </w:r>
    </w:p>
    <w:p w:rsidRPr="00544AB7" w:rsidR="00D41C6E">
      <w:pPr>
        <w:ind w:firstLine="708"/>
        <w:jc w:val="both"/>
      </w:pPr>
      <w:r w:rsidRPr="00544AB7">
        <w:t xml:space="preserve">Regimul derogatoriu al deciziilor Consiliului Concurenţei a fost confirmat de către Înalta Curte de Casaţie şi Justiţie şi în cadrul Deciziei nr. 6513/02.12.2020 (Anexa nr. 7 la prezenta intampinare)- în cadrul acesteia făcându-se referire chiar la artl 14 din OG nr. 2/2001 (acelaşi text de lege invocat şi de către </w:t>
      </w:r>
      <w:r w:rsidRPr="00544AB7" w:rsidR="00FC492C">
        <w:t>...Y*...</w:t>
      </w:r>
      <w:r w:rsidRPr="00544AB7">
        <w:t>) - în cadrul deciziei fiind statuat faptul că:</w:t>
      </w:r>
    </w:p>
    <w:p w:rsidRPr="00544AB7" w:rsidR="00D41C6E">
      <w:pPr>
        <w:ind w:firstLine="708"/>
        <w:jc w:val="both"/>
      </w:pPr>
      <w:r w:rsidRPr="00544AB7">
        <w:t xml:space="preserve">Prevederile art. 14 din OG nr. 2/2001, care vizează exclusiv procesele-verbale de constatare a contravenţiilor, nu completează prevederile art. 51, alin. 1 din Legea 21/1996, OG nr. 2/2001 nereprezentând dreptul comun pentru j sancţiunile aplicate în cazul constatării practicilor anticoncurenţiale, acestea beneficiind [ de propriul regim sancţionatoriu, distinct de cel reglementat de OG nr. 2/2001. Aceasta deoarece Decizia prin care Consiliul Concurenţei constată existenţa unui comportament anticoncurenţial şi aplică sancţiuni nu este asimilată procesului-verbal de constatare a contravenţiilor de drept comun." </w:t>
      </w:r>
    </w:p>
    <w:p w:rsidRPr="00544AB7" w:rsidR="00D41C6E">
      <w:pPr>
        <w:ind w:firstLine="708"/>
        <w:jc w:val="both"/>
      </w:pPr>
      <w:r w:rsidRPr="00544AB7">
        <w:t>Faptele anticoncurenţiale reprezintă contravenţii cu totul aparte, pentru care legiuitorul a stabilit un cadru juridic propriu, tocmai în scopul de a le diferenţia de simplele contravenţii din O.G. nr. 2/2001.</w:t>
      </w:r>
    </w:p>
    <w:p w:rsidRPr="00544AB7" w:rsidR="00D41C6E">
      <w:pPr>
        <w:ind w:firstLine="708"/>
        <w:jc w:val="both"/>
      </w:pPr>
      <w:r w:rsidRPr="00544AB7">
        <w:t>Subliniază faptul că art. 51 alin.l din Legea concurenţei stabileşte un regim juridic propriu, expres prevăzut, pentru comunicarea deciziilor autorităţii de concurenţă. Potrivit art. 51 alin. (1), deciziile adoptate de Consiliul Concurenţei în aplicarea prevederilor art. 8, 13, 25 alin. (5) lit. c), art.46 si 47 vor fi motivate şi comunicate părţilor în termen de maximum 120 de zile de la deliberare.</w:t>
      </w:r>
    </w:p>
    <w:p w:rsidRPr="00544AB7" w:rsidR="00D41C6E">
      <w:pPr>
        <w:ind w:firstLine="708"/>
        <w:jc w:val="both"/>
      </w:pPr>
      <w:r w:rsidRPr="00544AB7">
        <w:t xml:space="preserve">Decizia nr. </w:t>
      </w:r>
      <w:r w:rsidRPr="00544AB7" w:rsidR="001477A4">
        <w:t>..../2020</w:t>
      </w:r>
      <w:r w:rsidRPr="00544AB7">
        <w:t xml:space="preserve"> a fost comunicată reclamantei în termenul legal de 120 de zile prevăzut de Legea concurenţei.</w:t>
      </w:r>
    </w:p>
    <w:p w:rsidRPr="00544AB7" w:rsidR="00D41C6E">
      <w:pPr>
        <w:ind w:firstLine="708"/>
        <w:jc w:val="both"/>
      </w:pPr>
      <w:r w:rsidRPr="00544AB7">
        <w:t>În speţă, deliberarea Plenului Consiliului Concurenţei a avut loc la data de 09.12.2020. Astfel, conform prevederilor legale incidente , termenul de comunicare de 120 de zile a început să curgă din ziua de 10.12.2020 şi s-a împlinit la data de 09.04.2021.</w:t>
      </w:r>
    </w:p>
    <w:p w:rsidRPr="00544AB7" w:rsidR="00D41C6E">
      <w:pPr>
        <w:ind w:firstLine="708"/>
        <w:jc w:val="both"/>
      </w:pPr>
      <w:r w:rsidRPr="00544AB7">
        <w:t xml:space="preserve">La data de 08.04.2019 a fost emisă Adresa RG nr. </w:t>
      </w:r>
      <w:r w:rsidRPr="00544AB7" w:rsidR="00B1142C">
        <w:t>....</w:t>
      </w:r>
      <w:r w:rsidRPr="00544AB7">
        <w:t xml:space="preserve">/08.04.2021 (Anexa nr. 8 la prezenta întâmpinare) având ca obiect comunicarea] Deciziei Consiliului Concurentei nr. ..../09.12.2020 către </w:t>
      </w:r>
      <w:r w:rsidRPr="00544AB7" w:rsidR="00FC492C">
        <w:t>...Y...</w:t>
      </w:r>
      <w:r w:rsidRPr="00544AB7">
        <w:t xml:space="preserve"> IFN SA. La data de 08.04.2021, reprezentantul desemnat al reclamantei a primit un exemplar certificat pentru conformitate cu originalul al deciziei nr. </w:t>
      </w:r>
      <w:r w:rsidRPr="00544AB7" w:rsidR="001477A4">
        <w:t>..../2020</w:t>
      </w:r>
      <w:r w:rsidRPr="00544AB7">
        <w:t>, comunicarea Deciziei CC realizandu-se in mod corespunzător.</w:t>
      </w:r>
    </w:p>
    <w:p w:rsidRPr="00544AB7" w:rsidR="00D41C6E">
      <w:pPr>
        <w:ind w:firstLine="708"/>
        <w:jc w:val="both"/>
      </w:pPr>
      <w:r w:rsidRPr="00544AB7">
        <w:t>In ceea ce priveşte pretinsa lipsa a comunicării - raportat la aspectele privind semnarea deciziei CC si inaplicabilitatea Deciziei ICCJ nr. 6/2015, menționează ca aceste chestiuni au fost detaliate pe larg in cadrul secţiunii I din prezenta întâmpinare (context in care nu se impune reiterarea acestora), autoritatea de concurenta argumentând netemeinicia susţinerilor reclamantei sub aceste aspecte.</w:t>
      </w:r>
    </w:p>
    <w:p w:rsidRPr="00544AB7" w:rsidR="00D41C6E">
      <w:pPr>
        <w:ind w:firstLine="708"/>
        <w:jc w:val="both"/>
      </w:pPr>
      <w:r w:rsidRPr="00544AB7">
        <w:t xml:space="preserve">Independent de argumentele prezentate supra, apărările formulate de către reclamanta privind incidenţa prescripţiei executării silite nu pot constitui motive de nelegalitate a actului administrativ. Or, obiectul prezentului dosar este reprezentat de «anularea actului administrativ - Decizia CC nr. </w:t>
      </w:r>
      <w:r w:rsidRPr="00544AB7" w:rsidR="001477A4">
        <w:t>..../2020</w:t>
      </w:r>
      <w:r w:rsidRPr="00544AB7">
        <w:t>», instanţa nefiind investita a se pronunţa cu privire la aspecte privind «executarea silita a creanţei» reprezentata de amenda aplicata de autoritatea de concurenta.</w:t>
      </w:r>
      <w:r w:rsidRPr="00544AB7">
        <w:tab/>
        <w:t xml:space="preserve">|Eventualele critici pe care </w:t>
      </w:r>
      <w:r w:rsidRPr="00544AB7" w:rsidR="00FC492C">
        <w:t>...Y*...</w:t>
      </w:r>
      <w:r w:rsidRPr="00544AB7">
        <w:t xml:space="preserve"> urmăreşte a le formula cu privire la executarea silita a creanţei sunt incompatibile cu cadrul prezentului dosar, acestea trebuind sa fie formulate in fata instanţei de executare. Potrivit prevederilor legale incidente, instanţa de executare este competenta a se pronunţa cu privire la aspectele privind executarea creanţei, solicitarea formulata in cadrul prezentului dosar «de constatare a intervenţiei prescripţiei executării sancţiunii» fiind necesar a fi respinsa, judecătorul ce analizează aspectele privind legalitatea actului administrativ (fondul cauzei) neputand sa se pronunţe cu privire la chestiuni privind executarea silita a creanţei.</w:t>
      </w:r>
    </w:p>
    <w:p w:rsidRPr="00544AB7" w:rsidR="00D41C6E">
      <w:pPr>
        <w:ind w:firstLine="708"/>
        <w:jc w:val="both"/>
      </w:pPr>
      <w:r w:rsidRPr="00544AB7">
        <w:t>În ceea ce priveşte decizia CCR nr. 58/2021</w:t>
      </w:r>
    </w:p>
    <w:p w:rsidRPr="00544AB7" w:rsidR="00D41C6E">
      <w:pPr>
        <w:ind w:firstLine="708"/>
        <w:jc w:val="both"/>
      </w:pPr>
      <w:r w:rsidRPr="00544AB7">
        <w:t>În cuprinsul apărărilor depuse la dosarul cauzei,  autoritatea de concurenta a prezentat argumentele privind inaplicabilitatea Deciziei Curţii Constituţionale a României nr. 58/2021, motiv pentru care nu se impune reluarea acestora.</w:t>
      </w:r>
    </w:p>
    <w:p w:rsidRPr="00544AB7" w:rsidR="00D41C6E">
      <w:pPr>
        <w:ind w:firstLine="708"/>
        <w:jc w:val="both"/>
      </w:pPr>
      <w:r w:rsidRPr="00544AB7">
        <w:t>Legislaţia in vigoare (art. 147 alin. (4)24 din Constituţia României si art. 11 alin. (3)25 din Legea nr. 47/1992) prevede faptul ca deciziile instanţei de contencios contitutional au putere numai pentru viitor, prezurnţia de validitate şi de constituţionalitate care însoţeşte o normă legală incetand de la data publicării deciziei instanţei de contencios constituţional care statuează în sens contrar şi că respectiva normă nu mai poate face parte din ordinea juridică. Legea fundamentală prevede că, sub aspect temporal, efectele deciziilor CCR se produc ex nune, numai pentru viitor pentru a nu se aduce atingere unui alt principiu constituţional, acela al neretroactivităţii (legiuitorul a optat pentru încetarea efectelor acesteia doar pentru viitor, tocmai pentru a nu bulversa ordinea juridică şi a nu sancţiona pe cei care s-au încrezut în cadrul normativ existent).</w:t>
      </w:r>
    </w:p>
    <w:p w:rsidRPr="00544AB7" w:rsidR="00D41C6E">
      <w:pPr>
        <w:ind w:firstLine="708"/>
        <w:jc w:val="both"/>
      </w:pPr>
      <w:r w:rsidRPr="00544AB7">
        <w:t>Declararea unei norme ca neconstituţională este asemănătoare abrogării respectivei norme, care lasă situaţiile trecute, încheiate în perioada ei de activitate, neatinse, consecinţele înlăturării normei (prin declararea acesteia ca neconstituţională) fiind rezervate domeniului viitorului.</w:t>
      </w:r>
    </w:p>
    <w:p w:rsidRPr="00544AB7" w:rsidR="00D41C6E">
      <w:pPr>
        <w:ind w:firstLine="708"/>
        <w:jc w:val="both"/>
      </w:pPr>
      <w:r w:rsidRPr="00544AB7">
        <w:t xml:space="preserve">La data hotărârii ce a stat la baza emiterii Ordinului de declanşare a investigaţiei precum si la data deliberărilor, prevederile art. 18 alin. (3) din Legea concurenţei erau în vigoare, iar, dat fiind faptul că acestea aveau un caracter imperativ, erau obligatorii erga omnes, autoritatea de concurenţă în mod corect a procedat în sensul respectării prevederilor </w:t>
      </w:r>
      <w:r w:rsidRPr="00544AB7">
        <w:t>respective, în contextul în care ar fi absurd să se pretindă că o autoritate publică ar fi trebuit să refuze aplicarea unei norme legale, pe motivul că respectiva normă ar putea fi declarată neconstituţională cândva, în viitor.</w:t>
      </w:r>
    </w:p>
    <w:p w:rsidRPr="00544AB7" w:rsidR="00D41C6E">
      <w:pPr>
        <w:ind w:firstLine="708"/>
        <w:jc w:val="both"/>
      </w:pPr>
      <w:r w:rsidRPr="00544AB7">
        <w:t>Astfel, pronunţarea Deciziei nr. 58/2021 şi publicarea acesteia la data de 04 mai 2021 nu sunt de natură a influenţa situaţia incidenţă la data de 20.11.2017 (data emiterii ordinului de declanşare a investigaţiei), respectiv 09.12.2020 (data deliberărilor) prin prisma efectelor pentru viitor ale acestei decizii. Această concluzie este susţinută de aspectul că toate demersurile realizate cât timp norma era prezumată validă, constituţională, cu respectarea prescripţiilor acesteia, erau considerate ca integrându-se ordinii juridice. Momentele in raport cu care s-au stabilit coordonatele mandatului si posibilitatea de exercitare a atribuţiilor ce deriva din acesta (20.11.2017 respectiv 09.12.2020) erau depăşite la data publicării Deciziei CCR, astfel incat aplicarea efectelor acestei decizii pentru o atare situaţie ar insemna o intoarcere in timp cu consecinţa directa a incalcarii principiului neretroactivitatii. Interpretarea situaţiei din speţa, prin raportare la Decizia CCR, în sensul ca era eliminata posibilitatea de prelungire a mandatului (in temeiul art. 18 alin. 3 din Legea nr. 21/1996) in condiţiile in care legea in forma in vigoare la momentul definitivării raportului juridic de drept administrativ nu era de natura a exclude o astfel de posibilitate (din contra), este de natura a aduce atingere principiului previzibilitatii si stabilităţii juridice.</w:t>
      </w:r>
    </w:p>
    <w:p w:rsidRPr="00544AB7" w:rsidR="00D41C6E">
      <w:pPr>
        <w:ind w:firstLine="708"/>
        <w:jc w:val="both"/>
      </w:pPr>
      <w:r w:rsidRPr="00544AB7">
        <w:t>În acest context indica faptul ca normele aflate in discuţie in prezenta speţă - prevederile art. 18 alin. 3 din Legea nr. 21/1996 - sunt norme de drept material/norme substanţiale (nu norme de drept procesual) în sensul că ele reglementează nemijlocit raportul juridic, în substanţa sa şi în "starea sa de pace" (în vreme ce normele de drept procesual - care reglementează modul de desfăşurare a procesului - intervin, de regulă, doar atunci când raportul juridic a ajuns într-o fază litigioasă). In prezenta speţa, este in discuţie aplicabilitatea art. 18 alin. 3 din Legea nr. 21/1996 raportului juridic de drept administrativ analizat. Ca orice raport juridic si raportul de drept administrativ este în esenţa o relaţie sociala reglementata normativ, care se naşte, se modifica si se stinge. în ceea ce priveşte regimul juridic aplicabil raporturilor juridice de drept administrativ, normele juridice care reglementează raporturile de drept public, inclusiv cele de drept administrativ au în structura lor dispoziţii imperative, impunând autorităţii publice o anumita conduita obligatorie - in speţa, in contextul in care la momentul emiterii Deciziei CC prevederile art. 18 alin. 3 din Legea nr. 21/1996 se aflau in vigoare, autoritatea de concurenta era obligata sa le respecte si sa le aplice in mod corespunzător.</w:t>
      </w:r>
    </w:p>
    <w:p w:rsidRPr="00544AB7" w:rsidR="00D41C6E">
      <w:pPr>
        <w:ind w:firstLine="708"/>
        <w:jc w:val="both"/>
      </w:pPr>
      <w:r w:rsidRPr="00544AB7">
        <w:t>In prezenta cauza, autoritatea de concurenta, in limitele stabilite de legislaţia incidenţa, a făcut aplicarea unor dispoziţii legale aflate in vigoare, privitoare la prelungirea mandatului, aflate in fondul activ al legislaţiei naţionale.</w:t>
      </w:r>
    </w:p>
    <w:p w:rsidRPr="00544AB7" w:rsidR="00D41C6E">
      <w:pPr>
        <w:ind w:firstLine="708"/>
        <w:jc w:val="both"/>
      </w:pPr>
      <w:r w:rsidRPr="00544AB7">
        <w:t>Or, una dintre condiţiile realizării obiectivelor fundamentale ale statului roman o constituie buna funcţionare a autorităţilor publice, cu respectarea principiilor separaţiei si echilibrului puterilor, fara blocaje instituţionale .</w:t>
      </w:r>
    </w:p>
    <w:p w:rsidRPr="00544AB7" w:rsidR="00D41C6E">
      <w:pPr>
        <w:ind w:firstLine="708"/>
        <w:jc w:val="both"/>
        <w:rPr>
          <w:rStyle w:val="Fontdeparagrafimplicit"/>
          <w:b/>
        </w:rPr>
      </w:pPr>
      <w:r w:rsidRPr="00544AB7">
        <w:rPr>
          <w:rStyle w:val="Fontdeparagrafimplicit"/>
          <w:b/>
        </w:rPr>
        <w:t>II.Soluţia şi considerentele curţii de apel</w:t>
      </w:r>
    </w:p>
    <w:p w:rsidRPr="00544AB7" w:rsidR="00D41C6E">
      <w:pPr>
        <w:ind w:firstLine="708"/>
        <w:jc w:val="both"/>
        <w:rPr>
          <w:rStyle w:val="Fontdeparagrafimplicit"/>
          <w:b/>
        </w:rPr>
      </w:pPr>
      <w:r w:rsidRPr="00544AB7">
        <w:rPr>
          <w:rStyle w:val="Fontdeparagrafimplicit"/>
          <w:b/>
        </w:rPr>
        <w:t>Analizând criticile formulate prin cererea de chemare în judecată şi cererea completatoare şi apărările din cuprinsul întâmpinărilor, respectiv răspunsul la întâmpinare, prin raportare la probele administrate în cauză şi la normele legale incidente, curtea urmează a admite acţiunea în parte, în limitele şi pentru considerentele ce vor fi expuse în continuare.</w:t>
      </w:r>
    </w:p>
    <w:p w:rsidRPr="00544AB7" w:rsidR="00D41C6E">
      <w:pPr>
        <w:ind w:firstLine="708"/>
        <w:jc w:val="both"/>
        <w:rPr>
          <w:rStyle w:val="Fontdeparagrafimplicit"/>
          <w:i/>
        </w:rPr>
      </w:pPr>
      <w:r w:rsidRPr="00544AB7">
        <w:rPr>
          <w:rStyle w:val="Fontdeparagrafimplicit"/>
          <w:i/>
        </w:rPr>
        <w:t>II.1.Împrejurări de fapt şi de drept relevante</w:t>
      </w:r>
    </w:p>
    <w:p w:rsidRPr="00544AB7" w:rsidR="00D41C6E">
      <w:pPr>
        <w:ind w:firstLine="708"/>
        <w:jc w:val="both"/>
      </w:pPr>
      <w:r w:rsidRPr="00544AB7">
        <w:t xml:space="preserve">Prin Ordinul nr. ...... din 20.11.2017,  Președintele Consiliului Concurenței a dispus declanșarea unei investigații având ca obiect posibila încălcare a prevederilor art. 5 alin. (1) din Legea concurenței nr. 21/1996 și ale art. 101 alin. (1) din Tratatul privind funcționarea Uniunii Europene, de către </w:t>
      </w:r>
      <w:r w:rsidRPr="00544AB7" w:rsidR="0075748D">
        <w:t>Asociația ...W...</w:t>
      </w:r>
      <w:r w:rsidRPr="00544AB7">
        <w:t xml:space="preserve"> (denumită în continuare „</w:t>
      </w:r>
      <w:r w:rsidRPr="00544AB7" w:rsidR="0075748D">
        <w:t>...W*...</w:t>
      </w:r>
      <w:r w:rsidRPr="00544AB7">
        <w:t xml:space="preserve">"), </w:t>
      </w:r>
      <w:r w:rsidRPr="00544AB7" w:rsidR="00F3046A">
        <w:t xml:space="preserve">Federația </w:t>
      </w:r>
      <w:r w:rsidRPr="00544AB7" w:rsidR="00F3046A">
        <w:t>Patronatelor ...F.1...</w:t>
      </w:r>
      <w:r w:rsidRPr="00544AB7">
        <w:t xml:space="preserve">, </w:t>
      </w:r>
      <w:r w:rsidRPr="00544AB7" w:rsidR="00F3046A">
        <w:t>Patronatul ...F.2...</w:t>
      </w:r>
      <w:r w:rsidRPr="00544AB7">
        <w:t xml:space="preserve">, </w:t>
      </w:r>
      <w:r w:rsidRPr="00544AB7" w:rsidR="00F3046A">
        <w:t>Patronatul ...F.3...</w:t>
      </w:r>
      <w:r w:rsidRPr="00544AB7">
        <w:t xml:space="preserve">, de către membrii acestora, precum și de către </w:t>
      </w:r>
      <w:r w:rsidRPr="00544AB7" w:rsidR="0018311F">
        <w:t>...X...</w:t>
      </w:r>
      <w:r w:rsidRPr="00544AB7">
        <w:t xml:space="preserve"> SRL, pe piața serviciilor de leasing financiar și pe piața creditelor de consum. Investigația a vizat posibile schimburi de informații sensibile din punct de vedere comercial între companii concurente pe piața leasingului financiar și a creditului de consum.</w:t>
      </w:r>
    </w:p>
    <w:p w:rsidRPr="00544AB7" w:rsidR="00D41C6E">
      <w:pPr>
        <w:ind w:firstLine="708"/>
        <w:jc w:val="both"/>
      </w:pPr>
      <w:r w:rsidRPr="00544AB7">
        <w:t xml:space="preserve">Investigația a fost declanșată în baza solicitării SC </w:t>
      </w:r>
      <w:r w:rsidRPr="00544AB7" w:rsidR="0018311F">
        <w:t>...X...</w:t>
      </w:r>
      <w:r w:rsidRPr="00544AB7">
        <w:t xml:space="preserve"> SRL din data de 04.08.2017 de a beneficia de procedura de clemență, în temeiul prevederilor art. 25 alin. (1) lit. a) și ale art. 33 alin. (1) lit. a) din Legea concurenței. </w:t>
      </w:r>
    </w:p>
    <w:p w:rsidRPr="00544AB7" w:rsidR="00D41C6E">
      <w:pPr>
        <w:ind w:firstLine="708"/>
        <w:jc w:val="both"/>
      </w:pPr>
      <w:r w:rsidRPr="00544AB7">
        <w:t xml:space="preserve">În data de 16.10.2019 Consiliul Concurenței a comunicat reclamantei primul raport al investigației. Acesta sancționa o presupusă practică anticoncurențială, respectiv “realizarea unei înțelegeri și/sau practici concertate săvârșite prin participarea la un schimb de informații sensibile din punct de vedere comercial. Schimbul de informații sensibile a avut ca obiect atât date viitoare despre activitatea firmelor (estimări transmise </w:t>
      </w:r>
      <w:r w:rsidRPr="00544AB7" w:rsidR="0018311F">
        <w:t>...X...</w:t>
      </w:r>
      <w:r w:rsidRPr="00544AB7">
        <w:t xml:space="preserve"> SRL în cadrul procedurii agreate de schimb de informații, respectiv informații cuprinse în planurile de afaceri / rapoartele ale administratorilor comunicate </w:t>
      </w:r>
      <w:r w:rsidRPr="00544AB7" w:rsidR="0075748D">
        <w:t>...W*...</w:t>
      </w:r>
      <w:r w:rsidRPr="00544AB7">
        <w:t xml:space="preserve">), cât și date trecute/recente, al căror efect a fost acela de a crea un grad de transparență ridicat între membrii asociației, care să îi protejeze de concurența externă, prin accentuarea barierelor de intrare pe piață.”. </w:t>
      </w:r>
    </w:p>
    <w:p w:rsidRPr="00544AB7" w:rsidR="00D41C6E">
      <w:pPr>
        <w:ind w:firstLine="708"/>
        <w:jc w:val="both"/>
      </w:pPr>
      <w:r w:rsidRPr="00544AB7">
        <w:t>De asemenea, Primul raport reținea detaliat, încă din debutul acestuia, că fapta presupus anticoncurențială ar fi reprezentat o încălcare atât prin obiect, cât și prin efect, fiecare din aceste pretinse încălcări fiind detaliate cu exemple concrete (pag. 3-7 din primul Raport).</w:t>
      </w:r>
    </w:p>
    <w:p w:rsidRPr="00544AB7" w:rsidR="00D41C6E">
      <w:pPr>
        <w:ind w:firstLine="708"/>
        <w:jc w:val="both"/>
      </w:pPr>
      <w:r w:rsidRPr="00544AB7">
        <w:t xml:space="preserve">În ceea ce privește durata, Consiliul Concurenței a reținut pentru fiecare întreprindere participantă la practica anticoncurențială, cuprinsă în intervalul 1 an și 2 luni - 8 ani și 6 luni, aferent perioadei ianuarie 2008 - iunie 2016, perioadă în decursul căreia a considerat că ar exista probe că s-ar fi derulat schimbul de informații. Pentru majoritatea societăților, printre care și </w:t>
      </w:r>
      <w:r w:rsidRPr="00544AB7" w:rsidR="00FC492C">
        <w:t>...Y*...</w:t>
      </w:r>
      <w:r w:rsidRPr="00544AB7">
        <w:t>, prin acest prim Raport s-a reținut o încălcare pentru o durată de peste 8 ani.</w:t>
      </w:r>
    </w:p>
    <w:p w:rsidRPr="00544AB7" w:rsidR="00D41C6E">
      <w:pPr>
        <w:ind w:firstLine="708"/>
        <w:jc w:val="both"/>
      </w:pPr>
      <w:r w:rsidRPr="00544AB7">
        <w:t xml:space="preserve"> În plus, primul raport reținea participarea la pretînsă practică anticoncurențială, a 35 de instituții – 25 IFN-uri și 10 societăți comerciale SRL și SA (printre care și </w:t>
      </w:r>
      <w:r w:rsidRPr="00544AB7" w:rsidR="0075748D">
        <w:t>...W*...</w:t>
      </w:r>
      <w:r w:rsidRPr="00544AB7">
        <w:t xml:space="preserve"> și </w:t>
      </w:r>
      <w:r w:rsidRPr="00544AB7" w:rsidR="0018311F">
        <w:t>...X...</w:t>
      </w:r>
      <w:r w:rsidRPr="00544AB7">
        <w:t>).</w:t>
      </w:r>
    </w:p>
    <w:p w:rsidRPr="00544AB7" w:rsidR="00D41C6E">
      <w:pPr>
        <w:ind w:firstLine="708"/>
        <w:jc w:val="both"/>
      </w:pPr>
      <w:r w:rsidRPr="00544AB7">
        <w:t xml:space="preserve">În data de 14 ianuarie 2020, au avut loc audierile în Plenul Consiliului Concurenței, cu privire la primul raport de investigație. </w:t>
      </w:r>
    </w:p>
    <w:p w:rsidRPr="00544AB7" w:rsidR="00D41C6E">
      <w:pPr>
        <w:ind w:firstLine="708"/>
        <w:jc w:val="both"/>
      </w:pPr>
      <w:r w:rsidRPr="00544AB7">
        <w:t>Urmare a ședinței de deliberare din data de 25.02.2020, Plenul Consiliului Concurenței a decis transmiterea primului Raport către raportor și echipa de caz în vederea completării analizei din raportul Investigației, solicitând acestora:</w:t>
      </w:r>
    </w:p>
    <w:p w:rsidRPr="00544AB7" w:rsidR="00D41C6E">
      <w:pPr>
        <w:ind w:firstLine="708"/>
        <w:jc w:val="both"/>
      </w:pPr>
      <w:r w:rsidRPr="00544AB7">
        <w:t>-</w:t>
      </w:r>
      <w:r w:rsidRPr="00544AB7">
        <w:tab/>
        <w:t>în cazul unei posibile încălcări prin obiect, „să clarifice și să completeze analiza referitoare la caracterul sensibil din punct de vedere concurențial al schimbului de informații viitoare din perspectiva unei posibile fapte cu obiect anticoncurențial, precum și îndeplinirea standardului de probă privind existența acordului de voință al părților implicate în posibila practică anticoncurențială”</w:t>
      </w:r>
    </w:p>
    <w:p w:rsidRPr="00544AB7" w:rsidR="00D41C6E">
      <w:pPr>
        <w:ind w:firstLine="708"/>
        <w:jc w:val="both"/>
      </w:pPr>
      <w:r w:rsidRPr="00544AB7">
        <w:t>-</w:t>
      </w:r>
      <w:r w:rsidRPr="00544AB7">
        <w:tab/>
        <w:t>în cazul unei posibile încălcări prin efect, să clarifice și să completeze „analiza referitoare la afectarea concurenței ca urmare a schimbului de informații recente și trecute de către părțile implicate în realizarea posibilei practici anticoncurențiale, în acord cu jurisprudența europeană”.</w:t>
      </w:r>
    </w:p>
    <w:p w:rsidRPr="00544AB7" w:rsidR="00D41C6E">
      <w:pPr>
        <w:ind w:firstLine="708"/>
        <w:jc w:val="both"/>
      </w:pPr>
      <w:r w:rsidRPr="00544AB7">
        <w:t>Prin adresa Consiliului Concurenței din 16 octombrie 2020, părțile implicate au fost convocate la ședința de audieri în fața Plenului Consiliului Concurenței, ce a avut loc în data de 3 decembrie 2020. Prin aceeași comunicare, părților implicate li s-a transmis câte o copie a noului raport de investigație (“al doilea Raport”), și le-a fost solicitată comunicarea, în scris, a observațiilor cu privire la conținutul acestuia.</w:t>
      </w:r>
    </w:p>
    <w:p w:rsidRPr="00544AB7" w:rsidR="00D41C6E">
      <w:pPr>
        <w:ind w:firstLine="708"/>
        <w:jc w:val="both"/>
      </w:pPr>
      <w:r w:rsidRPr="00544AB7">
        <w:t xml:space="preserve">Practica anticoncurențială reținută prin cel de al doilea raport este “realizarea unei înțelegeri și/sau practici concertate săvârșite de către firme membre ale </w:t>
      </w:r>
      <w:r w:rsidRPr="00544AB7" w:rsidR="001516A7">
        <w:t>Asociației ...W...</w:t>
      </w:r>
      <w:r w:rsidRPr="00544AB7">
        <w:t xml:space="preserve"> (</w:t>
      </w:r>
      <w:r w:rsidRPr="00544AB7" w:rsidR="0075748D">
        <w:t>...W*...</w:t>
      </w:r>
      <w:r w:rsidRPr="00544AB7">
        <w:t xml:space="preserve">) prin participarea la un schimb de informații sensibile din punct de vedere comercial </w:t>
      </w:r>
      <w:r w:rsidRPr="00544AB7">
        <w:t>cu privire la cantități viitoare, care a avut potențialul de a conduce la reducerea incertitudinii strategice de pe piață.”.</w:t>
      </w:r>
    </w:p>
    <w:p w:rsidRPr="00544AB7" w:rsidR="00D41C6E">
      <w:pPr>
        <w:ind w:firstLine="708"/>
        <w:jc w:val="both"/>
      </w:pPr>
      <w:r w:rsidRPr="00544AB7">
        <w:t xml:space="preserve">Similar cu primul Raport, și cel de al doilea Raport a reținut piața relevantă a produsului ca fiind piața serviciilor de leasing financiar. </w:t>
      </w:r>
    </w:p>
    <w:p w:rsidRPr="00544AB7" w:rsidR="00D41C6E">
      <w:pPr>
        <w:ind w:firstLine="708"/>
        <w:jc w:val="both"/>
      </w:pPr>
      <w:r w:rsidRPr="00544AB7">
        <w:t xml:space="preserve"> În schimb, prin cel de al doilea Raport, nu se mai face distincția și evidențierea încălcării prin obiect/efect și nici nu se mai susține caracterul anticoncurențial al tuturor informațiilor schimbate între membrii </w:t>
      </w:r>
      <w:r w:rsidRPr="00544AB7" w:rsidR="0075748D">
        <w:t>...W*...</w:t>
      </w:r>
      <w:r w:rsidRPr="00544AB7">
        <w:t xml:space="preserve">, ci se reține că fapta considerată anticoncurențială se limitează exclusiv la pretinsul schimb de informații sensibile ce a avut ca obiect estimări viitoare cu privire la valoarea finanțată aferentă anului 2014, acestea fiind informații cuprinse în doar două raportări, și anume Q4 2013 (trimestrul 4 al anului 2013) și Q1 2014 (trimestrul 1 al anului 2014). </w:t>
      </w:r>
    </w:p>
    <w:p w:rsidRPr="00544AB7" w:rsidR="00D41C6E">
      <w:pPr>
        <w:ind w:firstLine="708"/>
        <w:jc w:val="both"/>
      </w:pPr>
      <w:r w:rsidRPr="00544AB7">
        <w:t xml:space="preserve">De asemenea, cel de al doilea Raport relevă o durată a presupusei fapte anticoncurențiale mai mică de un an pentru fiecare întreprindere participantă la pretînsă practică anticoncurențială. </w:t>
      </w:r>
    </w:p>
    <w:p w:rsidRPr="00544AB7" w:rsidR="00D41C6E">
      <w:pPr>
        <w:ind w:firstLine="708"/>
        <w:jc w:val="both"/>
      </w:pPr>
      <w:r w:rsidRPr="00544AB7">
        <w:t xml:space="preserve">În plus, spre deosebire de primul Raport, cel de al doilea Raport reține participarea la pretînsă practică anticoncurențială a 18 entități (16 instituții de leasing, </w:t>
      </w:r>
      <w:r w:rsidRPr="00544AB7" w:rsidR="0018311F">
        <w:t>...X...</w:t>
      </w:r>
      <w:r w:rsidRPr="00544AB7">
        <w:t xml:space="preserve"> și </w:t>
      </w:r>
      <w:r w:rsidRPr="00544AB7" w:rsidR="0075748D">
        <w:t>...W*...</w:t>
      </w:r>
      <w:r w:rsidRPr="00544AB7">
        <w:t xml:space="preserve">). </w:t>
      </w:r>
    </w:p>
    <w:p w:rsidRPr="00544AB7" w:rsidR="00D41C6E">
      <w:pPr>
        <w:ind w:firstLine="708"/>
        <w:jc w:val="both"/>
      </w:pPr>
      <w:r w:rsidRPr="00544AB7">
        <w:t xml:space="preserve">La acest Raport, reclamanta a depus obiecțiuni, în data de 17.11.2020, iar, în data de 3.12.2020, reprezentanții desemnați ai reclamantei au susținut poziția </w:t>
      </w:r>
      <w:r w:rsidRPr="00544AB7" w:rsidR="00FC492C">
        <w:t>...Y*...</w:t>
      </w:r>
      <w:r w:rsidRPr="00544AB7">
        <w:t xml:space="preserve"> în cadrul ședinței de audieri. </w:t>
      </w:r>
    </w:p>
    <w:p w:rsidRPr="00544AB7" w:rsidR="00D41C6E">
      <w:pPr>
        <w:ind w:firstLine="708"/>
        <w:jc w:val="both"/>
      </w:pPr>
      <w:r w:rsidRPr="00544AB7">
        <w:t xml:space="preserve">În urma audierilor, Consiliul Concurenței a emis minuta deliberărilor prin care se dispunea sancționarea </w:t>
      </w:r>
      <w:r w:rsidRPr="00544AB7" w:rsidR="00FC492C">
        <w:t>...Y*...</w:t>
      </w:r>
      <w:r w:rsidRPr="00544AB7">
        <w:t xml:space="preserve"> cu o amendă în procent de 3,5 % din cifra de afaceri aferentă anului 2019, respectiv suma de 386.197,77 LEI. </w:t>
      </w:r>
    </w:p>
    <w:p w:rsidRPr="00544AB7" w:rsidR="00D41C6E">
      <w:pPr>
        <w:ind w:firstLine="708"/>
        <w:jc w:val="both"/>
      </w:pPr>
      <w:r w:rsidRPr="00544AB7">
        <w:t>Ulterior, în baza minutei, a fost întocmită Decizia nr...../09.12.2020 ce a  fost comunicată Reclamantei în data de 08.04.2021.</w:t>
      </w:r>
    </w:p>
    <w:p w:rsidRPr="00544AB7" w:rsidR="00D41C6E">
      <w:pPr>
        <w:ind w:firstLine="708"/>
        <w:jc w:val="both"/>
      </w:pPr>
      <w:r w:rsidRPr="00544AB7">
        <w:t>Analizând legalitatea deciziei contestate, prin prisma criticilor formulate de reclamantă, instanța constată:</w:t>
      </w:r>
    </w:p>
    <w:p w:rsidRPr="00544AB7" w:rsidR="00D41C6E">
      <w:pPr>
        <w:ind w:firstLine="708"/>
        <w:jc w:val="both"/>
        <w:rPr>
          <w:rStyle w:val="Fontdeparagrafimplicit"/>
          <w:i/>
        </w:rPr>
      </w:pPr>
      <w:r w:rsidRPr="00544AB7">
        <w:t>1.</w:t>
      </w:r>
      <w:r w:rsidRPr="00544AB7">
        <w:rPr>
          <w:rStyle w:val="Fontdeparagrafimplicit"/>
          <w:i/>
        </w:rPr>
        <w:t xml:space="preserve"> În ceea ce privește critica privitoare la nesemnarea deciziei nr.</w:t>
      </w:r>
      <w:r w:rsidRPr="00544AB7" w:rsidR="001477A4">
        <w:rPr>
          <w:rStyle w:val="Fontdeparagrafimplicit"/>
          <w:i/>
        </w:rPr>
        <w:t>..../2020</w:t>
      </w:r>
    </w:p>
    <w:p w:rsidRPr="00544AB7" w:rsidR="00D41C6E">
      <w:pPr>
        <w:ind w:firstLine="708"/>
        <w:jc w:val="both"/>
      </w:pPr>
      <w:r w:rsidRPr="00544AB7">
        <w:t>Sub acest aspect, reclamanta a afirmat, în cadrul cererii completatoare, în esenţă, faptul că, deşi decizia contestată pare a fi semnată electronic de către toţi membrii care au participat la adoptarea ei, reclamantei i s-a comunicat o formă fizică, letrică a deciziei, astfel încât se află în imposibilitate de a verifica autenticitatea semnăturilor electronice.</w:t>
      </w:r>
    </w:p>
    <w:p w:rsidRPr="00544AB7" w:rsidR="00D41C6E">
      <w:pPr>
        <w:ind w:firstLine="708"/>
        <w:jc w:val="both"/>
      </w:pPr>
      <w:r w:rsidRPr="00544AB7">
        <w:t>Cu privire la această critică, se reţine că, într-adevăr, potrivit formatului ultimei pagini a deciziei ( a se vedea vol.II, fila 157), aceasta pare a fi semnată în format electronic de către membrii plenului, în data de 07.04.2021.</w:t>
      </w:r>
    </w:p>
    <w:p w:rsidRPr="00544AB7" w:rsidR="00D41C6E">
      <w:pPr>
        <w:ind w:firstLine="708"/>
        <w:jc w:val="both"/>
      </w:pPr>
      <w:r w:rsidRPr="00544AB7">
        <w:t>Pârâtul Consiliul Concurenţei a confirmat această împrejurare în cuprinsul întâmpinării depuse la cererea completatoare a reclamantei (vol.VII, filele 134-142).</w:t>
      </w:r>
    </w:p>
    <w:p w:rsidRPr="00544AB7" w:rsidR="00D41C6E">
      <w:pPr>
        <w:ind w:firstLine="708"/>
        <w:jc w:val="both"/>
      </w:pPr>
      <w:r w:rsidRPr="00544AB7">
        <w:t>Date fiind unele apărări ale pârâtului, Curtea menţionează în prealabil că problema ridicată în speţă nu este aceea de a stabili dacă deciziile Consiliului Concurenţei puteau fi sau nu semnate electronic, art.19, alin.7 din Legea nr.21/1996 impunând doar condiţia semnării lor, fără a exclude posibilitatea utilizării unei semnături electronice calificate,  ci dacă părţii trebuie să i se comunice forma electronică a deciziei (pentru a putea verifica autenticitatea semnăturilor) sau forma letrică a acesteia.</w:t>
      </w:r>
    </w:p>
    <w:p w:rsidRPr="00544AB7" w:rsidR="00D41C6E">
      <w:pPr>
        <w:ind w:firstLine="708"/>
        <w:jc w:val="both"/>
      </w:pPr>
      <w:r w:rsidRPr="00544AB7">
        <w:t>Mai mult decât atât, problema esenţială ridicată de reclamantă nu este dată  de faptul în sine al comunicării deciziei în format letric, ci de împrejurarea că, din cauza acestei modalităţi de comunicare, nu poate verifica autenticitatea semnăturilor.</w:t>
      </w:r>
    </w:p>
    <w:p w:rsidRPr="00544AB7" w:rsidR="00D41C6E">
      <w:pPr>
        <w:ind w:firstLine="708"/>
        <w:jc w:val="both"/>
      </w:pPr>
      <w:r w:rsidRPr="00544AB7">
        <w:t xml:space="preserve">Ca atare, trimiterile părţilor la decizia nr.6/2015 pronunţată de Înalta Curte de Casaţie şi Justiţie în cadrul unui recurs în interesul legii şi la modalitatea corectă de interpretare a acesteia, sunt nerelevante, decizia fiind invocată doar pentru a dovedi că „Din analiza dispoziţiilor legale citate se desprinde concluzia că semnătura electronică nu se poate ataşa </w:t>
      </w:r>
      <w:r w:rsidRPr="00544AB7">
        <w:t>decât unui înscris în formă electronică. Ca atare, ea nu poate fi aplicată pe un înscris aflat pe suport hârtie.”</w:t>
      </w:r>
    </w:p>
    <w:p w:rsidRPr="00544AB7" w:rsidR="00D41C6E">
      <w:pPr>
        <w:ind w:firstLine="708"/>
        <w:jc w:val="both"/>
      </w:pPr>
      <w:r w:rsidRPr="00544AB7">
        <w:t>Faţă de cele de mai sus, curtea va reţine că, într-adevăr, exemplarul letric comunicat reclamantei nu poate face dovada că exemplarul original aflat în posesia Consiliului Concurenţei este semnat electronic, pentru aceasta fiind necesară accesarea exemplarului electronic şi verificarea, tot electronic, a autenticităţii semnăturilor.</w:t>
      </w:r>
    </w:p>
    <w:p w:rsidRPr="00544AB7" w:rsidR="00D41C6E">
      <w:pPr>
        <w:ind w:firstLine="708"/>
        <w:jc w:val="both"/>
      </w:pPr>
      <w:r w:rsidRPr="00544AB7">
        <w:t>Curtea reţine însă că această din urmă operaţiune a fost realizată de reprezentanţii pârâtului, aceştia inserând în cuprinsul întâmpinării (vol.VII, filele 139-141) print-screen-uri de pe rezultatele verificării electronice a autenticităţii  semnăturilor electronice, sistemul generând informaţia că semnăturile aplicate de membrii Consiliului la data de 07.04.2021 erau valide.</w:t>
      </w:r>
    </w:p>
    <w:p w:rsidRPr="00544AB7" w:rsidR="00D41C6E">
      <w:pPr>
        <w:ind w:firstLine="708"/>
        <w:jc w:val="both"/>
      </w:pPr>
      <w:r w:rsidRPr="00544AB7">
        <w:t>Or, reclamanta nu a contrazis verificările realizate de pârât şi realitatea capturilor de ecran depuse de acesta.</w:t>
      </w:r>
    </w:p>
    <w:p w:rsidRPr="00544AB7" w:rsidR="00D41C6E">
      <w:pPr>
        <w:ind w:firstLine="708"/>
        <w:jc w:val="both"/>
      </w:pPr>
      <w:r w:rsidRPr="00544AB7">
        <w:t>Ca atare, trebuie să se reţină că pârâtul a dovedit faptul că documentul original aflat în posesia sa a fost semnat electronic la data de 07.04.2021 şi că, de asemenea, exemplarul letric comunicat reclamantei are acelaşi conţinut cu cel original, acest aspect fiind confirmat prin aplicarea ştampilei instituţiei şi a  menţiunii „conform cu originalul”, însoţite de semnătura persoanei care a realizat această verificare.</w:t>
      </w:r>
    </w:p>
    <w:p w:rsidRPr="00544AB7" w:rsidR="00D41C6E">
      <w:pPr>
        <w:ind w:firstLine="708"/>
        <w:jc w:val="both"/>
      </w:pPr>
      <w:r w:rsidRPr="00544AB7">
        <w:t>În concluzie, critica reclamantei este neîntemeiată.</w:t>
      </w:r>
    </w:p>
    <w:p w:rsidRPr="00544AB7" w:rsidR="00D41C6E">
      <w:pPr>
        <w:ind w:firstLine="708"/>
        <w:jc w:val="both"/>
        <w:rPr>
          <w:rStyle w:val="Fontdeparagrafimplicit"/>
          <w:i/>
        </w:rPr>
      </w:pPr>
      <w:r w:rsidRPr="00544AB7">
        <w:rPr>
          <w:rStyle w:val="Fontdeparagrafimplicit"/>
          <w:i/>
        </w:rPr>
        <w:t xml:space="preserve">2.În ceea ce privește critica potrivit căreia, la data emiterii Ordinului de deschidere a investigației, doi dintre membrii plenului Consiliului Concurenței, </w:t>
      </w:r>
      <w:r w:rsidRPr="00544AB7" w:rsidR="00136365">
        <w:rPr>
          <w:rStyle w:val="Fontdeparagrafimplicit"/>
          <w:i/>
          <w:lang w:val="en-US"/>
        </w:rPr>
        <w:t>...M.1...</w:t>
      </w:r>
      <w:r w:rsidRPr="00544AB7">
        <w:rPr>
          <w:rStyle w:val="Fontdeparagrafimplicit"/>
          <w:i/>
          <w:lang w:val="en-US"/>
        </w:rPr>
        <w:t xml:space="preserve"> si </w:t>
      </w:r>
      <w:r w:rsidRPr="00544AB7" w:rsidR="00136365">
        <w:rPr>
          <w:rStyle w:val="Fontdeparagrafimplicit"/>
          <w:i/>
          <w:lang w:val="en-US"/>
        </w:rPr>
        <w:t>...M.2</w:t>
      </w:r>
      <w:r w:rsidRPr="00544AB7" w:rsidR="00136365">
        <w:rPr>
          <w:rStyle w:val="Fontdeparagrafimplicit"/>
          <w:i/>
          <w:lang w:val="en-US"/>
        </w:rPr>
        <w:t>...</w:t>
      </w:r>
      <w:r w:rsidRPr="00544AB7">
        <w:rPr>
          <w:rStyle w:val="Fontdeparagrafimplicit"/>
          <w:b/>
          <w:lang w:val="en-US"/>
        </w:rPr>
        <w:t xml:space="preserve">, </w:t>
      </w:r>
      <w:r w:rsidRPr="00544AB7">
        <w:rPr>
          <w:rStyle w:val="Fontdeparagrafimplicit"/>
          <w:i/>
        </w:rPr>
        <w:t xml:space="preserve"> exercitau</w:t>
      </w:r>
      <w:r w:rsidRPr="00544AB7">
        <w:rPr>
          <w:rStyle w:val="Fontdeparagrafimplicit"/>
          <w:i/>
        </w:rPr>
        <w:t xml:space="preserve"> această funcție în mod nelegal</w:t>
      </w:r>
    </w:p>
    <w:p w:rsidRPr="00544AB7" w:rsidR="00D41C6E">
      <w:pPr>
        <w:ind w:firstLine="708"/>
        <w:jc w:val="both"/>
        <w:rPr>
          <w:rStyle w:val="Fontdeparagrafimplicit"/>
          <w:lang w:val="en-US"/>
        </w:rPr>
      </w:pPr>
      <w:r w:rsidRPr="00544AB7">
        <w:rPr>
          <w:rStyle w:val="Fontdeparagrafimplicit"/>
          <w:lang w:val="en-US"/>
        </w:rPr>
        <w:t xml:space="preserve">În cuprinsul Ordinului de deschidere </w:t>
      </w:r>
      <w:r w:rsidRPr="00544AB7">
        <w:rPr>
          <w:rStyle w:val="Fontdeparagrafimplicit"/>
          <w:lang w:val="en-US"/>
        </w:rPr>
        <w:t>a</w:t>
      </w:r>
      <w:r w:rsidRPr="00544AB7">
        <w:rPr>
          <w:rStyle w:val="Fontdeparagrafimplicit"/>
          <w:lang w:val="en-US"/>
        </w:rPr>
        <w:t xml:space="preserve"> investigaţiei nr......./20.11.2017 se menționează faptul că acesta a fost emis, printre altele, în baza Hotărârii Plenului Consiliului Concurenței din data de 20.11.2017 prin care s-a dispus declanșarea unei investigații din oficiu.</w:t>
      </w:r>
    </w:p>
    <w:p w:rsidRPr="00544AB7" w:rsidR="00D41C6E">
      <w:pPr>
        <w:ind w:firstLine="708"/>
        <w:jc w:val="both"/>
        <w:rPr>
          <w:rStyle w:val="Fontdeparagrafimplicit"/>
          <w:lang w:val="en-US"/>
        </w:rPr>
      </w:pPr>
      <w:r w:rsidRPr="00544AB7">
        <w:rPr>
          <w:rStyle w:val="Fontdeparagrafimplicit"/>
          <w:lang w:val="en-US"/>
        </w:rPr>
        <w:t xml:space="preserve">Potrivit art. </w:t>
      </w:r>
      <w:r w:rsidRPr="00544AB7">
        <w:rPr>
          <w:rStyle w:val="Fontdeparagrafimplicit"/>
          <w:lang w:val="en-US"/>
        </w:rPr>
        <w:t>19  din</w:t>
      </w:r>
      <w:r w:rsidRPr="00544AB7">
        <w:rPr>
          <w:rStyle w:val="Fontdeparagrafimplicit"/>
          <w:lang w:val="en-US"/>
        </w:rPr>
        <w:t xml:space="preserve"> Legea 21/1996 :</w:t>
      </w:r>
    </w:p>
    <w:p w:rsidRPr="00544AB7" w:rsidR="00D41C6E">
      <w:pPr>
        <w:ind w:firstLine="708"/>
        <w:jc w:val="both"/>
        <w:rPr>
          <w:rStyle w:val="Fontdeparagrafimplicit"/>
          <w:lang w:val="en-US"/>
        </w:rPr>
      </w:pPr>
      <w:r w:rsidRPr="00544AB7">
        <w:rPr>
          <w:rStyle w:val="Fontdeparagrafimplicit"/>
          <w:lang w:val="en-US"/>
        </w:rPr>
        <w:t>“(1) Consiliul Concurenţei îşi desfăşoară activitatea, deliberează şi ia decizii în plen sau în comisii. Plenul Consiliului Concurenţei se întruneşte valabil în prezenţa majorităţii membrilor în funcţie, dar nu mai puţin de 3 dintre aceştia, şi adoptă hotărâri cu votul majorităţii membrilor prezenţi. Comisia adoptă hotărâri cu majoritatea voturilor membrilor. Plenul adoptă hotărâri asupra chestiunilor de natură economico-administrativă, la solicitarea preşedintelui.</w:t>
      </w:r>
    </w:p>
    <w:p w:rsidRPr="00544AB7" w:rsidR="00D41C6E">
      <w:pPr>
        <w:ind w:firstLine="708"/>
        <w:jc w:val="both"/>
        <w:rPr>
          <w:rStyle w:val="Fontdeparagrafimplicit"/>
          <w:lang w:val="en-US"/>
        </w:rPr>
      </w:pPr>
      <w:r w:rsidRPr="00544AB7">
        <w:rPr>
          <w:rStyle w:val="Fontdeparagrafimplicit"/>
          <w:lang w:val="en-US"/>
        </w:rPr>
        <w:t>(3) Pe baza hotărârii luate de plen sau de comisie, după caz, preşedintele Consiliului Concurenţei dispune, prin ordin, efectuarea de investigaţii. Prin acelaşi ordin este desemnat raportorul de caz, în baza propunerii directorului general.</w:t>
      </w:r>
    </w:p>
    <w:p w:rsidRPr="00544AB7" w:rsidR="00D41C6E">
      <w:pPr>
        <w:ind w:firstLine="708"/>
        <w:jc w:val="both"/>
        <w:rPr>
          <w:rStyle w:val="Fontdeparagrafimplicit"/>
          <w:lang w:val="en-US"/>
        </w:rPr>
      </w:pPr>
      <w:r w:rsidRPr="00544AB7">
        <w:rPr>
          <w:rStyle w:val="Fontdeparagrafimplicit"/>
          <w:lang w:val="en-US"/>
        </w:rPr>
        <w:t>(6) în formaţiunile deliberative fiecare membru dispune de un vot; în caz de partaj egal al voturilor, soluţia votată de preşedinte prevalează”.</w:t>
      </w:r>
    </w:p>
    <w:p w:rsidRPr="00544AB7" w:rsidR="00D41C6E">
      <w:pPr>
        <w:ind w:firstLine="708"/>
        <w:jc w:val="both"/>
      </w:pPr>
      <w:r w:rsidRPr="00544AB7">
        <w:rPr>
          <w:rStyle w:val="Fontdeparagrafimplicit"/>
          <w:lang w:val="en-US"/>
        </w:rPr>
        <w:t xml:space="preserve">Reclamanta a susţinut că </w:t>
      </w:r>
      <w:r w:rsidRPr="00544AB7">
        <w:t xml:space="preserve">la momentul adoptării </w:t>
      </w:r>
      <w:r w:rsidRPr="00544AB7">
        <w:rPr>
          <w:rStyle w:val="Fontdeparagrafimplicit"/>
          <w:lang w:val="en-US"/>
        </w:rPr>
        <w:t>Hotărârii Plenului Consiliului Concurenței din data de 20.11.2017</w:t>
      </w:r>
      <w:r w:rsidRPr="00544AB7">
        <w:t xml:space="preserve">, mandatele a doi din membrii plenului, respectiv domnii </w:t>
      </w:r>
      <w:r w:rsidRPr="00544AB7" w:rsidR="00136365">
        <w:t>...M.1...</w:t>
      </w:r>
      <w:r w:rsidRPr="00544AB7">
        <w:t xml:space="preserve"> și </w:t>
      </w:r>
      <w:r w:rsidRPr="00544AB7" w:rsidR="00136365">
        <w:t>...M.2</w:t>
      </w:r>
      <w:r w:rsidRPr="00544AB7" w:rsidR="00136365">
        <w:t>...</w:t>
      </w:r>
      <w:r w:rsidRPr="00544AB7">
        <w:t>,  erau</w:t>
      </w:r>
      <w:r w:rsidRPr="00544AB7">
        <w:t xml:space="preserve"> expirate.</w:t>
      </w:r>
    </w:p>
    <w:p w:rsidRPr="00544AB7" w:rsidR="00D41C6E">
      <w:pPr>
        <w:ind w:firstLine="708"/>
        <w:jc w:val="both"/>
      </w:pPr>
      <w:r w:rsidRPr="00544AB7">
        <w:t xml:space="preserve">Sub acest aspect, reclamanta a învederat că domnul </w:t>
      </w:r>
      <w:r w:rsidRPr="00544AB7" w:rsidR="00136365">
        <w:t>...M.1...</w:t>
      </w:r>
      <w:r w:rsidRPr="00544AB7">
        <w:t xml:space="preserve"> a fost numit membru al plenului Consiliului Concurenței în data de la 20 decembrie 2011, prin Decretul nr. </w:t>
      </w:r>
      <w:r w:rsidRPr="00544AB7" w:rsidR="00136365">
        <w:t>.../2011</w:t>
      </w:r>
      <w:r w:rsidRPr="00544AB7">
        <w:t xml:space="preserve">, pentru o perioada de 5 ani , acesta expirând la data de 20.12.2016, mandatul acestuia fiind reînnoit abia în 18 iunie 2018, prin Decretul nr. </w:t>
      </w:r>
      <w:r w:rsidRPr="00544AB7" w:rsidR="00136365">
        <w:t>..../2018</w:t>
      </w:r>
      <w:r w:rsidRPr="00544AB7">
        <w:t xml:space="preserve">, iar domnul </w:t>
      </w:r>
      <w:r w:rsidRPr="00544AB7" w:rsidR="00136365">
        <w:t>...M.2...</w:t>
      </w:r>
      <w:r w:rsidRPr="00544AB7">
        <w:t xml:space="preserve"> a fost numit membru al plenului Consiliului Concurenței în data de la 27 aprilie 2009, prin Decretul nr. </w:t>
      </w:r>
      <w:r w:rsidRPr="00544AB7" w:rsidR="008111C5">
        <w:t>..../2009</w:t>
      </w:r>
      <w:r w:rsidRPr="00544AB7">
        <w:t xml:space="preserve">, tot pentru o perioada de 5 ani, mandatul expirând la data de 05.05.2014 şi fiind reînnoit în 18 iunie 2018, prin Decretul nr. </w:t>
      </w:r>
      <w:r w:rsidRPr="00544AB7" w:rsidR="008111C5">
        <w:t>..../2018</w:t>
      </w:r>
      <w:r w:rsidRPr="00544AB7">
        <w:t>.</w:t>
      </w:r>
    </w:p>
    <w:p w:rsidRPr="00544AB7" w:rsidR="00D41C6E">
      <w:pPr>
        <w:ind w:firstLine="708"/>
        <w:jc w:val="both"/>
      </w:pPr>
      <w:r w:rsidRPr="00544AB7">
        <w:t>Astfel, la data Hotărârii plenului Consiliului Concurenței de deschidere a investigației, acești membri exercitau această funcție în baza art. 18 alin. (3) din Legea Concurenței, care, la data de 20.11.2017 avea următorul conținut:</w:t>
      </w:r>
    </w:p>
    <w:p w:rsidRPr="00544AB7" w:rsidR="00D41C6E">
      <w:pPr>
        <w:ind w:firstLine="708"/>
        <w:jc w:val="both"/>
      </w:pPr>
      <w:r w:rsidRPr="00544AB7">
        <w:t xml:space="preserve"> “În situaţia în care până la expirarea duratei mandatului unui membru al Plenului Consiliului Concurenţei, în condiţiile art. 15 alin. (9) lit. a), nu este numit un succesor, membrul Plenului al cărui mandat expiră îşi va continua activitatea până la depunerea jurământului de către cel desemnat pentru mandatul următor.”.</w:t>
      </w:r>
    </w:p>
    <w:p w:rsidRPr="00544AB7" w:rsidR="00D41C6E">
      <w:pPr>
        <w:ind w:firstLine="708"/>
        <w:jc w:val="both"/>
      </w:pPr>
      <w:r w:rsidRPr="00544AB7">
        <w:t xml:space="preserve">La data de 26.01.2021, Curtea Constituțională a României a pronunţat decizia nr.58/2021 prin care a admis excepția de neconstituționalitate cu privire la dispoziţiile art. 18 alin. (3) din Legea concurenței nr. 21/1996, în forma mai sus menționată, declarând că acestea sunt neconstituționale. </w:t>
      </w:r>
    </w:p>
    <w:p w:rsidRPr="00544AB7" w:rsidR="00D41C6E">
      <w:pPr>
        <w:ind w:firstLine="708"/>
        <w:jc w:val="both"/>
        <w:rPr>
          <w:rStyle w:val="Fontdeparagrafimplicit"/>
          <w:lang w:val="en-US"/>
        </w:rPr>
      </w:pPr>
      <w:r w:rsidRPr="00544AB7">
        <w:rPr>
          <w:rStyle w:val="Fontdeparagrafimplicit"/>
          <w:lang w:val="en-US"/>
        </w:rPr>
        <w:t>În ceea ce priveşte impactul acestei decizii asupra mandatelor celor doi membri ai plenului Consiliului Concurenţei, curtea reţine următoarele:</w:t>
      </w:r>
    </w:p>
    <w:p w:rsidRPr="00544AB7" w:rsidR="00D41C6E">
      <w:pPr>
        <w:ind w:firstLine="708"/>
        <w:jc w:val="both"/>
        <w:rPr>
          <w:rStyle w:val="Fontdeparagrafimplicit"/>
          <w:lang w:val="en-US"/>
        </w:rPr>
      </w:pPr>
      <w:r w:rsidRPr="00544AB7">
        <w:rPr>
          <w:rStyle w:val="Fontdeparagrafimplicit"/>
          <w:lang w:val="en-US"/>
        </w:rPr>
        <w:t>Potrivit art.147, alin.4 din Constitutia Romaniei:</w:t>
      </w:r>
    </w:p>
    <w:p w:rsidRPr="00544AB7" w:rsidR="00D41C6E">
      <w:pPr>
        <w:ind w:firstLine="708"/>
        <w:jc w:val="both"/>
        <w:rPr>
          <w:rStyle w:val="Fontdeparagrafimplicit"/>
          <w:lang w:val="en-US"/>
        </w:rPr>
      </w:pPr>
      <w:r w:rsidRPr="00544AB7">
        <w:rPr>
          <w:rStyle w:val="Fontdeparagrafimplicit"/>
          <w:lang w:val="en-US"/>
        </w:rPr>
        <w:t>“Deciziile Curţii Constituţionale se publică în Monitorul Oficial al României. De la data publicării, deciziile sunt general obligatorii şi au putere numai pentru viitor.”</w:t>
      </w:r>
    </w:p>
    <w:p w:rsidRPr="00544AB7" w:rsidR="00D41C6E">
      <w:pPr>
        <w:ind w:firstLine="708"/>
        <w:jc w:val="both"/>
        <w:rPr>
          <w:rStyle w:val="Fontdeparagrafimplicit"/>
          <w:lang w:val="en-US"/>
        </w:rPr>
      </w:pPr>
      <w:r w:rsidRPr="00544AB7">
        <w:rPr>
          <w:rStyle w:val="Fontdeparagrafimplicit"/>
          <w:lang w:val="en-US"/>
        </w:rPr>
        <w:t>Puterea pe care o au aceste decizii este explicată în alineatul 1 al aceluiaşi articol şi constă în aceea ca în primele 45 de zile de la publicarea deciziei Curtii Constitutionale, prevederile legale, constatate neconstituţionale, sunt suspendate de drept, iar dupa cele 45 de zile, ele îşi vor inceta efectele juridice.</w:t>
      </w:r>
    </w:p>
    <w:p w:rsidRPr="00544AB7" w:rsidR="00D41C6E">
      <w:pPr>
        <w:ind w:firstLine="708"/>
        <w:jc w:val="both"/>
        <w:rPr>
          <w:rStyle w:val="Fontdeparagrafimplicit"/>
          <w:lang w:val="en-US"/>
        </w:rPr>
      </w:pPr>
      <w:r w:rsidRPr="00544AB7">
        <w:rPr>
          <w:rStyle w:val="Fontdeparagrafimplicit"/>
          <w:lang w:val="en-US"/>
        </w:rPr>
        <w:t>Per a contrario, până la publicarea deciziei în Monitorul Oficial, prevederile legale respective îşi vor produce efectele juridice.</w:t>
      </w:r>
    </w:p>
    <w:p w:rsidRPr="00544AB7" w:rsidR="00D41C6E">
      <w:pPr>
        <w:ind w:firstLine="708"/>
        <w:jc w:val="both"/>
        <w:rPr>
          <w:rStyle w:val="Fontdeparagrafimplicit"/>
          <w:lang w:val="en-US"/>
        </w:rPr>
      </w:pPr>
      <w:r w:rsidRPr="00544AB7">
        <w:rPr>
          <w:rStyle w:val="Fontdeparagrafimplicit"/>
          <w:lang w:val="en-US"/>
        </w:rPr>
        <w:t>Or, în speţă, decizia CCR nr.58/26.01.2021, prin care s-a constatat neconstitutionalitatea art.18, alin.3 din Legea nr.21/1996, a fost publicata în Monitorul Oficial în data de 04.05.2021.</w:t>
      </w:r>
    </w:p>
    <w:p w:rsidRPr="00544AB7" w:rsidR="00D41C6E">
      <w:pPr>
        <w:ind w:firstLine="708"/>
        <w:jc w:val="both"/>
        <w:rPr>
          <w:rStyle w:val="Fontdeparagrafimplicit"/>
          <w:lang w:val="en-US"/>
        </w:rPr>
      </w:pPr>
      <w:r w:rsidRPr="00544AB7">
        <w:rPr>
          <w:rStyle w:val="Fontdeparagrafimplicit"/>
          <w:lang w:val="en-US"/>
        </w:rPr>
        <w:t>Ca atare, până în data de 03.05.2021, art.18, alin.3 din Legea nr.21/1996 şi-a produs efecte juridice, mai exact efectul constând în prelungirea mandatelor expirate ale membrilor plenului Consiliului Concurentei, pentru care nu era numit încă un succesor.</w:t>
      </w:r>
    </w:p>
    <w:p w:rsidRPr="00544AB7" w:rsidR="00D41C6E">
      <w:pPr>
        <w:ind w:firstLine="708"/>
        <w:jc w:val="both"/>
        <w:rPr>
          <w:rStyle w:val="Fontdeparagrafimplicit"/>
          <w:lang w:val="en-US"/>
        </w:rPr>
      </w:pPr>
      <w:r w:rsidRPr="00544AB7">
        <w:rPr>
          <w:rStyle w:val="Fontdeparagrafimplicit"/>
          <w:lang w:val="en-US"/>
        </w:rPr>
        <w:t xml:space="preserve">Cum atât prelungirea mandatului membrului </w:t>
      </w:r>
      <w:r w:rsidRPr="00544AB7" w:rsidR="00136365">
        <w:rPr>
          <w:rStyle w:val="Fontdeparagrafimplicit"/>
          <w:lang w:val="en-US"/>
        </w:rPr>
        <w:t>...M.1...</w:t>
      </w:r>
      <w:r w:rsidRPr="00544AB7">
        <w:rPr>
          <w:rStyle w:val="Fontdeparagrafimplicit"/>
          <w:lang w:val="en-US"/>
        </w:rPr>
        <w:t xml:space="preserve"> (20.12.2016-18.06.2018), cât şi prelungirea mandatului membrului </w:t>
      </w:r>
      <w:r w:rsidRPr="00544AB7" w:rsidR="00136365">
        <w:rPr>
          <w:rStyle w:val="Fontdeparagrafimplicit"/>
          <w:lang w:val="en-US"/>
        </w:rPr>
        <w:t>...M.2...</w:t>
      </w:r>
      <w:r w:rsidRPr="00544AB7">
        <w:rPr>
          <w:rStyle w:val="Fontdeparagrafimplicit"/>
          <w:lang w:val="en-US"/>
        </w:rPr>
        <w:t xml:space="preserve"> (05.05.2014-18.06.2018) s-au produs anterior datei de 04.05.2021, într-o perioadă în care art.18, alin.3 din Legea nr.21/1996 era în vigoare şi cum efectele acestor prelungiri s-au produs integral, fiind deci vorba de situaţii juridice finalizate (facta praeterita), va rezulta ca decizia CCR nr.58/2021 nu le este aplicabilă acestora.</w:t>
      </w:r>
    </w:p>
    <w:p w:rsidRPr="00544AB7" w:rsidR="00D41C6E">
      <w:pPr>
        <w:ind w:firstLine="708"/>
        <w:jc w:val="both"/>
        <w:rPr>
          <w:rStyle w:val="Fontdeparagrafimplicit"/>
          <w:lang w:val="en-US"/>
        </w:rPr>
      </w:pPr>
      <w:r w:rsidRPr="00544AB7">
        <w:rPr>
          <w:rStyle w:val="Fontdeparagrafimplicit"/>
          <w:lang w:val="en-US"/>
        </w:rPr>
        <w:t>Pe cale de consecinţă, Hotărârea Plenului Consiliului Concurentei din data de 20.11.2017 nu este afectata de viciul de nelegalitate invocat de reclamantă, mandatul celor doi membri fiind valabil la acel moment.</w:t>
      </w:r>
    </w:p>
    <w:p w:rsidRPr="00544AB7" w:rsidR="00D41C6E">
      <w:pPr>
        <w:ind w:firstLine="708"/>
        <w:jc w:val="both"/>
      </w:pPr>
      <w:r w:rsidRPr="00544AB7">
        <w:t>În raport de argumentele invocate de reclamantă în cuprinsul cererii completatoare, curtea învederează că problema care se ridică în speţă nu este aceea de a stabili dacă decizia CCR nr.58/2021 poate fi invocată în cauza de faţă (fiind incontestabil că, din moment ce litigiul era pe rolul instanţei la data publicării deciziei, aceasta va putea fi invocată), ci de a stabili care este efectul concret pe care ea îl produce asupra raportului juridic litigios dedus judecăţii, mai exact asupra drepturilor şi obligaţiilor de drept material sau procesual ale părţilor.</w:t>
      </w:r>
    </w:p>
    <w:p w:rsidRPr="00544AB7" w:rsidR="00D41C6E">
      <w:pPr>
        <w:ind w:firstLine="708"/>
        <w:jc w:val="both"/>
      </w:pPr>
      <w:r w:rsidRPr="00544AB7">
        <w:t xml:space="preserve">Altfel spus, trebuie făcută distincţie între cauzele finalizate, pendinte sau viitoare (adică procesele finalizate, pe rol sau neîncepute încă) şi </w:t>
      </w:r>
      <w:r w:rsidRPr="00544AB7">
        <w:rPr>
          <w:rStyle w:val="Fontdeparagrafimplicit"/>
          <w:i/>
        </w:rPr>
        <w:t>facta praeterita, pendintia sau futura</w:t>
      </w:r>
      <w:r w:rsidRPr="00544AB7">
        <w:t xml:space="preserve">  (adică situaţiile juridice care pot fi sau nu afectate de consecinţele declarării ca neconstituţionale ale unor dispoziţii legale).</w:t>
      </w:r>
    </w:p>
    <w:p w:rsidRPr="00544AB7" w:rsidR="00D41C6E">
      <w:pPr>
        <w:ind w:firstLine="708"/>
        <w:jc w:val="both"/>
      </w:pPr>
      <w:r w:rsidRPr="00544AB7">
        <w:t>Or, după cum s-a arătat mai sus, la momentul publicării deciziei Curţii Constituţionale, cauza de faţă era una pendinte, dar situaţia juridică născută sub imperiul dispoziţiilor art.18, alin.3 din Legea nr.21/1996 constând în prelungirea mandatelor celor doi membri ai plenului cel puţin până la data adoptării hotărârii de declanşare a investigaţiei, respectiv 20.11.2017, era finalizată.</w:t>
      </w:r>
    </w:p>
    <w:p w:rsidRPr="00544AB7" w:rsidR="00D41C6E">
      <w:pPr>
        <w:ind w:firstLine="708"/>
        <w:jc w:val="both"/>
        <w:rPr>
          <w:rStyle w:val="Fontdeparagrafimplicit"/>
          <w:i/>
        </w:rPr>
      </w:pPr>
      <w:r w:rsidRPr="00544AB7">
        <w:rPr>
          <w:rStyle w:val="Fontdeparagrafimplicit"/>
          <w:i/>
        </w:rPr>
        <w:t>3.În ceea ce privește critica potrivit căreia</w:t>
      </w:r>
      <w:r w:rsidRPr="00544AB7">
        <w:t xml:space="preserve">, </w:t>
      </w:r>
      <w:r w:rsidRPr="00544AB7">
        <w:rPr>
          <w:rStyle w:val="Fontdeparagrafimplicit"/>
          <w:i/>
        </w:rPr>
        <w:t>la data audierilor cu privire la cel de-al doilea Raport și a adoptării Deciziei, mandatul Președintelui Consiliului Concurenței încetase ca urmare a incompatibilității acestuia</w:t>
      </w:r>
    </w:p>
    <w:p w:rsidRPr="00544AB7" w:rsidR="00D41C6E">
      <w:pPr>
        <w:ind w:firstLine="708"/>
        <w:jc w:val="both"/>
      </w:pPr>
      <w:r w:rsidRPr="00544AB7">
        <w:t xml:space="preserve">Sub acest aspect, reclamanta a afirmat că în data de 27.01.2020, domnul </w:t>
      </w:r>
      <w:r w:rsidRPr="00544AB7" w:rsidR="002C56E4">
        <w:t>...J...</w:t>
      </w:r>
      <w:r w:rsidRPr="00544AB7">
        <w:t xml:space="preserve"> (președintele Consiliului Concurenței) a fost numit membru în Consiliul de administrație al Agenției pentru Cooperarea Autorităților de Reglementare din Domeniul Energiei (ACER).</w:t>
      </w:r>
    </w:p>
    <w:p w:rsidRPr="00544AB7" w:rsidR="00D41C6E">
      <w:pPr>
        <w:ind w:firstLine="708"/>
        <w:jc w:val="both"/>
      </w:pPr>
      <w:r w:rsidRPr="00544AB7">
        <w:t>Ca atare, reclamanta susţine că începând cu această dată, preşedintele Consiliului Concurenţei s-a aflat în stare de incompatibilitate, astfel încât mandatul său ar fi trebuit suspendat, urmând să înceteze la data de 07.02.2020.</w:t>
      </w:r>
    </w:p>
    <w:p w:rsidRPr="00544AB7" w:rsidR="00D41C6E">
      <w:pPr>
        <w:ind w:firstLine="708"/>
        <w:jc w:val="both"/>
      </w:pPr>
      <w:r w:rsidRPr="00544AB7">
        <w:t>Este adevărat că la data de 03.02.2020 a fost adoptată OUG nr. 6/2020 care prevedea, la art. II, introducerea, alin. (6</w:t>
      </w:r>
      <w:r w:rsidRPr="00544AB7">
        <w:rPr>
          <w:rStyle w:val="Fontdeparagrafimplicit"/>
          <w:vertAlign w:val="superscript"/>
        </w:rPr>
        <w:t>1</w:t>
      </w:r>
      <w:r w:rsidRPr="00544AB7">
        <w:t>), în cadrul art. 15 din Legea Concurenței, conform căruia:</w:t>
      </w:r>
    </w:p>
    <w:p w:rsidRPr="00544AB7" w:rsidR="00D41C6E">
      <w:pPr>
        <w:ind w:firstLine="708"/>
        <w:jc w:val="both"/>
      </w:pPr>
      <w:r w:rsidRPr="00544AB7">
        <w:t xml:space="preserve"> “Membrii Consiliului Concurenţei pot fi desemnaţi, cu acordul Plenului acestuia, să desfăşoare activităţi în cadrul unor organisme sau instituţii publice ale Uniunii Europene sau internaţionale, precum şi activităţi de asistenţă tehnică finanţate de Uniunea Europeană ori de către alte organisme sau instituţii publice internaţionale, în condiţiile în care activităţile respective sunt circumscrise domeniului de activitate al Consiliului Concurenţei şi nu afectează exercitarea atribuţiilor de membru al Consiliului Concurenţei.”.</w:t>
      </w:r>
    </w:p>
    <w:p w:rsidRPr="00544AB7" w:rsidR="00D41C6E">
      <w:pPr>
        <w:ind w:firstLine="708"/>
        <w:jc w:val="both"/>
      </w:pPr>
      <w:r w:rsidRPr="00544AB7">
        <w:t xml:space="preserve">La data de 20.11.2020, a intrat în vigoare Legea nr. 254/2020 privind aprobarea Ordonanţei de urgență a Guvernului nr. 6/2020, lege prin care a fost abrogat art. II din OUG 6/2020, inclusiv prevederea ce înlătura incompatibilitatea membrilor Consiliului Concurenței în cazul desfășurării de activități în cadrul instituțiilor europene. </w:t>
      </w:r>
    </w:p>
    <w:p w:rsidRPr="00544AB7" w:rsidR="00D41C6E">
      <w:pPr>
        <w:ind w:firstLine="708"/>
        <w:jc w:val="both"/>
      </w:pPr>
      <w:r w:rsidRPr="00544AB7">
        <w:t xml:space="preserve">Astfel, prevederea privind înlăturarea motivului de incompatibilitate pentru domnul </w:t>
      </w:r>
      <w:r w:rsidRPr="00544AB7" w:rsidR="002C56E4">
        <w:t>...J...</w:t>
      </w:r>
      <w:r w:rsidRPr="00544AB7">
        <w:t xml:space="preserve"> a fost în vigoare doar în perioada 03.02.2020 - 19.11.2020.</w:t>
      </w:r>
    </w:p>
    <w:p w:rsidRPr="00544AB7" w:rsidR="00D41C6E">
      <w:pPr>
        <w:ind w:firstLine="708"/>
        <w:jc w:val="both"/>
      </w:pPr>
      <w:r w:rsidRPr="00544AB7">
        <w:t xml:space="preserve">Potrivit reclamantei, la data de 20.11.2020, domnul </w:t>
      </w:r>
      <w:r w:rsidRPr="00544AB7" w:rsidR="002C56E4">
        <w:t>...J...</w:t>
      </w:r>
      <w:r w:rsidRPr="00544AB7">
        <w:t xml:space="preserve"> a reintrat în stare de incompatibilitate, mandatul său urmând să înceteze în data de 01.12.2020, astfel încât nu ar fi putut prezida ședința de audieri din data de 03.12.2020 şi nici participa la deliberările din data de 09.12.2020.</w:t>
      </w:r>
    </w:p>
    <w:p w:rsidRPr="00544AB7" w:rsidR="00D41C6E">
      <w:pPr>
        <w:ind w:firstLine="708"/>
        <w:jc w:val="both"/>
        <w:rPr>
          <w:rStyle w:val="Fontdeparagrafimplicit"/>
          <w:lang w:val="en-US"/>
        </w:rPr>
      </w:pPr>
      <w:r w:rsidRPr="00544AB7">
        <w:rPr>
          <w:rStyle w:val="Fontdeparagrafimplicit"/>
          <w:lang w:val="en-US"/>
        </w:rPr>
        <w:t>Curtea reţine că motivul de nulitate invocat de reclamantă este neîntemeiat, pentru argumentele ce vor fi expuse în continuare.</w:t>
      </w:r>
    </w:p>
    <w:p w:rsidRPr="00544AB7" w:rsidR="00D41C6E">
      <w:pPr>
        <w:ind w:firstLine="708"/>
        <w:jc w:val="both"/>
        <w:rPr>
          <w:rStyle w:val="Fontdeparagrafimplicit"/>
          <w:lang w:val="en-US"/>
        </w:rPr>
      </w:pPr>
      <w:r w:rsidRPr="00544AB7">
        <w:rPr>
          <w:rStyle w:val="Fontdeparagrafimplicit"/>
          <w:lang w:val="en-US"/>
        </w:rPr>
        <w:t>Potrivit art.15, alin.6 din Legea nr.21/1996:</w:t>
      </w:r>
    </w:p>
    <w:p w:rsidRPr="00544AB7" w:rsidR="00D41C6E">
      <w:pPr>
        <w:ind w:firstLine="708"/>
        <w:jc w:val="both"/>
        <w:rPr>
          <w:rStyle w:val="Fontdeparagrafimplicit"/>
          <w:lang w:val="en-US"/>
        </w:rPr>
      </w:pPr>
      <w:r w:rsidRPr="00544AB7">
        <w:rPr>
          <w:rStyle w:val="Fontdeparagrafimplicit"/>
          <w:lang w:val="en-US"/>
        </w:rPr>
        <w:t>“</w:t>
      </w:r>
      <w:r w:rsidRPr="00544AB7">
        <w:rPr>
          <w:rStyle w:val="Fontdeparagrafimplicit"/>
          <w:u w:val="single"/>
          <w:lang w:val="en-US"/>
        </w:rPr>
        <w:t>Calitatea de membru al Consiliului Concurenţei este incompatibilă</w:t>
      </w:r>
      <w:r w:rsidRPr="00544AB7">
        <w:rPr>
          <w:rStyle w:val="Fontdeparagrafimplicit"/>
          <w:lang w:val="en-US"/>
        </w:rPr>
        <w:t xml:space="preserve"> cu exercitarea oricărei alte activităţi profesionale sau de consultanţă, cu participarea, directă ori prin persoane interpuse, la conducerea sau administrarea unor entităţi publice ori private sau cu deţinerea de funcţii ori de demnităţi publice, cu excepţia funcţiilor şi activităţilor didactice din învăţământul superior, cercetare ştiinţifică şi creaţie literar-artistică. Ei nu pot fi desemnaţi experţi sau arbitri nici de părţi şi nici de instanţa judecătorească sau de către o altă instituţie.”</w:t>
      </w:r>
    </w:p>
    <w:p w:rsidRPr="00544AB7" w:rsidR="00D41C6E">
      <w:pPr>
        <w:ind w:firstLine="708"/>
        <w:jc w:val="both"/>
        <w:rPr>
          <w:rStyle w:val="Fontdeparagrafimplicit"/>
          <w:lang w:val="en-US"/>
        </w:rPr>
      </w:pPr>
      <w:r w:rsidRPr="00544AB7">
        <w:rPr>
          <w:rStyle w:val="Fontdeparagrafimplicit"/>
          <w:lang w:val="en-US"/>
        </w:rPr>
        <w:t xml:space="preserve">Potrivit art.15, alin.9, </w:t>
      </w:r>
      <w:r w:rsidRPr="00544AB7">
        <w:rPr>
          <w:rStyle w:val="Fontdeparagrafimplicit"/>
          <w:lang w:val="en-US"/>
        </w:rPr>
        <w:t>lit.e</w:t>
      </w:r>
      <w:r w:rsidRPr="00544AB7">
        <w:rPr>
          <w:rStyle w:val="Fontdeparagrafimplicit"/>
          <w:lang w:val="en-US"/>
        </w:rPr>
        <w:t xml:space="preserve"> din aceeaşi lege:</w:t>
      </w:r>
    </w:p>
    <w:p w:rsidRPr="00544AB7" w:rsidR="00D41C6E">
      <w:pPr>
        <w:ind w:firstLine="708"/>
        <w:jc w:val="both"/>
        <w:rPr>
          <w:rStyle w:val="Fontdeparagrafimplicit"/>
          <w:lang w:val="en-US"/>
        </w:rPr>
      </w:pPr>
      <w:r w:rsidRPr="00544AB7">
        <w:rPr>
          <w:rStyle w:val="Fontdeparagrafimplicit"/>
          <w:lang w:val="en-US"/>
        </w:rPr>
        <w:t>“Mandatul de membru al Plenului Consiliului Concurenţei încetează:</w:t>
      </w:r>
    </w:p>
    <w:p w:rsidRPr="00544AB7" w:rsidR="00D41C6E">
      <w:pPr>
        <w:ind w:firstLine="708"/>
        <w:jc w:val="both"/>
        <w:rPr>
          <w:rStyle w:val="Fontdeparagrafimplicit"/>
          <w:lang w:val="en-US"/>
        </w:rPr>
      </w:pPr>
      <w:r w:rsidRPr="00544AB7">
        <w:rPr>
          <w:rStyle w:val="Fontdeparagrafimplicit"/>
          <w:lang w:val="en-US"/>
        </w:rPr>
        <w:t xml:space="preserve">e) la survenirea unei incompatibilităţi dintre cele prevăzute la alin. (6) şi (8), </w:t>
      </w:r>
      <w:r w:rsidRPr="00544AB7">
        <w:rPr>
          <w:rStyle w:val="Fontdeparagrafimplicit"/>
          <w:u w:val="single"/>
          <w:lang w:val="en-US"/>
        </w:rPr>
        <w:t>conform prevederilor alin. (12)”</w:t>
      </w:r>
    </w:p>
    <w:p w:rsidRPr="00544AB7" w:rsidR="00D41C6E">
      <w:pPr>
        <w:ind w:firstLine="708"/>
        <w:jc w:val="both"/>
        <w:rPr>
          <w:rStyle w:val="Fontdeparagrafimplicit"/>
          <w:lang w:val="en-US"/>
        </w:rPr>
      </w:pPr>
      <w:r w:rsidRPr="00544AB7">
        <w:rPr>
          <w:rStyle w:val="Fontdeparagrafimplicit"/>
          <w:lang w:val="en-US"/>
        </w:rPr>
        <w:t>Potrivit art.15, alin.12 din aceeaşi lege:</w:t>
      </w:r>
    </w:p>
    <w:p w:rsidRPr="00544AB7" w:rsidR="00D41C6E">
      <w:pPr>
        <w:ind w:firstLine="708"/>
        <w:jc w:val="both"/>
        <w:rPr>
          <w:rStyle w:val="Fontdeparagrafimplicit"/>
          <w:lang w:val="en-US"/>
        </w:rPr>
      </w:pPr>
      <w:r w:rsidRPr="00544AB7">
        <w:rPr>
          <w:rStyle w:val="Fontdeparagrafimplicit"/>
          <w:lang w:val="en-US"/>
        </w:rPr>
        <w:t xml:space="preserve">“Membrii Consiliului Concurenţei sunt obligaţi să notifice de îndată Consiliului survenirea oricărei situaţii de incompatibilitate sau impediment dintre cele prevăzute la alin. (6) şi (8), ei fiind de drept suspendaţi din funcţie din momentul survenirii acestei situaţii, iar dacă situaţia se prelungeşte peste 10 zile consecutive, mandatul încetează şi </w:t>
      </w:r>
      <w:r w:rsidRPr="00544AB7">
        <w:rPr>
          <w:rStyle w:val="Fontdeparagrafimplicit"/>
          <w:u w:val="single"/>
          <w:lang w:val="en-US"/>
        </w:rPr>
        <w:t>se procedează conform prevederilor alin. (10)</w:t>
      </w:r>
      <w:r w:rsidRPr="00544AB7">
        <w:rPr>
          <w:rStyle w:val="Fontdeparagrafimplicit"/>
          <w:lang w:val="en-US"/>
        </w:rPr>
        <w:t xml:space="preserve"> şi (11)”</w:t>
      </w:r>
    </w:p>
    <w:p w:rsidRPr="00544AB7" w:rsidR="00D41C6E">
      <w:pPr>
        <w:ind w:firstLine="708"/>
        <w:jc w:val="both"/>
        <w:rPr>
          <w:rStyle w:val="Fontdeparagrafimplicit"/>
          <w:lang w:val="en-US"/>
        </w:rPr>
      </w:pPr>
      <w:r w:rsidRPr="00544AB7">
        <w:rPr>
          <w:rStyle w:val="Fontdeparagrafimplicit"/>
          <w:lang w:val="en-US"/>
        </w:rPr>
        <w:t>Potrivit art.15, alin.10 din lege:</w:t>
      </w:r>
    </w:p>
    <w:p w:rsidRPr="00544AB7" w:rsidR="00D41C6E">
      <w:pPr>
        <w:ind w:firstLine="708"/>
        <w:jc w:val="both"/>
        <w:rPr>
          <w:rStyle w:val="Fontdeparagrafimplicit"/>
          <w:lang w:val="en-US"/>
        </w:rPr>
      </w:pPr>
      <w:r w:rsidRPr="00544AB7">
        <w:rPr>
          <w:rStyle w:val="Fontdeparagrafimplicit"/>
          <w:lang w:val="en-US"/>
        </w:rPr>
        <w:t xml:space="preserve">“Membrii Plenului Consiliului Concurenţei </w:t>
      </w:r>
      <w:r w:rsidRPr="00544AB7">
        <w:rPr>
          <w:rStyle w:val="Fontdeparagrafimplicit"/>
          <w:u w:val="single"/>
          <w:lang w:val="en-US"/>
        </w:rPr>
        <w:t>sunt revocabili</w:t>
      </w:r>
      <w:r w:rsidRPr="00544AB7">
        <w:rPr>
          <w:rStyle w:val="Fontdeparagrafimplicit"/>
          <w:lang w:val="en-US"/>
        </w:rPr>
        <w:t xml:space="preserve">, în cazul prevăzut la alin. (9) lit. f), </w:t>
      </w:r>
      <w:r w:rsidRPr="00544AB7">
        <w:rPr>
          <w:rStyle w:val="Fontdeparagrafimplicit"/>
          <w:u w:val="single"/>
          <w:lang w:val="en-US"/>
        </w:rPr>
        <w:t xml:space="preserve">de către autoritatea care i-a </w:t>
      </w:r>
      <w:r w:rsidRPr="00544AB7">
        <w:rPr>
          <w:rStyle w:val="Fontdeparagrafimplicit"/>
          <w:u w:val="single"/>
          <w:lang w:val="en-US"/>
        </w:rPr>
        <w:t>numit</w:t>
      </w:r>
      <w:r w:rsidRPr="00544AB7">
        <w:rPr>
          <w:rStyle w:val="Fontdeparagrafimplicit"/>
          <w:lang w:val="en-US"/>
        </w:rPr>
        <w:t>.(</w:t>
      </w:r>
      <w:r w:rsidRPr="00544AB7">
        <w:rPr>
          <w:rStyle w:val="Fontdeparagrafimplicit"/>
          <w:lang w:val="en-US"/>
        </w:rPr>
        <w:t>…)”</w:t>
      </w:r>
    </w:p>
    <w:p w:rsidRPr="00544AB7" w:rsidR="00D41C6E">
      <w:pPr>
        <w:ind w:firstLine="708"/>
        <w:jc w:val="both"/>
        <w:rPr>
          <w:rStyle w:val="Fontdeparagrafimplicit"/>
          <w:lang w:val="en-US"/>
        </w:rPr>
      </w:pPr>
      <w:r w:rsidRPr="00544AB7">
        <w:rPr>
          <w:rStyle w:val="Fontdeparagrafimplicit"/>
          <w:lang w:val="en-US"/>
        </w:rPr>
        <w:t>Potrivit art.15, alin.1 din lege:</w:t>
      </w:r>
    </w:p>
    <w:p w:rsidRPr="00544AB7" w:rsidR="00D41C6E">
      <w:pPr>
        <w:ind w:firstLine="708"/>
        <w:jc w:val="both"/>
        <w:rPr>
          <w:rStyle w:val="Fontdeparagrafimplicit"/>
          <w:lang w:val="en-US"/>
        </w:rPr>
      </w:pPr>
      <w:r w:rsidRPr="00544AB7">
        <w:rPr>
          <w:rStyle w:val="Fontdeparagrafimplicit"/>
          <w:lang w:val="en-US"/>
        </w:rPr>
        <w:t>“ (</w:t>
      </w:r>
      <w:r w:rsidRPr="00544AB7">
        <w:rPr>
          <w:rStyle w:val="Fontdeparagrafimplicit"/>
          <w:lang w:val="en-US"/>
        </w:rPr>
        <w:t>…) Numirea membrilor Plenului Consiliului Concurenţei se realizează de către Preşedintele României, (…)”</w:t>
      </w:r>
    </w:p>
    <w:p w:rsidRPr="00544AB7" w:rsidR="00D41C6E">
      <w:pPr>
        <w:ind w:firstLine="708"/>
        <w:jc w:val="both"/>
        <w:rPr>
          <w:rStyle w:val="Fontdeparagrafimplicit"/>
          <w:lang w:val="en-US"/>
        </w:rPr>
      </w:pPr>
      <w:r w:rsidRPr="00544AB7">
        <w:rPr>
          <w:rStyle w:val="Fontdeparagrafimplicit"/>
          <w:lang w:val="en-US"/>
        </w:rPr>
        <w:t>Din lecturarea coroborată a textelor expuse anterior, rezultă ca în cazul în care se iveşte o situaţie de incompatibilitate a preşedintelui Consiliului Concurenţei, constatarea acesteia se face de catre autoritatea care l-a numit în funcţie, adică de Preşedintele Romaniei, care emite un decret de revocare din funcţie şi  nu de catre instanţa de judecată într-un litigiu care are ca obiect anularea unei decizii emise de Consiliu (sens în care toate argumentele reclamantei referitoare la data ivirii incompatibilităţii, perioada ipotetică de suspendare din funcţie, modificările legislative intervenite ulterior, sunt nerelevante).</w:t>
      </w:r>
    </w:p>
    <w:p w:rsidRPr="00544AB7" w:rsidR="00D41C6E">
      <w:pPr>
        <w:ind w:firstLine="708"/>
        <w:jc w:val="both"/>
        <w:rPr>
          <w:rStyle w:val="Fontdeparagrafimplicit"/>
          <w:lang w:val="en-US"/>
        </w:rPr>
      </w:pPr>
      <w:r w:rsidRPr="00544AB7">
        <w:rPr>
          <w:rStyle w:val="Fontdeparagrafimplicit"/>
          <w:lang w:val="en-US"/>
        </w:rPr>
        <w:t>Or, un astfel de decret nu există.</w:t>
      </w:r>
    </w:p>
    <w:p w:rsidRPr="00544AB7" w:rsidR="00D41C6E">
      <w:pPr>
        <w:ind w:firstLine="708"/>
        <w:jc w:val="both"/>
        <w:rPr>
          <w:rStyle w:val="Fontdeparagrafimplicit"/>
          <w:lang w:val="en-US"/>
        </w:rPr>
      </w:pPr>
      <w:r w:rsidRPr="00544AB7">
        <w:rPr>
          <w:rStyle w:val="Fontdeparagrafimplicit"/>
          <w:lang w:val="en-US"/>
        </w:rPr>
        <w:t>Pe cale de consecinta, preşedintele Consiliului Concurentei este prezumat ca fiind compatibil cu funcţia pe care o exercită, sens în care critica reclamantei va fi înlaturată.</w:t>
      </w:r>
    </w:p>
    <w:p w:rsidRPr="00544AB7" w:rsidR="00D41C6E">
      <w:pPr>
        <w:ind w:firstLine="708"/>
        <w:jc w:val="both"/>
      </w:pPr>
      <w:r w:rsidRPr="00544AB7">
        <w:rPr>
          <w:rStyle w:val="Fontdeparagrafimplicit"/>
          <w:lang w:val="en-US"/>
        </w:rPr>
        <w:t xml:space="preserve">Faţă de cele reţinute de curte, devine inutilă analiza apărărilor Consiliului Concurenţei cu privire la activitatea </w:t>
      </w:r>
      <w:r w:rsidRPr="00544AB7">
        <w:t xml:space="preserve">Agenţiei Uniunii Europene pentru Cooperarea Autorităţilor de Reglementare din Domeniul </w:t>
      </w:r>
      <w:r w:rsidRPr="00544AB7">
        <w:t>Energiei,  apărări</w:t>
      </w:r>
      <w:r w:rsidRPr="00544AB7">
        <w:t xml:space="preserve"> potrivit cărora această activitate s-ar circumscrie interesului public al Uniunii Europene şi nu ar atrage, pe fond, o stare de incompatibilitate, constatarea acestei situaţii excedând cadrului procesual de faţă.</w:t>
      </w:r>
    </w:p>
    <w:p w:rsidRPr="00544AB7" w:rsidR="00D41C6E">
      <w:pPr>
        <w:ind w:firstLine="708"/>
        <w:jc w:val="both"/>
        <w:rPr>
          <w:rStyle w:val="Fontdeparagrafimplicit"/>
          <w:i/>
        </w:rPr>
      </w:pPr>
      <w:r w:rsidRPr="00544AB7">
        <w:rPr>
          <w:rStyle w:val="Fontdeparagrafimplicit"/>
          <w:i/>
        </w:rPr>
        <w:t>4.În ceea ce privește critica potrivit căreia</w:t>
      </w:r>
      <w:r w:rsidRPr="00544AB7">
        <w:t xml:space="preserve"> </w:t>
      </w:r>
      <w:r w:rsidRPr="00544AB7">
        <w:rPr>
          <w:rStyle w:val="Fontdeparagrafimplicit"/>
          <w:i/>
        </w:rPr>
        <w:t xml:space="preserve">mandatul Președintelui Consiliului </w:t>
      </w:r>
      <w:r w:rsidRPr="00544AB7">
        <w:t>Concurenței a expirat la data de 24.03.2020</w:t>
      </w:r>
    </w:p>
    <w:p w:rsidRPr="00544AB7" w:rsidR="00D41C6E">
      <w:pPr>
        <w:ind w:firstLine="708"/>
        <w:jc w:val="both"/>
      </w:pPr>
      <w:r w:rsidRPr="00544AB7">
        <w:rPr>
          <w:rStyle w:val="Fontdeparagrafimplicit"/>
          <w:lang w:val="en-US"/>
        </w:rPr>
        <w:t xml:space="preserve">Sub acest aspect, reclamanta </w:t>
      </w:r>
      <w:r w:rsidRPr="00544AB7">
        <w:rPr>
          <w:rStyle w:val="Fontdeparagrafimplicit"/>
          <w:lang w:val="en-US"/>
        </w:rPr>
        <w:t>a</w:t>
      </w:r>
      <w:r w:rsidRPr="00544AB7">
        <w:rPr>
          <w:rStyle w:val="Fontdeparagrafimplicit"/>
          <w:lang w:val="en-US"/>
        </w:rPr>
        <w:t xml:space="preserve"> afirmat, în esenţă, că cel de-al doilea mandat al domnului </w:t>
      </w:r>
      <w:r w:rsidRPr="00544AB7" w:rsidR="002C56E4">
        <w:t>...J...</w:t>
      </w:r>
      <w:r w:rsidRPr="00544AB7">
        <w:t xml:space="preserve"> (început în baza Decretului prezidențial nr. </w:t>
      </w:r>
      <w:r w:rsidRPr="00544AB7" w:rsidR="00931E6A">
        <w:t>....</w:t>
      </w:r>
      <w:r w:rsidRPr="00544AB7">
        <w:t>/05.03.2015, pe o durată de 5 ani) a expirat la 24 martie 2020, acesta fiind prelungit în temeiul art.18, alin.3 din Legea nr.21/1996, până la depunerea jurământului de către persoana desemnată pentru mandatul următor.</w:t>
      </w:r>
    </w:p>
    <w:p w:rsidRPr="00544AB7" w:rsidR="00D41C6E">
      <w:pPr>
        <w:ind w:firstLine="708"/>
        <w:jc w:val="both"/>
      </w:pPr>
      <w:r w:rsidRPr="00544AB7">
        <w:t xml:space="preserve">Ca şi în cazul domnilor </w:t>
      </w:r>
      <w:r w:rsidRPr="00544AB7" w:rsidR="00136365">
        <w:t>...M.1...</w:t>
      </w:r>
      <w:r w:rsidRPr="00544AB7">
        <w:t xml:space="preserve"> și </w:t>
      </w:r>
      <w:r w:rsidRPr="00544AB7" w:rsidR="00136365">
        <w:t>...M.2...</w:t>
      </w:r>
      <w:r w:rsidRPr="00544AB7">
        <w:t>, reclamanta invocă pronunţarea deciziei Curţii Constituţionale nr.58/2021, prin care dispoziţiile art.18, alin.3 din Legea nr.21/1996 au declarate neconstituţionale.</w:t>
      </w:r>
    </w:p>
    <w:p w:rsidRPr="00544AB7" w:rsidR="00D41C6E">
      <w:pPr>
        <w:ind w:firstLine="708"/>
        <w:jc w:val="both"/>
        <w:rPr>
          <w:rStyle w:val="Fontdeparagrafimplicit"/>
          <w:lang w:val="en-US"/>
        </w:rPr>
      </w:pPr>
      <w:r w:rsidRPr="00544AB7">
        <w:rPr>
          <w:rStyle w:val="Fontdeparagrafimplicit"/>
          <w:lang w:val="en-US"/>
        </w:rPr>
        <w:t>Având în vedere că argumentele reclamantei vizând încetarea mandatului preşedintelui Consiliului Concurentei sunt similare cu cele vizând încetarea mandatelor celor doi membri ai Consiliului (excepţie făcând perioadele situate “în afara mandatului”, perioade care diferă), instanţa va da aceeaşi dezlegare criticii reclamantei.</w:t>
      </w:r>
    </w:p>
    <w:p w:rsidRPr="00544AB7" w:rsidR="00D41C6E">
      <w:pPr>
        <w:ind w:firstLine="708"/>
        <w:jc w:val="both"/>
        <w:rPr>
          <w:rStyle w:val="Fontdeparagrafimplicit"/>
          <w:lang w:val="en-US"/>
        </w:rPr>
      </w:pPr>
      <w:r w:rsidRPr="00544AB7">
        <w:rPr>
          <w:rStyle w:val="Fontdeparagrafimplicit"/>
          <w:lang w:val="en-US"/>
        </w:rPr>
        <w:t>Astfel, se retine că perioada în care preşedintele Consiliului şi-ar fi exercitat funcţia cu depăşirea mandatului, respectiv perioada 24.03.2020-09.12.2020 (data deliberării) sau chiar 08.04.2021 (data comunicării deciziei contestate către reclamantă) se situează integral anterior datei publicării deciziei CCR nr.58/2021 (04.05.2021), astfel încât această perioadă constituie, şi ea, o situaţie juridică finalizată/epuizată, ce nu intră în sfera de aplicare a deciziei Curţii Constituţionale.</w:t>
      </w:r>
    </w:p>
    <w:p w:rsidRPr="00544AB7" w:rsidR="00D41C6E">
      <w:pPr>
        <w:ind w:firstLine="708"/>
        <w:jc w:val="both"/>
        <w:rPr>
          <w:rStyle w:val="Fontdeparagrafimplicit"/>
          <w:lang w:val="en-US"/>
        </w:rPr>
      </w:pPr>
      <w:r w:rsidRPr="00544AB7">
        <w:rPr>
          <w:rStyle w:val="Fontdeparagrafimplicit"/>
          <w:lang w:val="en-US"/>
        </w:rPr>
        <w:t xml:space="preserve">În consecinţă, se va retine ca actele contestate au fost emise într-o perioada în care prelungirea mandatului, în temeiul art.18, alin.2 din Legea nr.21/1996 (“Dacă, până la expirarea mandatului în curs, preşedintele Consiliului Concurenţei desemnat pentru mandatul următor nu va fi prestat jurământul cu respectarea dispoziţiilor art. 17, membrii Consiliului Concurenţei în exerciţiu </w:t>
      </w:r>
      <w:r w:rsidRPr="00544AB7">
        <w:rPr>
          <w:rStyle w:val="Fontdeparagrafimplicit"/>
          <w:u w:val="single"/>
          <w:lang w:val="en-US"/>
        </w:rPr>
        <w:t>îşi vor continua activitatea</w:t>
      </w:r>
      <w:r w:rsidRPr="00544AB7">
        <w:rPr>
          <w:rStyle w:val="Fontdeparagrafimplicit"/>
          <w:lang w:val="en-US"/>
        </w:rPr>
        <w:t xml:space="preserve"> până la depunerea jurământului de către preşedintele Consiliului, desemnat pentru mandatul următor </w:t>
      </w:r>
      <w:r w:rsidRPr="00544AB7">
        <w:rPr>
          <w:rStyle w:val="Fontdeparagrafimplicit"/>
          <w:u w:val="single"/>
          <w:lang w:val="en-US"/>
        </w:rPr>
        <w:t>sub conducerea preşedintelui anterior</w:t>
      </w:r>
      <w:r w:rsidRPr="00544AB7">
        <w:rPr>
          <w:rStyle w:val="Fontdeparagrafimplicit"/>
          <w:lang w:val="en-US"/>
        </w:rPr>
        <w:t>”) a avut suport legal.</w:t>
      </w:r>
    </w:p>
    <w:p w:rsidRPr="00544AB7" w:rsidR="00D41C6E">
      <w:pPr>
        <w:ind w:firstLine="708"/>
        <w:jc w:val="both"/>
        <w:rPr>
          <w:rStyle w:val="Fontdeparagrafimplicit"/>
          <w:lang w:val="en-US"/>
        </w:rPr>
      </w:pPr>
      <w:r w:rsidRPr="00544AB7">
        <w:rPr>
          <w:rStyle w:val="Fontdeparagrafimplicit"/>
          <w:lang w:val="en-US"/>
        </w:rPr>
        <w:t xml:space="preserve">Date fiind consideraţiile de mai sus, devine inutilă analiza apărărilor pârâtei, cu privire la faptul ca atât la nivelul instituţiei, cât şi la nivelul Guvernului fuseseră demarate demersurile de numire a noului preşedinte al </w:t>
      </w:r>
      <w:r w:rsidRPr="00544AB7">
        <w:rPr>
          <w:rStyle w:val="Fontdeparagrafimplicit"/>
          <w:lang w:val="en-US"/>
        </w:rPr>
        <w:t>Consiliului,  precum</w:t>
      </w:r>
      <w:r w:rsidRPr="00544AB7">
        <w:rPr>
          <w:rStyle w:val="Fontdeparagrafimplicit"/>
          <w:lang w:val="en-US"/>
        </w:rPr>
        <w:t xml:space="preserve"> şi cu privire la consecinţele care s-ar fi produs dacă nu s-ar fi asigurat continuitatea activităţii instituţiei.</w:t>
      </w:r>
    </w:p>
    <w:p w:rsidRPr="00544AB7" w:rsidR="00D41C6E">
      <w:pPr>
        <w:pStyle w:val="Frspaiere"/>
        <w:ind w:firstLine="709"/>
        <w:jc w:val="both"/>
        <w:rPr>
          <w:rStyle w:val="Fontdeparagrafimplicit"/>
          <w:rFonts w:ascii="Times New Roman" w:hAnsi="Times New Roman"/>
          <w:i/>
          <w:sz w:val="24"/>
          <w:lang w:val="en-US"/>
        </w:rPr>
      </w:pPr>
      <w:r w:rsidRPr="00544AB7">
        <w:rPr>
          <w:rStyle w:val="Fontdeparagrafimplicit"/>
          <w:rFonts w:ascii="Times New Roman" w:hAnsi="Times New Roman"/>
          <w:i/>
          <w:sz w:val="24"/>
          <w:lang w:val="en-US"/>
        </w:rPr>
        <w:t xml:space="preserve">5. În ceea ce priveşte criticile referitoare la declaraţia de clementa a </w:t>
      </w:r>
      <w:r w:rsidRPr="00544AB7" w:rsidR="0018311F">
        <w:rPr>
          <w:rStyle w:val="Fontdeparagrafimplicit"/>
          <w:rFonts w:ascii="Times New Roman" w:hAnsi="Times New Roman"/>
          <w:i/>
          <w:sz w:val="24"/>
          <w:lang w:val="en-US"/>
        </w:rPr>
        <w:t>...X...</w:t>
      </w:r>
      <w:r w:rsidRPr="00544AB7">
        <w:rPr>
          <w:rStyle w:val="Fontdeparagrafimplicit"/>
          <w:rFonts w:ascii="Times New Roman" w:hAnsi="Times New Roman"/>
          <w:i/>
          <w:sz w:val="24"/>
          <w:lang w:val="en-US"/>
        </w:rPr>
        <w:t xml:space="preserve"> SRL</w:t>
      </w:r>
    </w:p>
    <w:p w:rsidRPr="00544AB7" w:rsidR="00D41C6E">
      <w:pPr>
        <w:pStyle w:val="Frspaiere"/>
        <w:ind w:firstLine="709"/>
        <w:jc w:val="both"/>
        <w:rPr>
          <w:rStyle w:val="Fontdeparagrafimplicit"/>
          <w:rFonts w:ascii="Times New Roman" w:hAnsi="Times New Roman"/>
          <w:sz w:val="24"/>
        </w:rPr>
      </w:pPr>
      <w:r w:rsidRPr="00544AB7">
        <w:rPr>
          <w:rStyle w:val="Fontdeparagrafimplicit"/>
          <w:rFonts w:ascii="Times New Roman" w:hAnsi="Times New Roman"/>
          <w:sz w:val="24"/>
        </w:rPr>
        <w:t xml:space="preserve">Sub acest aspect, reclamanta a afirmat, în esenţă, faptul că actul de sesizare a Consiliului Concurenței a fost reprezentat de cererea de clemență formulată de </w:t>
      </w:r>
      <w:r w:rsidRPr="00544AB7" w:rsidR="0018311F">
        <w:rPr>
          <w:rStyle w:val="Fontdeparagrafimplicit"/>
          <w:rFonts w:ascii="Times New Roman" w:hAnsi="Times New Roman"/>
          <w:sz w:val="24"/>
        </w:rPr>
        <w:t>...X...</w:t>
      </w:r>
      <w:r w:rsidRPr="00544AB7">
        <w:rPr>
          <w:rStyle w:val="Fontdeparagrafimplicit"/>
          <w:rFonts w:ascii="Times New Roman" w:hAnsi="Times New Roman"/>
          <w:sz w:val="24"/>
        </w:rPr>
        <w:t xml:space="preserve">, prin reprezentatul acesteia - doamna </w:t>
      </w:r>
      <w:r w:rsidRPr="00544AB7" w:rsidR="00F75C41">
        <w:rPr>
          <w:rStyle w:val="Fontdeparagrafimplicit"/>
          <w:rFonts w:ascii="Times New Roman" w:hAnsi="Times New Roman"/>
          <w:sz w:val="24"/>
        </w:rPr>
        <w:t>...R...</w:t>
      </w:r>
      <w:r w:rsidRPr="00544AB7">
        <w:rPr>
          <w:rStyle w:val="Fontdeparagrafimplicit"/>
          <w:rFonts w:ascii="Times New Roman" w:hAnsi="Times New Roman"/>
          <w:sz w:val="24"/>
        </w:rPr>
        <w:t xml:space="preserve"> - la data de 10.08.2017, dar că aceasta </w:t>
      </w:r>
      <w:r w:rsidRPr="00544AB7">
        <w:rPr>
          <w:rStyle w:val="Fontdeparagrafimplicit"/>
          <w:rFonts w:ascii="Times New Roman" w:hAnsi="Times New Roman"/>
          <w:sz w:val="24"/>
          <w:lang w:val="en-US"/>
        </w:rPr>
        <w:t xml:space="preserve">nu poate fi luată în considerare, neavând o relevanţă probatorie, date fiind anumite împrejurări legate de doamna </w:t>
      </w:r>
      <w:r w:rsidRPr="00544AB7" w:rsidR="00F75C41">
        <w:rPr>
          <w:rStyle w:val="Fontdeparagrafimplicit"/>
          <w:rFonts w:ascii="Times New Roman" w:hAnsi="Times New Roman"/>
          <w:sz w:val="24"/>
        </w:rPr>
        <w:t>...R...</w:t>
      </w:r>
      <w:r w:rsidRPr="00544AB7">
        <w:rPr>
          <w:rStyle w:val="Fontdeparagrafimplicit"/>
          <w:rFonts w:ascii="Times New Roman" w:hAnsi="Times New Roman"/>
          <w:sz w:val="24"/>
        </w:rPr>
        <w:t>.</w:t>
      </w:r>
    </w:p>
    <w:p w:rsidRPr="00544AB7" w:rsidR="00D41C6E">
      <w:pPr>
        <w:pStyle w:val="Frspaiere"/>
        <w:ind w:firstLine="709"/>
        <w:jc w:val="both"/>
        <w:rPr>
          <w:rStyle w:val="Fontdeparagrafimplicit"/>
          <w:rFonts w:ascii="Times New Roman" w:hAnsi="Times New Roman"/>
          <w:sz w:val="24"/>
        </w:rPr>
      </w:pPr>
      <w:r w:rsidRPr="00544AB7">
        <w:rPr>
          <w:rStyle w:val="Fontdeparagrafimplicit"/>
          <w:rFonts w:ascii="Times New Roman" w:hAnsi="Times New Roman"/>
          <w:sz w:val="24"/>
        </w:rPr>
        <w:t xml:space="preserve">Mai exact, se invocă faptul că, pe parcursul investigației, la un moment anterior datei de 31.03.2020, doamna </w:t>
      </w:r>
      <w:r w:rsidRPr="00544AB7" w:rsidR="00FC6A20">
        <w:rPr>
          <w:rStyle w:val="Fontdeparagrafimplicit"/>
          <w:rFonts w:ascii="Times New Roman" w:hAnsi="Times New Roman"/>
          <w:sz w:val="24"/>
        </w:rPr>
        <w:t>...R...</w:t>
      </w:r>
      <w:r w:rsidRPr="00544AB7">
        <w:rPr>
          <w:rStyle w:val="Fontdeparagrafimplicit"/>
          <w:rFonts w:ascii="Times New Roman" w:hAnsi="Times New Roman"/>
          <w:sz w:val="24"/>
        </w:rPr>
        <w:t xml:space="preserve"> a devenit inspector de concurență în cadrul Consiliului Concurenței, că aceasta are şi în prezent calitatea de acționar majoritar în </w:t>
      </w:r>
      <w:r w:rsidRPr="00544AB7" w:rsidR="0018311F">
        <w:rPr>
          <w:rStyle w:val="Fontdeparagrafimplicit"/>
          <w:rFonts w:ascii="Times New Roman" w:hAnsi="Times New Roman"/>
          <w:sz w:val="24"/>
        </w:rPr>
        <w:t>...X...</w:t>
      </w:r>
      <w:r w:rsidRPr="00544AB7">
        <w:rPr>
          <w:rStyle w:val="Fontdeparagrafimplicit"/>
          <w:rFonts w:ascii="Times New Roman" w:hAnsi="Times New Roman"/>
          <w:sz w:val="24"/>
        </w:rPr>
        <w:t xml:space="preserve">, deținând 55% din capitalul social subscris și vărsat, iar administratorul </w:t>
      </w:r>
      <w:r w:rsidRPr="00544AB7" w:rsidR="0018311F">
        <w:rPr>
          <w:rStyle w:val="Fontdeparagrafimplicit"/>
          <w:rFonts w:ascii="Times New Roman" w:hAnsi="Times New Roman"/>
          <w:sz w:val="24"/>
        </w:rPr>
        <w:t>...X...</w:t>
      </w:r>
      <w:r w:rsidRPr="00544AB7">
        <w:rPr>
          <w:rStyle w:val="Fontdeparagrafimplicit"/>
          <w:rFonts w:ascii="Times New Roman" w:hAnsi="Times New Roman"/>
          <w:sz w:val="24"/>
        </w:rPr>
        <w:t xml:space="preserve"> este, în prezent soțul acesteia, domnul </w:t>
      </w:r>
      <w:r w:rsidRPr="00544AB7" w:rsidR="00FC6A20">
        <w:rPr>
          <w:rStyle w:val="Fontdeparagrafimplicit"/>
          <w:rFonts w:ascii="Times New Roman" w:hAnsi="Times New Roman"/>
          <w:sz w:val="24"/>
        </w:rPr>
        <w:t>...K...</w:t>
      </w:r>
      <w:r w:rsidRPr="00544AB7">
        <w:rPr>
          <w:rStyle w:val="Fontdeparagrafimplicit"/>
          <w:rFonts w:ascii="Times New Roman" w:hAnsi="Times New Roman"/>
          <w:sz w:val="24"/>
        </w:rPr>
        <w:t xml:space="preserve">. </w:t>
      </w:r>
    </w:p>
    <w:p w:rsidRPr="00544AB7" w:rsidR="00D41C6E">
      <w:pPr>
        <w:ind w:firstLine="708"/>
        <w:jc w:val="both"/>
      </w:pPr>
      <w:r w:rsidRPr="00544AB7">
        <w:t xml:space="preserve">Cu toate acestea, doamna </w:t>
      </w:r>
      <w:r w:rsidRPr="00544AB7" w:rsidR="00FC6A20">
        <w:t>...R...</w:t>
      </w:r>
      <w:r w:rsidRPr="00544AB7">
        <w:t xml:space="preserve"> se prezintă în piață ca administrator al </w:t>
      </w:r>
      <w:r w:rsidRPr="00544AB7" w:rsidR="0018311F">
        <w:t>...X...</w:t>
      </w:r>
      <w:r w:rsidRPr="00544AB7">
        <w:t>, după cum reiese de pe pagina acesteia de pe platforma online “Linkedin”, platformă pe care este activă în prezent, având activitate constantă.</w:t>
      </w:r>
    </w:p>
    <w:p w:rsidRPr="00544AB7" w:rsidR="00D41C6E">
      <w:pPr>
        <w:ind w:firstLine="708"/>
        <w:jc w:val="both"/>
      </w:pPr>
      <w:r w:rsidRPr="00544AB7">
        <w:t xml:space="preserve">De asemenea, </w:t>
      </w:r>
      <w:r w:rsidRPr="00544AB7" w:rsidR="00F75C41">
        <w:t>...R...</w:t>
      </w:r>
      <w:r w:rsidRPr="00544AB7">
        <w:t xml:space="preserve"> a fost și Secretar General al </w:t>
      </w:r>
      <w:r w:rsidRPr="00544AB7" w:rsidR="0075748D">
        <w:t>...W*...</w:t>
      </w:r>
      <w:r w:rsidRPr="00544AB7">
        <w:t xml:space="preserve">, în perioada 2004-2016, iar în cursul anului 2015, în cadrul unei întâlniri </w:t>
      </w:r>
      <w:r w:rsidRPr="00544AB7" w:rsidR="0075748D">
        <w:t>...W*...</w:t>
      </w:r>
      <w:r w:rsidRPr="00544AB7">
        <w:t xml:space="preserve">, membrii acesteia au decis demiterea ei din funcția de secretar general, creând, astfel, o situație tensionată între membrii </w:t>
      </w:r>
      <w:r w:rsidRPr="00544AB7" w:rsidR="0075748D">
        <w:t>...W*...</w:t>
      </w:r>
      <w:r w:rsidRPr="00544AB7">
        <w:t xml:space="preserve"> și doamna </w:t>
      </w:r>
      <w:r w:rsidRPr="00544AB7" w:rsidR="00FC6A20">
        <w:t>...R...</w:t>
      </w:r>
      <w:r w:rsidRPr="00544AB7">
        <w:t>.</w:t>
      </w:r>
    </w:p>
    <w:p w:rsidRPr="00544AB7" w:rsidR="00D41C6E">
      <w:pPr>
        <w:ind w:firstLine="708"/>
        <w:jc w:val="both"/>
      </w:pPr>
      <w:r w:rsidRPr="00544AB7">
        <w:t xml:space="preserve">Ulterior, în cursul anului 2016, </w:t>
      </w:r>
      <w:r w:rsidRPr="00544AB7" w:rsidR="0075748D">
        <w:t>...W*...</w:t>
      </w:r>
      <w:r w:rsidRPr="00544AB7">
        <w:t xml:space="preserve"> a renunțat la serviciile </w:t>
      </w:r>
      <w:r w:rsidRPr="00544AB7" w:rsidR="0018311F">
        <w:t>...X...</w:t>
      </w:r>
      <w:r w:rsidRPr="00544AB7">
        <w:t xml:space="preserve">. </w:t>
      </w:r>
    </w:p>
    <w:p w:rsidRPr="00544AB7" w:rsidR="00D41C6E">
      <w:pPr>
        <w:ind w:firstLine="708"/>
        <w:jc w:val="both"/>
      </w:pPr>
      <w:r w:rsidRPr="00544AB7">
        <w:t xml:space="preserve">Reclamanta susţine că, potrivit jurisprudenței europene, Manualului de proceduri în domeniul Concurenței pentru aplicarea articolelor 101 și 102 din TFUE şi regulilor de procedură civilă aplicabile la nivel național, pentru a putea lua în considerare un document în domeniul concurenței este necesară analiza prealabilă a credibilității acestuia, cu luarea în considerare a tuturor criteriilor ce au stat la baza emiterii lui, dar și a conținutului actului în cauză. </w:t>
      </w:r>
    </w:p>
    <w:p w:rsidRPr="00544AB7" w:rsidR="00D41C6E">
      <w:pPr>
        <w:ind w:firstLine="708"/>
        <w:jc w:val="both"/>
      </w:pPr>
      <w:r w:rsidRPr="00544AB7">
        <w:t xml:space="preserve">Or, în cazul de față, există suficiente elemente și indicii la dosarul cauzei care să șubrezească credibilitatea declarației de clemență formulată de doamna </w:t>
      </w:r>
      <w:r w:rsidRPr="00544AB7" w:rsidR="00FC6A20">
        <w:t>...R...</w:t>
      </w:r>
      <w:r w:rsidRPr="00544AB7">
        <w:t>, chiar dacă s-ar accepta că ar putea fi considerat și ca posibil mijloc de probă, așa cum invocă în cauză Consiliul Concurenței.</w:t>
      </w:r>
    </w:p>
    <w:p w:rsidRPr="00544AB7" w:rsidR="00D41C6E">
      <w:pPr>
        <w:ind w:firstLine="708"/>
        <w:jc w:val="both"/>
      </w:pPr>
      <w:r w:rsidRPr="00544AB7">
        <w:t xml:space="preserve">În ceea ce priveşte fondul declaraţiei, reclamanta afirmă că ea conţine fie afirmaţii generale, fie speculaţii şi, în orice caz, are un profund caracter subiectiv, neavând credibilitate şi necoroborându-se cu alte probe care să emane de la alte persoane decât </w:t>
      </w:r>
      <w:r w:rsidRPr="00544AB7" w:rsidR="0018311F">
        <w:t>...X...</w:t>
      </w:r>
      <w:r w:rsidRPr="00544AB7">
        <w:t xml:space="preserve"> SRL.</w:t>
      </w:r>
    </w:p>
    <w:p w:rsidRPr="00544AB7" w:rsidR="00D41C6E">
      <w:pPr>
        <w:ind w:firstLine="708"/>
        <w:jc w:val="both"/>
      </w:pPr>
      <w:r w:rsidRPr="00544AB7">
        <w:t xml:space="preserve">Menţionează că însăşi </w:t>
      </w:r>
      <w:r w:rsidRPr="00544AB7" w:rsidR="0018311F">
        <w:t>...X...</w:t>
      </w:r>
      <w:r w:rsidRPr="00544AB7">
        <w:t xml:space="preserve"> SRL recunoaşte lipsa de relevanţă a propriilor declaraţii date prin intermediul doamnei </w:t>
      </w:r>
      <w:r w:rsidRPr="00544AB7" w:rsidR="00F75C41">
        <w:t>...R...</w:t>
      </w:r>
      <w:r w:rsidRPr="00544AB7">
        <w:t xml:space="preserve"> din moment ce, în urma unei solicitări de informații suplimentare, domnul </w:t>
      </w:r>
      <w:r w:rsidRPr="00544AB7" w:rsidR="00FC6A20">
        <w:t>...K...</w:t>
      </w:r>
      <w:r w:rsidRPr="00544AB7">
        <w:t xml:space="preserve"> a răspuns prin adresa nr. </w:t>
      </w:r>
      <w:r w:rsidRPr="00544AB7" w:rsidR="002C0774">
        <w:t>..../..../10/14.07.2020</w:t>
      </w:r>
      <w:r w:rsidRPr="00544AB7">
        <w:t xml:space="preserve">, în care, printre altele, a precizat că “responsabil direct pentru relația cu membrii </w:t>
      </w:r>
      <w:r w:rsidRPr="00544AB7" w:rsidR="0075748D">
        <w:t>...W*...</w:t>
      </w:r>
      <w:r w:rsidRPr="00544AB7">
        <w:t xml:space="preserve"> in domeniul pregătirii rapoartelor periodice este dl. </w:t>
      </w:r>
      <w:r w:rsidRPr="00544AB7" w:rsidR="004C2395">
        <w:t>...T...</w:t>
      </w:r>
      <w:r w:rsidRPr="00544AB7">
        <w:t>, care va poate oferi eventuale alte detalii.”</w:t>
      </w:r>
    </w:p>
    <w:p w:rsidRPr="00544AB7" w:rsidR="00D41C6E">
      <w:pPr>
        <w:ind w:firstLine="708"/>
        <w:jc w:val="both"/>
        <w:rPr>
          <w:rStyle w:val="Fontdeparagrafimplicit"/>
          <w:lang w:val="en-US"/>
        </w:rPr>
      </w:pPr>
      <w:r w:rsidRPr="00544AB7">
        <w:t>Curtea constată că această critică a reclamantei este neîntemeiată, pentru argumentele ce vor fi expuse în continuare.</w:t>
      </w:r>
    </w:p>
    <w:p w:rsidRPr="00544AB7" w:rsidR="00D41C6E">
      <w:pPr>
        <w:ind w:firstLine="708"/>
        <w:jc w:val="both"/>
        <w:rPr>
          <w:rStyle w:val="Fontdeparagrafimplicit"/>
          <w:lang w:val="en-US"/>
        </w:rPr>
      </w:pPr>
      <w:r w:rsidRPr="00544AB7">
        <w:rPr>
          <w:rStyle w:val="Fontdeparagrafimplicit"/>
          <w:lang w:val="en-US"/>
        </w:rPr>
        <w:t xml:space="preserve">Dupa cum rezultă din paragrafele 388-395 din decizia contestată, probele avute în vedere de Consiliu, pentru a retine în sarcina reclamantei săvârşirea faptei anticoncurenţiale, nu includ afirmaţiile făcute de </w:t>
      </w:r>
      <w:r w:rsidRPr="00544AB7" w:rsidR="0018311F">
        <w:rPr>
          <w:rStyle w:val="Fontdeparagrafimplicit"/>
          <w:lang w:val="en-US"/>
        </w:rPr>
        <w:t>...X...</w:t>
      </w:r>
      <w:r w:rsidRPr="00544AB7">
        <w:rPr>
          <w:rStyle w:val="Fontdeparagrafimplicit"/>
          <w:lang w:val="en-US"/>
        </w:rPr>
        <w:t xml:space="preserve"> în cadrul declaraţiei de clemenţă, ci constau în înscrisuri ridicate de la această societate, respectiv:</w:t>
      </w:r>
    </w:p>
    <w:p w:rsidRPr="00544AB7" w:rsidR="00D41C6E">
      <w:pPr>
        <w:ind w:firstLine="708"/>
        <w:jc w:val="both"/>
        <w:rPr>
          <w:rStyle w:val="Fontdeparagrafimplicit"/>
          <w:lang w:val="en-US"/>
        </w:rPr>
      </w:pPr>
      <w:r w:rsidRPr="00544AB7">
        <w:rPr>
          <w:rStyle w:val="Fontdeparagrafimplicit"/>
          <w:lang w:val="en-US"/>
        </w:rPr>
        <w:t xml:space="preserve">-emailul transmis de </w:t>
      </w:r>
      <w:r w:rsidRPr="00544AB7" w:rsidR="004C2395">
        <w:rPr>
          <w:rStyle w:val="Fontdeparagrafimplicit"/>
          <w:lang w:val="en-US"/>
        </w:rPr>
        <w:t>...T...</w:t>
      </w:r>
      <w:r w:rsidRPr="00544AB7">
        <w:rPr>
          <w:rStyle w:val="Fontdeparagrafimplicit"/>
          <w:lang w:val="en-US"/>
        </w:rPr>
        <w:t xml:space="preserve"> (din cadrul </w:t>
      </w:r>
      <w:r w:rsidRPr="00544AB7" w:rsidR="0018311F">
        <w:rPr>
          <w:rStyle w:val="Fontdeparagrafimplicit"/>
          <w:lang w:val="en-US"/>
        </w:rPr>
        <w:t>...X...</w:t>
      </w:r>
      <w:r w:rsidRPr="00544AB7">
        <w:rPr>
          <w:rStyle w:val="Fontdeparagrafimplicit"/>
          <w:lang w:val="en-US"/>
        </w:rPr>
        <w:t xml:space="preserve">), în data de 23.01.2014, catre membrii </w:t>
      </w:r>
      <w:r w:rsidRPr="00544AB7" w:rsidR="0075748D">
        <w:rPr>
          <w:rStyle w:val="Fontdeparagrafimplicit"/>
          <w:lang w:val="en-US"/>
        </w:rPr>
        <w:t>...W*...</w:t>
      </w:r>
      <w:r w:rsidRPr="00544AB7">
        <w:rPr>
          <w:rStyle w:val="Fontdeparagrafimplicit"/>
          <w:lang w:val="en-US"/>
        </w:rPr>
        <w:t xml:space="preserve"> (printre care şi reclamantei, la adresele </w:t>
      </w:r>
      <w:r w:rsidRPr="00544AB7" w:rsidR="006D72B4">
        <w:rPr>
          <w:rStyle w:val="Fontdeparagrafimplicit"/>
          <w:lang w:val="en-US"/>
        </w:rPr>
        <w:t>..............</w:t>
      </w:r>
      <w:r w:rsidRPr="00544AB7">
        <w:rPr>
          <w:rStyle w:val="Fontdeparagrafimplicit"/>
          <w:lang w:val="en-US"/>
        </w:rPr>
        <w:t>@</w:t>
      </w:r>
      <w:r w:rsidRPr="00544AB7" w:rsidR="006D72B4">
        <w:rPr>
          <w:rStyle w:val="Fontdeparagrafimplicit"/>
          <w:lang w:val="en-US"/>
        </w:rPr>
        <w:t>..............</w:t>
      </w:r>
      <w:r w:rsidRPr="00544AB7">
        <w:rPr>
          <w:rStyle w:val="Fontdeparagrafimplicit"/>
          <w:lang w:val="en-US"/>
        </w:rPr>
        <w:t xml:space="preserve">.ro şi </w:t>
      </w:r>
      <w:hyperlink w:history="1" r:id="rId4">
        <w:r w:rsidRPr="00544AB7" w:rsidR="006D72B4">
          <w:rPr>
            <w:rStyle w:val="Fontdeparagrafimplicit"/>
            <w:color w:val="0563C1"/>
            <w:u w:val="single"/>
            <w:lang w:val="en-US"/>
          </w:rPr>
          <w:t>..............</w:t>
        </w:r>
        <w:r w:rsidRPr="00544AB7">
          <w:rPr>
            <w:rStyle w:val="Fontdeparagrafimplicit"/>
            <w:color w:val="0563C1"/>
            <w:u w:val="single"/>
            <w:lang w:val="en-US"/>
          </w:rPr>
          <w:t>@</w:t>
        </w:r>
        <w:r w:rsidRPr="00544AB7" w:rsidR="006D72B4">
          <w:rPr>
            <w:rStyle w:val="Fontdeparagrafimplicit"/>
            <w:color w:val="0563C1"/>
            <w:u w:val="single"/>
            <w:lang w:val="en-US"/>
          </w:rPr>
          <w:t>..............</w:t>
        </w:r>
        <w:r w:rsidRPr="00544AB7">
          <w:rPr>
            <w:rStyle w:val="Fontdeparagrafimplicit"/>
            <w:color w:val="0563C1"/>
            <w:u w:val="single"/>
            <w:lang w:val="en-US"/>
          </w:rPr>
          <w:t>.ro</w:t>
        </w:r>
      </w:hyperlink>
      <w:r w:rsidRPr="00544AB7">
        <w:rPr>
          <w:rStyle w:val="Fontdeparagrafimplicit"/>
          <w:lang w:val="en-US"/>
        </w:rPr>
        <w:t>) prin care li se solicită acestora completarea tabelului cu diversi indicatori, printre care şi volumul estimat aferent anului 2014.  A se vedea în acest sens, paragraful 216 din decizie.</w:t>
      </w:r>
    </w:p>
    <w:p w:rsidRPr="00544AB7" w:rsidR="00D41C6E">
      <w:pPr>
        <w:ind w:firstLine="708"/>
        <w:jc w:val="both"/>
        <w:rPr>
          <w:rStyle w:val="Fontdeparagrafimplicit"/>
          <w:lang w:val="en-US"/>
        </w:rPr>
      </w:pPr>
      <w:r w:rsidRPr="00544AB7">
        <w:rPr>
          <w:rStyle w:val="Fontdeparagrafimplicit"/>
          <w:lang w:val="en-US"/>
        </w:rPr>
        <w:t xml:space="preserve"> - tabelul intocmit de </w:t>
      </w:r>
      <w:r w:rsidRPr="00544AB7" w:rsidR="0018311F">
        <w:rPr>
          <w:rStyle w:val="Fontdeparagrafimplicit"/>
          <w:lang w:val="en-US"/>
        </w:rPr>
        <w:t>...X...</w:t>
      </w:r>
      <w:r w:rsidRPr="00544AB7">
        <w:rPr>
          <w:rStyle w:val="Fontdeparagrafimplicit"/>
          <w:lang w:val="en-US"/>
        </w:rPr>
        <w:t xml:space="preserve">  în trimestrul IV 2013, intitulat “Institutional Info</w:t>
      </w:r>
      <w:r w:rsidRPr="00544AB7">
        <w:rPr>
          <w:rStyle w:val="Fontdeparagrafimplicit"/>
          <w:lang w:val="en-US"/>
        </w:rPr>
        <w:t>”,  care</w:t>
      </w:r>
      <w:r w:rsidRPr="00544AB7">
        <w:rPr>
          <w:rStyle w:val="Fontdeparagrafimplicit"/>
          <w:lang w:val="en-US"/>
        </w:rPr>
        <w:t xml:space="preserve"> conţinea şi rubrica  “Estimarea volumului nou finantat în 2014”, ridicat fizic de la sediul </w:t>
      </w:r>
      <w:r w:rsidRPr="00544AB7" w:rsidR="0018311F">
        <w:rPr>
          <w:rStyle w:val="Fontdeparagrafimplicit"/>
          <w:lang w:val="en-US"/>
        </w:rPr>
        <w:t>...X...</w:t>
      </w:r>
      <w:r w:rsidRPr="00544AB7">
        <w:rPr>
          <w:rStyle w:val="Fontdeparagrafimplicit"/>
          <w:lang w:val="en-US"/>
        </w:rPr>
        <w:t xml:space="preserve"> (filele 71-77 decizie).</w:t>
      </w:r>
    </w:p>
    <w:p w:rsidRPr="00544AB7" w:rsidR="00D41C6E">
      <w:pPr>
        <w:ind w:firstLine="708"/>
        <w:jc w:val="both"/>
        <w:rPr>
          <w:rStyle w:val="Fontdeparagrafimplicit"/>
          <w:lang w:val="en-US"/>
        </w:rPr>
      </w:pPr>
      <w:r w:rsidRPr="00544AB7">
        <w:rPr>
          <w:rStyle w:val="Fontdeparagrafimplicit"/>
          <w:lang w:val="en-US"/>
        </w:rPr>
        <w:t xml:space="preserve">- tabelul intitulat “Raportari 31.12.2013”, semnat de împuternicitul reclamantei, </w:t>
      </w:r>
      <w:r w:rsidRPr="00544AB7" w:rsidR="006D72B4">
        <w:rPr>
          <w:rStyle w:val="Fontdeparagrafimplicit"/>
          <w:lang w:val="en-US"/>
        </w:rPr>
        <w:t>...B.4</w:t>
      </w:r>
      <w:r w:rsidRPr="00544AB7" w:rsidR="006D72B4">
        <w:rPr>
          <w:rStyle w:val="Fontdeparagrafimplicit"/>
          <w:lang w:val="en-US"/>
        </w:rPr>
        <w:t>...</w:t>
      </w:r>
      <w:r w:rsidRPr="00544AB7">
        <w:rPr>
          <w:rStyle w:val="Fontdeparagrafimplicit"/>
          <w:lang w:val="en-US"/>
        </w:rPr>
        <w:t>,  în</w:t>
      </w:r>
      <w:r w:rsidRPr="00544AB7">
        <w:rPr>
          <w:rStyle w:val="Fontdeparagrafimplicit"/>
          <w:lang w:val="en-US"/>
        </w:rPr>
        <w:t xml:space="preserve"> data de 10.03.2014, la poziţia 16 din tabel   (fila 79 decizie).</w:t>
      </w:r>
    </w:p>
    <w:p w:rsidRPr="00544AB7" w:rsidR="00D41C6E">
      <w:pPr>
        <w:ind w:firstLine="708"/>
        <w:jc w:val="both"/>
        <w:rPr>
          <w:rStyle w:val="Fontdeparagrafimplicit"/>
          <w:lang w:val="en-US"/>
        </w:rPr>
      </w:pPr>
      <w:r w:rsidRPr="00544AB7">
        <w:rPr>
          <w:rStyle w:val="Fontdeparagrafimplicit"/>
          <w:lang w:val="en-US"/>
        </w:rPr>
        <w:t>- împuterniciri şi procese verbale de ridicare a unor alte tabele, aferente unor perioade ce excedează trimestrului I 2014, aceste mijloace de proba având doar rolul de a contextualiza fapta.</w:t>
      </w:r>
    </w:p>
    <w:p w:rsidRPr="00544AB7" w:rsidR="00D41C6E">
      <w:pPr>
        <w:ind w:firstLine="708"/>
        <w:jc w:val="both"/>
        <w:rPr>
          <w:rStyle w:val="Fontdeparagrafimplicit"/>
          <w:lang w:val="en-US"/>
        </w:rPr>
      </w:pPr>
      <w:r w:rsidRPr="00544AB7">
        <w:rPr>
          <w:rStyle w:val="Fontdeparagrafimplicit"/>
          <w:lang w:val="en-US"/>
        </w:rPr>
        <w:t xml:space="preserve">Este, într-adevăr, teoretic, posibil, ca afirmaţiile făcute de reprezentanţii </w:t>
      </w:r>
      <w:r w:rsidRPr="00544AB7" w:rsidR="0018311F">
        <w:rPr>
          <w:rStyle w:val="Fontdeparagrafimplicit"/>
          <w:lang w:val="en-US"/>
        </w:rPr>
        <w:t>...X...</w:t>
      </w:r>
      <w:r w:rsidRPr="00544AB7">
        <w:rPr>
          <w:rStyle w:val="Fontdeparagrafimplicit"/>
          <w:lang w:val="en-US"/>
        </w:rPr>
        <w:t xml:space="preserve"> (iniţial </w:t>
      </w:r>
      <w:r w:rsidRPr="00544AB7" w:rsidR="00F75C41">
        <w:rPr>
          <w:rStyle w:val="Fontdeparagrafimplicit"/>
          <w:lang w:val="en-US"/>
        </w:rPr>
        <w:t>...R...</w:t>
      </w:r>
      <w:r w:rsidRPr="00544AB7">
        <w:rPr>
          <w:rStyle w:val="Fontdeparagrafimplicit"/>
          <w:lang w:val="en-US"/>
        </w:rPr>
        <w:t xml:space="preserve">, iar ulterior, după ce aceasta a dobândit calitatea de inspector de concurenţă, de către soţul acesteia, </w:t>
      </w:r>
      <w:r w:rsidRPr="00544AB7" w:rsidR="00FC6A20">
        <w:rPr>
          <w:rStyle w:val="Fontdeparagrafimplicit"/>
          <w:lang w:val="en-US"/>
        </w:rPr>
        <w:t>...K...</w:t>
      </w:r>
      <w:r w:rsidRPr="00544AB7">
        <w:rPr>
          <w:rStyle w:val="Fontdeparagrafimplicit"/>
          <w:lang w:val="en-US"/>
        </w:rPr>
        <w:t xml:space="preserve">), în cadrul declaraţiei de clemenţă, precum şi în cadrul răspunsurilor la diferitele solicitări adresate de Consilul Concurentei, să fi fost avute în vedere de Consiliu, atunci când a analizat caracterul esenţial, sensibil al informaţiilor schimbate de societăţile de leasing, observându-se, într-adevăr, că </w:t>
      </w:r>
      <w:r w:rsidRPr="00544AB7" w:rsidR="0018311F">
        <w:rPr>
          <w:rStyle w:val="Fontdeparagrafimplicit"/>
          <w:lang w:val="en-US"/>
        </w:rPr>
        <w:t>...X...</w:t>
      </w:r>
      <w:r w:rsidRPr="00544AB7">
        <w:rPr>
          <w:rStyle w:val="Fontdeparagrafimplicit"/>
          <w:lang w:val="en-US"/>
        </w:rPr>
        <w:t xml:space="preserve"> a prezentat opinia sa asupra felului în care societăţile de leasing puteau folosi informaţiile primite (par.547-566 din decizie), însă lecturarea ansamblului deciziei nu duce la concluzia existenţei unei legături clare şi directe între opiniile exprimate de </w:t>
      </w:r>
      <w:r w:rsidRPr="00544AB7" w:rsidR="00F66AF9">
        <w:rPr>
          <w:rStyle w:val="Fontdeparagrafimplicit"/>
          <w:lang w:val="en-US"/>
        </w:rPr>
        <w:t>...X...</w:t>
      </w:r>
      <w:r w:rsidRPr="00544AB7">
        <w:rPr>
          <w:rStyle w:val="Fontdeparagrafimplicit"/>
          <w:lang w:val="en-US"/>
        </w:rPr>
        <w:t xml:space="preserve"> şi concluziile Consiliului.</w:t>
      </w:r>
    </w:p>
    <w:p w:rsidRPr="00544AB7" w:rsidR="00D41C6E">
      <w:pPr>
        <w:ind w:firstLine="708"/>
        <w:jc w:val="both"/>
        <w:rPr>
          <w:rStyle w:val="Fontdeparagrafimplicit"/>
          <w:lang w:val="en-US"/>
        </w:rPr>
      </w:pPr>
      <w:r w:rsidRPr="00544AB7">
        <w:rPr>
          <w:rStyle w:val="Fontdeparagrafimplicit"/>
          <w:lang w:val="en-US"/>
        </w:rPr>
        <w:t xml:space="preserve">Se observă că decizia menţionează în mod distinct opiniile </w:t>
      </w:r>
      <w:r w:rsidRPr="00544AB7" w:rsidR="0018311F">
        <w:rPr>
          <w:rStyle w:val="Fontdeparagrafimplicit"/>
          <w:lang w:val="en-US"/>
        </w:rPr>
        <w:t>...X...</w:t>
      </w:r>
      <w:r w:rsidRPr="00544AB7">
        <w:rPr>
          <w:rStyle w:val="Fontdeparagrafimplicit"/>
          <w:lang w:val="en-US"/>
        </w:rPr>
        <w:t xml:space="preserve"> </w:t>
      </w:r>
      <w:r w:rsidRPr="00544AB7">
        <w:rPr>
          <w:rStyle w:val="Fontdeparagrafimplicit"/>
          <w:lang w:val="en-US"/>
        </w:rPr>
        <w:t>şi  propriile</w:t>
      </w:r>
      <w:r w:rsidRPr="00544AB7">
        <w:rPr>
          <w:rStyle w:val="Fontdeparagrafimplicit"/>
          <w:lang w:val="en-US"/>
        </w:rPr>
        <w:t xml:space="preserve"> opinii ale Consiliului (acestea din urmă având un grad mult mai mare de generalitate şi întemeindu-se preponderent pe referinţe la prevederile legale incidente, la Orientarile Comisiei Europene şi la diferite cauze relevante din jurisprudenţa comunitară).</w:t>
      </w:r>
    </w:p>
    <w:p w:rsidRPr="00544AB7" w:rsidR="00D41C6E">
      <w:pPr>
        <w:ind w:firstLine="708"/>
        <w:jc w:val="both"/>
        <w:rPr>
          <w:rStyle w:val="Fontdeparagrafimplicit"/>
          <w:lang w:val="en-US"/>
        </w:rPr>
      </w:pPr>
      <w:r w:rsidRPr="00544AB7">
        <w:rPr>
          <w:rStyle w:val="Fontdeparagrafimplicit"/>
          <w:lang w:val="en-US"/>
        </w:rPr>
        <w:t xml:space="preserve">Astfel, din lecturarea deciziei, se observă că pârâtul a dedicat multiple paragrafe argumentării caracterului sensibil şi anticoncurential al schimbului de informaţii, multe din aceste paragrafe fiind disparate, inserate pe tot parcursul deciziei, în timp ce corepondenţa purtată cu </w:t>
      </w:r>
      <w:r w:rsidRPr="00544AB7" w:rsidR="00F66AF9">
        <w:rPr>
          <w:rStyle w:val="Fontdeparagrafimplicit"/>
          <w:lang w:val="en-US"/>
        </w:rPr>
        <w:t>...X...</w:t>
      </w:r>
      <w:r w:rsidRPr="00544AB7">
        <w:rPr>
          <w:rStyle w:val="Fontdeparagrafimplicit"/>
          <w:lang w:val="en-US"/>
        </w:rPr>
        <w:t xml:space="preserve"> este reprodusă în mod compact, cu indicarea doar a celor relatate de reprezentanţii </w:t>
      </w:r>
      <w:r w:rsidRPr="00544AB7" w:rsidR="00F66AF9">
        <w:rPr>
          <w:rStyle w:val="Fontdeparagrafimplicit"/>
          <w:lang w:val="en-US"/>
        </w:rPr>
        <w:t>...X...</w:t>
      </w:r>
      <w:r w:rsidRPr="00544AB7">
        <w:rPr>
          <w:rStyle w:val="Fontdeparagrafimplicit"/>
          <w:lang w:val="en-US"/>
        </w:rPr>
        <w:t>, fără comentarii ale Consiliului cu privire la veridicitatea celor afirmate.</w:t>
      </w:r>
    </w:p>
    <w:p w:rsidRPr="00544AB7" w:rsidR="00D41C6E">
      <w:pPr>
        <w:ind w:firstLine="708"/>
        <w:jc w:val="both"/>
        <w:rPr>
          <w:rStyle w:val="Fontdeparagrafimplicit"/>
          <w:lang w:val="en-US"/>
        </w:rPr>
      </w:pPr>
      <w:r w:rsidRPr="00544AB7">
        <w:rPr>
          <w:rStyle w:val="Fontdeparagrafimplicit"/>
          <w:lang w:val="en-US"/>
        </w:rPr>
        <w:t xml:space="preserve">Cele expuse anterior au doar rolul de </w:t>
      </w:r>
      <w:r w:rsidRPr="00544AB7">
        <w:rPr>
          <w:rStyle w:val="Fontdeparagrafimplicit"/>
          <w:lang w:val="en-US"/>
        </w:rPr>
        <w:t>a</w:t>
      </w:r>
      <w:r w:rsidRPr="00544AB7">
        <w:rPr>
          <w:rStyle w:val="Fontdeparagrafimplicit"/>
          <w:lang w:val="en-US"/>
        </w:rPr>
        <w:t xml:space="preserve"> evidentia faptul ca pârâtul a formulat propriile sale considerente cu privire la relevanţa schimbului de informaţii, nu şi pe acela de a confirma că aceste considerente erau corecte.</w:t>
      </w:r>
      <w:r w:rsidRPr="00544AB7">
        <w:rPr>
          <w:rStyle w:val="Fontdeparagrafimplicit"/>
          <w:lang w:val="en-US"/>
        </w:rPr>
        <w:tab/>
      </w:r>
      <w:r w:rsidRPr="00544AB7">
        <w:rPr>
          <w:rStyle w:val="Fontdeparagrafimplicit"/>
          <w:lang w:val="en-US"/>
        </w:rPr>
        <w:tab/>
        <w:t xml:space="preserve">În consecinţă, analiza legalităţii constatărilor şi </w:t>
      </w:r>
      <w:r w:rsidRPr="00544AB7">
        <w:rPr>
          <w:rStyle w:val="Fontdeparagrafimplicit"/>
          <w:lang w:val="en-US"/>
        </w:rPr>
        <w:t>a  măsurilor</w:t>
      </w:r>
      <w:r w:rsidRPr="00544AB7">
        <w:rPr>
          <w:rStyle w:val="Fontdeparagrafimplicit"/>
          <w:lang w:val="en-US"/>
        </w:rPr>
        <w:t xml:space="preserve"> dispuse de Consiliul Concurenţei urmează a se realiza prin raportare la afirmaţiile proprii ale Consiliului şi la probele administrate de acesta în cadrul activităţii de investigaţie.</w:t>
      </w:r>
    </w:p>
    <w:p w:rsidRPr="00544AB7" w:rsidR="00D41C6E">
      <w:pPr>
        <w:ind w:firstLine="708"/>
        <w:jc w:val="both"/>
        <w:rPr>
          <w:rStyle w:val="Fontdeparagrafimplicit"/>
          <w:i/>
          <w:lang w:val="en-US"/>
        </w:rPr>
      </w:pPr>
      <w:r w:rsidRPr="00544AB7">
        <w:rPr>
          <w:rStyle w:val="Fontdeparagrafimplicit"/>
          <w:lang w:val="en-US"/>
        </w:rPr>
        <w:t>6.</w:t>
      </w:r>
      <w:r w:rsidRPr="00544AB7">
        <w:rPr>
          <w:rStyle w:val="Fontdeparagrafimplicit"/>
          <w:i/>
          <w:lang w:val="en-US"/>
        </w:rPr>
        <w:t xml:space="preserve"> În ceea ce priveşte criticile referitoare la</w:t>
      </w:r>
      <w:r w:rsidRPr="00544AB7">
        <w:t xml:space="preserve"> </w:t>
      </w:r>
      <w:r w:rsidRPr="00544AB7">
        <w:rPr>
          <w:rStyle w:val="Fontdeparagrafimplicit"/>
          <w:i/>
        </w:rPr>
        <w:t xml:space="preserve">Declarația de recunoaștere a </w:t>
      </w:r>
      <w:r w:rsidRPr="00544AB7" w:rsidR="004C2395">
        <w:rPr>
          <w:rStyle w:val="Fontdeparagrafimplicit"/>
          <w:i/>
        </w:rPr>
        <w:t>...Z...</w:t>
      </w:r>
    </w:p>
    <w:p w:rsidRPr="00544AB7" w:rsidR="00D41C6E">
      <w:pPr>
        <w:ind w:firstLine="708"/>
        <w:jc w:val="both"/>
        <w:rPr>
          <w:rStyle w:val="Fontdeparagrafimplicit"/>
          <w:lang w:val="en-US"/>
        </w:rPr>
      </w:pPr>
      <w:r w:rsidRPr="00544AB7">
        <w:rPr>
          <w:rStyle w:val="Fontdeparagrafimplicit"/>
          <w:lang w:val="en-US"/>
        </w:rPr>
        <w:t xml:space="preserve">Sub acest aspect, reclamanta </w:t>
      </w:r>
      <w:r w:rsidRPr="00544AB7">
        <w:rPr>
          <w:rStyle w:val="Fontdeparagrafimplicit"/>
          <w:lang w:val="en-US"/>
        </w:rPr>
        <w:t>a</w:t>
      </w:r>
      <w:r w:rsidRPr="00544AB7">
        <w:rPr>
          <w:rStyle w:val="Fontdeparagrafimplicit"/>
          <w:lang w:val="en-US"/>
        </w:rPr>
        <w:t xml:space="preserve"> afirmat că declaraţia de recunoaştere a </w:t>
      </w:r>
      <w:r w:rsidRPr="00544AB7" w:rsidR="004C2395">
        <w:rPr>
          <w:rStyle w:val="Fontdeparagrafimplicit"/>
          <w:lang w:val="en-US"/>
        </w:rPr>
        <w:t>...Z...</w:t>
      </w:r>
      <w:r w:rsidRPr="00544AB7">
        <w:rPr>
          <w:rStyle w:val="Fontdeparagrafimplicit"/>
          <w:lang w:val="en-US"/>
        </w:rPr>
        <w:t xml:space="preserve"> (procedura de recunoaştere fiind iniţiată de această societate la data de 30.07.2020, prin depunerea unei notificări prin care îşi manifestă intenţia de a face o astfel de recunoaştere) nu poate produce efecte juridice decât faţă de autorul recunoaşterii şi numai pentru faptele proprii acestuia, neputând constitui în sine un mijloc de probă în privinţa faptelor altor societăţi, decât în măsura în care se coroborează cu alte probe obiective.</w:t>
      </w:r>
    </w:p>
    <w:p w:rsidRPr="00544AB7" w:rsidR="00D41C6E">
      <w:pPr>
        <w:ind w:firstLine="708"/>
        <w:jc w:val="both"/>
        <w:rPr>
          <w:rStyle w:val="Fontdeparagrafimplicit"/>
          <w:lang w:val="en-US"/>
        </w:rPr>
      </w:pPr>
      <w:r w:rsidRPr="00544AB7">
        <w:rPr>
          <w:rStyle w:val="Fontdeparagrafimplicit"/>
          <w:lang w:val="en-US"/>
        </w:rPr>
        <w:t xml:space="preserve">Cu privire la această afirmaţie, curtea constată că se impune a face distincţie între mărturisire şi </w:t>
      </w:r>
      <w:r w:rsidRPr="00544AB7">
        <w:rPr>
          <w:rStyle w:val="Fontdeparagrafimplicit"/>
          <w:lang w:val="en-US"/>
        </w:rPr>
        <w:t>martori,  acestea</w:t>
      </w:r>
      <w:r w:rsidRPr="00544AB7">
        <w:rPr>
          <w:rStyle w:val="Fontdeparagrafimplicit"/>
          <w:lang w:val="en-US"/>
        </w:rPr>
        <w:t xml:space="preserve"> constituind mijloace de probă diferite (art.250 C.pr.civilă).</w:t>
      </w:r>
    </w:p>
    <w:p w:rsidRPr="00544AB7" w:rsidR="00D41C6E">
      <w:pPr>
        <w:ind w:firstLine="708"/>
        <w:jc w:val="both"/>
        <w:rPr>
          <w:rStyle w:val="Fontdeparagrafimplicit"/>
          <w:lang w:val="en-US"/>
        </w:rPr>
      </w:pPr>
      <w:r w:rsidRPr="00544AB7">
        <w:rPr>
          <w:rStyle w:val="Fontdeparagrafimplicit"/>
          <w:lang w:val="en-US"/>
        </w:rPr>
        <w:t>Astfel, în timp ce prin intermediul mărturisirii, partea recunoaşte propriile sale fapte, prin intermediul declaraţiei de martor, aceeaşi parte poate relata ceea ce cunoaşte despre faptele altor persoane.</w:t>
      </w:r>
    </w:p>
    <w:p w:rsidRPr="00544AB7" w:rsidR="00D41C6E">
      <w:pPr>
        <w:ind w:firstLine="708"/>
        <w:jc w:val="both"/>
        <w:rPr>
          <w:rStyle w:val="Fontdeparagrafimplicit"/>
          <w:lang w:val="en-US"/>
        </w:rPr>
      </w:pPr>
      <w:r w:rsidRPr="00544AB7">
        <w:rPr>
          <w:rStyle w:val="Fontdeparagrafimplicit"/>
          <w:lang w:val="en-US"/>
        </w:rPr>
        <w:t>Ca atare, este posibil ca, în cadrul procedurii de recunoaştere, o societate să aducă la cunoştinţa Consiliului Concurenţei atât propriile sale fapte anticoncurenţiale (pe calea declaraţiei de recunoaştere) şi, în acelaşi timp, să relateze aspectele cunoscute direct sau indirect despre faptele altor posibili participanţi la comportamentul anticoncurenţial.</w:t>
      </w:r>
    </w:p>
    <w:p w:rsidRPr="00544AB7" w:rsidR="00D41C6E">
      <w:pPr>
        <w:ind w:firstLine="708"/>
        <w:jc w:val="both"/>
      </w:pPr>
      <w:r w:rsidRPr="00544AB7">
        <w:rPr>
          <w:rStyle w:val="Fontdeparagrafimplicit"/>
          <w:lang w:val="en-US"/>
        </w:rPr>
        <w:t xml:space="preserve">În aceasta situaţie, în mod evident, declaraţia de recunoaştere a propriilor fapte nu va putea produce efecte juridice decât faţă de cel care a recunoscut, respectiv societatea </w:t>
      </w:r>
      <w:r w:rsidRPr="00544AB7" w:rsidR="004C2395">
        <w:t>...Z...</w:t>
      </w:r>
      <w:r w:rsidRPr="00544AB7">
        <w:t>, în timp ce afirmaţiile făcute despre alte persoane pot constitui mijloc de probă împotriva acestora din urmă, valoarea probatorie a respectivelor afirmaţii urmând a fi apreciată în contextul întregului material probator, adică prin raportare şi la eventualele alte mijloace de probă referitoare la respectivii terţi.</w:t>
      </w:r>
    </w:p>
    <w:p w:rsidRPr="00544AB7" w:rsidR="00D41C6E">
      <w:pPr>
        <w:ind w:firstLine="708"/>
        <w:jc w:val="both"/>
      </w:pPr>
      <w:r w:rsidRPr="00544AB7">
        <w:t xml:space="preserve">Ca atare, problema care se ridică în speţă nu este aceea de stabili efectul declaraţiei de recunoaştere a </w:t>
      </w:r>
      <w:r w:rsidRPr="00544AB7" w:rsidR="004C2395">
        <w:t>...Z...</w:t>
      </w:r>
      <w:r w:rsidRPr="00544AB7">
        <w:t xml:space="preserve">, ci de a stabili dacă </w:t>
      </w:r>
      <w:r w:rsidRPr="00544AB7" w:rsidR="004C2395">
        <w:t>...Z...</w:t>
      </w:r>
      <w:r w:rsidRPr="00544AB7">
        <w:t xml:space="preserve"> a făcut afirmaţii sau a furnizat informaţii cu privire la vreo faptă concretă săvârşită de reclamanta </w:t>
      </w:r>
      <w:r w:rsidRPr="00544AB7" w:rsidR="00FC492C">
        <w:t>...Y...</w:t>
      </w:r>
      <w:r w:rsidRPr="00544AB7">
        <w:t>.</w:t>
      </w:r>
    </w:p>
    <w:p w:rsidRPr="00544AB7" w:rsidR="00D41C6E">
      <w:pPr>
        <w:ind w:firstLine="708"/>
        <w:jc w:val="both"/>
      </w:pPr>
      <w:r w:rsidRPr="00544AB7">
        <w:rPr>
          <w:rStyle w:val="Fontdeparagrafimplicit"/>
          <w:lang w:val="en-US"/>
        </w:rPr>
        <w:t xml:space="preserve">Or, sub acest aspect, nici reclamanta, nici pârâtul nu se raportează la vreo afirmaţie concretă a </w:t>
      </w:r>
      <w:r w:rsidRPr="00544AB7" w:rsidR="004C2395">
        <w:t>...Z...</w:t>
      </w:r>
      <w:r w:rsidRPr="00544AB7">
        <w:t xml:space="preserve"> care să se refere punctual la </w:t>
      </w:r>
      <w:r w:rsidRPr="00544AB7" w:rsidR="00FC492C">
        <w:t>...Y...</w:t>
      </w:r>
      <w:r w:rsidRPr="00544AB7">
        <w:t>.</w:t>
      </w:r>
    </w:p>
    <w:p w:rsidRPr="00544AB7" w:rsidR="00D41C6E">
      <w:pPr>
        <w:ind w:firstLine="708"/>
        <w:jc w:val="both"/>
      </w:pPr>
      <w:r w:rsidRPr="00544AB7">
        <w:t xml:space="preserve">În consecinţă, răspunzând direct criticii reclamantei privitoare la forţa probantă a declaraţiei de recunoaştere a </w:t>
      </w:r>
      <w:r w:rsidRPr="00544AB7" w:rsidR="004C2395">
        <w:t>...Z...</w:t>
      </w:r>
      <w:r w:rsidRPr="00544AB7">
        <w:t xml:space="preserve">, curtea constată că, într-adevăr, recunoaşterea faptelor </w:t>
      </w:r>
      <w:r w:rsidRPr="00544AB7" w:rsidR="004C2395">
        <w:t>...Z...</w:t>
      </w:r>
      <w:r w:rsidRPr="00544AB7">
        <w:t xml:space="preserve"> nu îi este opozabilă reclamantei.</w:t>
      </w:r>
    </w:p>
    <w:p w:rsidRPr="00544AB7" w:rsidR="00D41C6E">
      <w:pPr>
        <w:ind w:firstLine="708"/>
        <w:jc w:val="both"/>
      </w:pPr>
      <w:r w:rsidRPr="00544AB7">
        <w:t xml:space="preserve">Eventualele afirmaţii ale </w:t>
      </w:r>
      <w:r w:rsidRPr="00544AB7" w:rsidR="004C2395">
        <w:t>...Z...</w:t>
      </w:r>
      <w:r w:rsidRPr="00544AB7">
        <w:t xml:space="preserve"> referitoare strict la reclamantă, deşi, după cum s-a arătat, acestea nu există, urmează a fi analizate în cadrul secţiunii referitoare la respectarea standardului de probă.</w:t>
      </w:r>
    </w:p>
    <w:p w:rsidRPr="00544AB7" w:rsidR="00D41C6E">
      <w:pPr>
        <w:ind w:firstLine="708"/>
        <w:jc w:val="both"/>
        <w:rPr>
          <w:rStyle w:val="Fontdeparagrafimplicit"/>
          <w:i/>
        </w:rPr>
      </w:pPr>
      <w:r w:rsidRPr="00544AB7">
        <w:t xml:space="preserve"> </w:t>
      </w:r>
      <w:r w:rsidRPr="00544AB7">
        <w:rPr>
          <w:rStyle w:val="Fontdeparagrafimplicit"/>
          <w:i/>
        </w:rPr>
        <w:t>7.În ceea ce priveşte standardul de probă, respectiv măsura în care Consiliul Concurenţei a dovedit săvârşirea de către reclamantă a faptei anticoncurenţiale imputate</w:t>
      </w:r>
    </w:p>
    <w:p w:rsidRPr="00544AB7" w:rsidR="00D41C6E">
      <w:pPr>
        <w:ind w:firstLine="708"/>
        <w:jc w:val="both"/>
      </w:pPr>
      <w:r w:rsidRPr="00544AB7">
        <w:t>Sub acest aspect, reclamanta neagă săvârşirea faptei imputate, afirmând că dovezile avute în vedere de Consiliul Concurenţei nu îndeplinesc standardul de probă necesar, ele fiind neconcludente.</w:t>
      </w:r>
    </w:p>
    <w:p w:rsidRPr="00544AB7" w:rsidR="00D41C6E">
      <w:pPr>
        <w:ind w:firstLine="708"/>
        <w:jc w:val="both"/>
      </w:pPr>
      <w:r w:rsidRPr="00544AB7">
        <w:t>Cu privire la critica de mai sus, curtea reţine că este necesar în prealabil a se stabili cu claritate care este fapta imputată reclamantei.</w:t>
      </w:r>
    </w:p>
    <w:p w:rsidRPr="00544AB7" w:rsidR="00D41C6E">
      <w:pPr>
        <w:ind w:firstLine="708"/>
        <w:jc w:val="both"/>
      </w:pPr>
      <w:r w:rsidRPr="00544AB7">
        <w:t xml:space="preserve">Astfel, din parcugerea întregii decizii contestate, se observă că, deşi se face referire la un schimb mai amplu de informaţii care ar fi avut loc între membrii </w:t>
      </w:r>
      <w:r w:rsidRPr="00544AB7" w:rsidR="001516A7">
        <w:t>Asociației ...W...</w:t>
      </w:r>
      <w:r w:rsidRPr="00544AB7">
        <w:t xml:space="preserve"> (</w:t>
      </w:r>
      <w:r w:rsidRPr="00544AB7" w:rsidR="0075748D">
        <w:t>...W*...</w:t>
      </w:r>
      <w:r w:rsidRPr="00544AB7">
        <w:t xml:space="preserve">), prin intermediul </w:t>
      </w:r>
      <w:r w:rsidRPr="00544AB7" w:rsidR="0018311F">
        <w:t>...X...</w:t>
      </w:r>
      <w:r w:rsidRPr="00544AB7">
        <w:t xml:space="preserve"> SRL, în perioada anilor 2013-2016, ceea ce se impută este participarea acestora la un schimb de informaţii cu privire la indicatorii financiari realizaţi în trimestrul IV 2013 şi cu privire la indicatorii estimaţi pentru trimestrul I 2014.</w:t>
      </w:r>
    </w:p>
    <w:p w:rsidRPr="00544AB7" w:rsidR="00D41C6E">
      <w:pPr>
        <w:jc w:val="both"/>
      </w:pPr>
      <w:r w:rsidRPr="00544AB7">
        <w:tab/>
        <w:t>Potrivit deciziei, comportamentul anticoncurenţial nu se referă la compunicarea indicatorilor financiari realizaţi anterior în trimestrul IV 2013, ci la comunicarea indicatorilor financiari preconizaţi/estimaţi a se realiza în viitor, respectiv în trimestrul I 2014.</w:t>
      </w:r>
    </w:p>
    <w:p w:rsidRPr="00544AB7" w:rsidR="00D41C6E">
      <w:pPr>
        <w:ind w:firstLine="708"/>
        <w:jc w:val="both"/>
      </w:pPr>
      <w:r w:rsidRPr="00544AB7">
        <w:t>Indicatorii financiari avuţi în vedere de Consiliu se referă la estimarea valorii noi ce urma a fi finanţată de fiecare societate în trimestrul I 2014, autoritatea pârâtă apreciind că prin comunicarea acestei informaţii, societăţile au redus incertitudinea de pe piaţă, oferindu-şi reciproc posibilitatea de a-şi adapta comportamentul.</w:t>
      </w:r>
    </w:p>
    <w:p w:rsidRPr="00544AB7" w:rsidR="00D41C6E">
      <w:pPr>
        <w:ind w:firstLine="708"/>
        <w:jc w:val="both"/>
      </w:pPr>
      <w:r w:rsidRPr="00544AB7">
        <w:t xml:space="preserve">S-a reţinut că </w:t>
      </w:r>
      <w:r w:rsidRPr="00544AB7" w:rsidR="0018311F">
        <w:t>...X...</w:t>
      </w:r>
      <w:r w:rsidRPr="00544AB7">
        <w:t xml:space="preserve"> SRL a transmis către societăţile de leasing un tabel pe care acestea trebuia să îl completeze cu mai multe informaţii, inclusiv cu estimarea valorii ce urma a fi finanţată în trimestrul I 2014.</w:t>
      </w:r>
    </w:p>
    <w:p w:rsidRPr="00544AB7" w:rsidR="00D41C6E">
      <w:pPr>
        <w:ind w:firstLine="708"/>
        <w:jc w:val="both"/>
      </w:pPr>
      <w:r w:rsidRPr="00544AB7">
        <w:t xml:space="preserve">Ulterior, </w:t>
      </w:r>
      <w:r w:rsidRPr="00544AB7" w:rsidR="0018311F">
        <w:t>...X...</w:t>
      </w:r>
      <w:r w:rsidRPr="00544AB7">
        <w:t xml:space="preserve"> SRL întocmea un tabel în care înscria toate informaţiile primite de la societăţi, tabel pe care îl comunica acestora, astfel încât fiecare din ele să cunoască estimările celorlalte.</w:t>
      </w:r>
    </w:p>
    <w:p w:rsidRPr="00544AB7" w:rsidR="00D41C6E">
      <w:pPr>
        <w:ind w:firstLine="708"/>
        <w:jc w:val="both"/>
        <w:rPr>
          <w:rStyle w:val="Fontdeparagrafimplicit"/>
        </w:rPr>
      </w:pPr>
      <w:r w:rsidRPr="00544AB7">
        <w:t xml:space="preserve">În concret, în privinţa reclamantei nu se reţine că ar fi transmis estimările proprii, ci doar că le-ar fi primit pe ale celorlalţi, respectiv </w:t>
      </w:r>
      <w:r w:rsidRPr="00544AB7">
        <w:rPr>
          <w:rStyle w:val="Fontdeparagrafimplicit"/>
          <w:lang w:val="en-US"/>
        </w:rPr>
        <w:t>tabelul aferent trimestrului IV 2013, conţinând şi estimările aferente anului 2014 (estimări furnizate de un număr de 10 societati de leasing).</w:t>
      </w:r>
    </w:p>
    <w:p w:rsidRPr="00544AB7" w:rsidR="00D41C6E">
      <w:pPr>
        <w:suppressAutoHyphens/>
        <w:jc w:val="both"/>
        <w:rPr>
          <w:rStyle w:val="Fontdeparagrafimplicit"/>
          <w:lang w:val="en-US"/>
        </w:rPr>
      </w:pPr>
      <w:r w:rsidRPr="00544AB7">
        <w:rPr>
          <w:rStyle w:val="Fontdeparagrafimplicit"/>
          <w:lang w:val="en-US"/>
        </w:rPr>
        <w:tab/>
        <w:t xml:space="preserve">Mai exact, este vorba de o pagină intitulată “Institutional Info”, cuprinsă în cadrul unui fişier </w:t>
      </w:r>
      <w:r w:rsidRPr="00544AB7">
        <w:rPr>
          <w:rStyle w:val="Fontdeparagrafimplicit"/>
          <w:lang w:val="en-US"/>
        </w:rPr>
        <w:t>excel  intitulat</w:t>
      </w:r>
      <w:r w:rsidRPr="00544AB7">
        <w:rPr>
          <w:rStyle w:val="Fontdeparagrafimplicit"/>
          <w:lang w:val="en-US"/>
        </w:rPr>
        <w:t xml:space="preserve"> “Tabel centralizator 01.01.-31.12.2013” (fişier care cuprindea mai multe pagini, cu denumiri diferite, conţinând raportări detaliate aferente întregului an anterior, respectiv anul 2013).</w:t>
      </w:r>
    </w:p>
    <w:p w:rsidRPr="00544AB7" w:rsidR="00D41C6E">
      <w:pPr>
        <w:suppressAutoHyphens/>
        <w:jc w:val="both"/>
        <w:rPr>
          <w:rStyle w:val="Fontdeparagrafimplicit"/>
          <w:lang w:val="en-US"/>
        </w:rPr>
      </w:pPr>
      <w:r w:rsidRPr="00544AB7">
        <w:rPr>
          <w:rStyle w:val="Fontdeparagrafimplicit"/>
          <w:lang w:val="en-US"/>
        </w:rPr>
        <w:tab/>
        <w:t xml:space="preserve">Potrivit pârâtului, toate paginile respectivului fişier ar fi fost printate de </w:t>
      </w:r>
      <w:r w:rsidRPr="00544AB7" w:rsidR="0018311F">
        <w:rPr>
          <w:rStyle w:val="Fontdeparagrafimplicit"/>
          <w:lang w:val="en-US"/>
        </w:rPr>
        <w:t>...X...</w:t>
      </w:r>
      <w:r w:rsidRPr="00544AB7">
        <w:rPr>
          <w:rStyle w:val="Fontdeparagrafimplicit"/>
          <w:lang w:val="en-US"/>
        </w:rPr>
        <w:t xml:space="preserve"> şi ar fi fost ridicate, în format fizic, de la sediul său, de către reprezentanţii desemnaţi de societăţile de leasing (inclusiv de </w:t>
      </w:r>
      <w:r w:rsidRPr="00544AB7" w:rsidR="006D72B4">
        <w:rPr>
          <w:rStyle w:val="Fontdeparagrafimplicit"/>
          <w:lang w:val="en-US"/>
        </w:rPr>
        <w:t>...B.4...</w:t>
      </w:r>
      <w:r w:rsidRPr="00544AB7">
        <w:rPr>
          <w:rStyle w:val="Fontdeparagrafimplicit"/>
          <w:lang w:val="en-US"/>
        </w:rPr>
        <w:t>, împuternicitul reclamantei, la data de 10.03.2014), care semnau de primire, pe un tabel intitulat “Raportari 31.12.2013” (pagină 79 din decizie).</w:t>
      </w:r>
    </w:p>
    <w:p w:rsidRPr="00544AB7" w:rsidR="00D41C6E">
      <w:pPr>
        <w:suppressAutoHyphens/>
        <w:jc w:val="both"/>
        <w:rPr>
          <w:rStyle w:val="Fontdeparagrafimplicit"/>
          <w:lang w:val="en-US"/>
        </w:rPr>
      </w:pPr>
      <w:r w:rsidRPr="00544AB7">
        <w:rPr>
          <w:rStyle w:val="Fontdeparagrafimplicit"/>
          <w:lang w:val="en-US"/>
        </w:rPr>
        <w:tab/>
        <w:t>Pagina “Institutional Info” era redactată în limba română.</w:t>
      </w:r>
    </w:p>
    <w:p w:rsidRPr="00544AB7" w:rsidR="00D41C6E">
      <w:pPr>
        <w:suppressAutoHyphens/>
        <w:jc w:val="both"/>
        <w:rPr>
          <w:rStyle w:val="Fontdeparagrafimplicit"/>
          <w:lang w:val="en-US"/>
        </w:rPr>
      </w:pPr>
      <w:r w:rsidRPr="00544AB7">
        <w:rPr>
          <w:rStyle w:val="Fontdeparagrafimplicit"/>
          <w:lang w:val="en-US"/>
        </w:rPr>
        <w:tab/>
        <w:t xml:space="preserve">La sediul reclamantei nu </w:t>
      </w:r>
      <w:r w:rsidRPr="00544AB7">
        <w:rPr>
          <w:rStyle w:val="Fontdeparagrafimplicit"/>
          <w:lang w:val="en-US"/>
        </w:rPr>
        <w:t>a</w:t>
      </w:r>
      <w:r w:rsidRPr="00544AB7">
        <w:rPr>
          <w:rStyle w:val="Fontdeparagrafimplicit"/>
          <w:lang w:val="en-US"/>
        </w:rPr>
        <w:t xml:space="preserve"> avut loc nicio inspecţie inopinată, astfel încât nu exista dovezi directe, în sensul că pagina “Institutional Info” ar fi ajuns la sediul acesteia.</w:t>
      </w:r>
    </w:p>
    <w:p w:rsidRPr="00544AB7" w:rsidR="00D41C6E">
      <w:pPr>
        <w:suppressAutoHyphens/>
        <w:jc w:val="both"/>
        <w:rPr>
          <w:rStyle w:val="Fontdeparagrafimplicit"/>
          <w:lang w:val="en-US"/>
        </w:rPr>
      </w:pPr>
      <w:r w:rsidRPr="00544AB7">
        <w:rPr>
          <w:rStyle w:val="Fontdeparagrafimplicit"/>
          <w:lang w:val="en-US"/>
        </w:rPr>
        <w:tab/>
        <w:t xml:space="preserve">Potrivit pârâtului, la inspecţia inopinată desfăşurată la sediul </w:t>
      </w:r>
      <w:r w:rsidRPr="00544AB7" w:rsidR="0018311F">
        <w:rPr>
          <w:rStyle w:val="Fontdeparagrafimplicit"/>
          <w:lang w:val="en-US"/>
        </w:rPr>
        <w:t>...X...</w:t>
      </w:r>
      <w:r w:rsidRPr="00544AB7">
        <w:rPr>
          <w:rStyle w:val="Fontdeparagrafimplicit"/>
          <w:lang w:val="en-US"/>
        </w:rPr>
        <w:t>, în data de 28.11.2017</w:t>
      </w:r>
      <w:r w:rsidRPr="00544AB7">
        <w:rPr>
          <w:rStyle w:val="Fontdeparagrafimplicit"/>
          <w:lang w:val="en-US"/>
        </w:rPr>
        <w:t>,  într</w:t>
      </w:r>
      <w:r w:rsidRPr="00544AB7">
        <w:rPr>
          <w:rStyle w:val="Fontdeparagrafimplicit"/>
          <w:lang w:val="en-US"/>
        </w:rPr>
        <w:t>-un calculator s-au găsit 3 versiuni ale unui fişier excel intitulat “Tabel centralizator 01.01.-31.12.2013”:</w:t>
      </w:r>
    </w:p>
    <w:p w:rsidRPr="00544AB7" w:rsidR="00D41C6E">
      <w:pPr>
        <w:suppressAutoHyphens/>
        <w:ind w:firstLine="708"/>
        <w:jc w:val="both"/>
        <w:rPr>
          <w:rStyle w:val="Fontdeparagrafimplicit"/>
          <w:u w:val="single"/>
          <w:lang w:val="en-US"/>
        </w:rPr>
      </w:pPr>
      <w:r w:rsidRPr="00544AB7">
        <w:rPr>
          <w:rStyle w:val="Fontdeparagrafimplicit"/>
          <w:lang w:val="en-US"/>
        </w:rPr>
        <w:t>-o versiune modificată ultima dată în 10.04.2013 şi printată ultima data tot în 10.04.2013 şi care nu conţinea pagina Institutional Info, astfel încât aceasta versiune nu prezintă nicio relevanţă în cauză (</w:t>
      </w:r>
      <w:r w:rsidRPr="00544AB7">
        <w:rPr>
          <w:rStyle w:val="Fontdeparagrafimplicit"/>
          <w:lang w:val="en-US"/>
        </w:rPr>
        <w:t>vol.IV</w:t>
      </w:r>
      <w:r w:rsidRPr="00544AB7">
        <w:rPr>
          <w:rStyle w:val="Fontdeparagrafimplicit"/>
          <w:lang w:val="en-US"/>
        </w:rPr>
        <w:t>, fila 168, CD 2/</w:t>
      </w:r>
      <w:r w:rsidRPr="00544AB7" w:rsidR="0018311F">
        <w:rPr>
          <w:rStyle w:val="Fontdeparagrafimplicit"/>
          <w:lang w:val="en-US"/>
        </w:rPr>
        <w:t>...X...</w:t>
      </w:r>
      <w:r w:rsidRPr="00544AB7">
        <w:rPr>
          <w:rStyle w:val="Fontdeparagrafimplicit"/>
          <w:lang w:val="en-US"/>
        </w:rPr>
        <w:t>/2.Inspectie/06.3 A3 docCD/</w:t>
      </w:r>
      <w:r w:rsidRPr="00544AB7" w:rsidR="004C2395">
        <w:rPr>
          <w:rStyle w:val="Fontdeparagrafimplicit"/>
          <w:lang w:val="en-US"/>
        </w:rPr>
        <w:t>...T...</w:t>
      </w:r>
      <w:r w:rsidRPr="00544AB7">
        <w:rPr>
          <w:rStyle w:val="Fontdeparagrafimplicit"/>
          <w:lang w:val="en-US"/>
        </w:rPr>
        <w:t xml:space="preserve">/Raportari </w:t>
      </w:r>
      <w:r w:rsidRPr="00544AB7" w:rsidR="0075748D">
        <w:rPr>
          <w:rStyle w:val="Fontdeparagrafimplicit"/>
          <w:lang w:val="en-US"/>
        </w:rPr>
        <w:t>...W*...</w:t>
      </w:r>
      <w:r w:rsidRPr="00544AB7">
        <w:rPr>
          <w:rStyle w:val="Fontdeparagrafimplicit"/>
          <w:lang w:val="en-US"/>
        </w:rPr>
        <w:t xml:space="preserve">/Leasing/2013/2013 Q4/ fişier </w:t>
      </w:r>
      <w:r w:rsidRPr="00544AB7">
        <w:rPr>
          <w:rStyle w:val="Fontdeparagrafimplicit"/>
          <w:u w:val="single"/>
          <w:lang w:val="en-US"/>
        </w:rPr>
        <w:t>(1)</w:t>
      </w:r>
      <w:r w:rsidRPr="00544AB7">
        <w:rPr>
          <w:rStyle w:val="Fontdeparagrafimplicit"/>
          <w:u w:val="single"/>
        </w:rPr>
        <w:t xml:space="preserve"> </w:t>
      </w:r>
      <w:r w:rsidRPr="00544AB7">
        <w:rPr>
          <w:rStyle w:val="Fontdeparagrafimplicit"/>
          <w:u w:val="single"/>
          <w:lang w:val="en-US"/>
        </w:rPr>
        <w:t>Tabel Centralizator 01.01.-31.12.2013) .</w:t>
      </w:r>
    </w:p>
    <w:p w:rsidRPr="00544AB7" w:rsidR="00D41C6E">
      <w:pPr>
        <w:suppressAutoHyphens/>
        <w:ind w:firstLine="708"/>
        <w:jc w:val="both"/>
        <w:rPr>
          <w:rStyle w:val="Fontdeparagrafimplicit"/>
          <w:lang w:val="en-US"/>
        </w:rPr>
      </w:pPr>
      <w:r w:rsidRPr="00544AB7">
        <w:rPr>
          <w:rStyle w:val="Fontdeparagrafimplicit"/>
          <w:lang w:val="en-US"/>
        </w:rPr>
        <w:t xml:space="preserve">-o versiune printată ultima dată în 04.02.2014 şi modificată ultima dată în 14.02.2014, care conţinea pagina Institutional Info, completată cu estimările aferente anului 2014, dar completată integral în limba </w:t>
      </w:r>
      <w:r w:rsidRPr="00544AB7">
        <w:rPr>
          <w:rStyle w:val="Fontdeparagrafimplicit"/>
          <w:lang w:val="en-US"/>
        </w:rPr>
        <w:t>engleză  (</w:t>
      </w:r>
      <w:r w:rsidRPr="00544AB7">
        <w:rPr>
          <w:rStyle w:val="Fontdeparagrafimplicit"/>
          <w:lang w:val="en-US"/>
        </w:rPr>
        <w:t>vol.IV, fila 168, CD 2/</w:t>
      </w:r>
      <w:r w:rsidRPr="00544AB7" w:rsidR="0018311F">
        <w:rPr>
          <w:rStyle w:val="Fontdeparagrafimplicit"/>
          <w:lang w:val="en-US"/>
        </w:rPr>
        <w:t>...X...</w:t>
      </w:r>
      <w:r w:rsidRPr="00544AB7">
        <w:rPr>
          <w:rStyle w:val="Fontdeparagrafimplicit"/>
          <w:lang w:val="en-US"/>
        </w:rPr>
        <w:t>/2.Inspectie/06.3 A3 docCD/</w:t>
      </w:r>
      <w:r w:rsidRPr="00544AB7" w:rsidR="004C2395">
        <w:rPr>
          <w:rStyle w:val="Fontdeparagrafimplicit"/>
          <w:lang w:val="en-US"/>
        </w:rPr>
        <w:t>...T...</w:t>
      </w:r>
      <w:r w:rsidRPr="00544AB7">
        <w:rPr>
          <w:rStyle w:val="Fontdeparagrafimplicit"/>
          <w:lang w:val="en-US"/>
        </w:rPr>
        <w:t xml:space="preserve">/Raportari </w:t>
      </w:r>
      <w:r w:rsidRPr="00544AB7" w:rsidR="0075748D">
        <w:rPr>
          <w:rStyle w:val="Fontdeparagrafimplicit"/>
          <w:lang w:val="en-US"/>
        </w:rPr>
        <w:t>...W*...</w:t>
      </w:r>
      <w:r w:rsidRPr="00544AB7">
        <w:rPr>
          <w:rStyle w:val="Fontdeparagrafimplicit"/>
          <w:lang w:val="en-US"/>
        </w:rPr>
        <w:t xml:space="preserve">/Leasing/2013/2013 Q4/ fişier </w:t>
      </w:r>
      <w:r w:rsidRPr="00544AB7">
        <w:rPr>
          <w:rStyle w:val="Fontdeparagrafimplicit"/>
          <w:u w:val="single"/>
          <w:lang w:val="en-US"/>
        </w:rPr>
        <w:t>(2) Tabel Centralizator 01.01.-31.12.2013)</w:t>
      </w:r>
      <w:r w:rsidRPr="00544AB7">
        <w:rPr>
          <w:rStyle w:val="Fontdeparagrafimplicit"/>
          <w:lang w:val="en-US"/>
        </w:rPr>
        <w:t>.</w:t>
      </w:r>
    </w:p>
    <w:p w:rsidRPr="00544AB7" w:rsidR="00D41C6E">
      <w:pPr>
        <w:suppressAutoHyphens/>
        <w:ind w:firstLine="708"/>
        <w:jc w:val="both"/>
        <w:rPr>
          <w:rStyle w:val="Fontdeparagrafimplicit"/>
          <w:lang w:val="en-US"/>
        </w:rPr>
      </w:pPr>
      <w:r w:rsidRPr="00544AB7">
        <w:rPr>
          <w:rStyle w:val="Fontdeparagrafimplicit"/>
          <w:lang w:val="en-US"/>
        </w:rPr>
        <w:t xml:space="preserve">Deşi se află pe CD-ul depus la dosar, pârâtul </w:t>
      </w:r>
      <w:r w:rsidRPr="00544AB7">
        <w:rPr>
          <w:rStyle w:val="Fontdeparagrafimplicit"/>
          <w:lang w:val="en-US"/>
        </w:rPr>
        <w:t>a</w:t>
      </w:r>
      <w:r w:rsidRPr="00544AB7">
        <w:rPr>
          <w:rStyle w:val="Fontdeparagrafimplicit"/>
          <w:lang w:val="en-US"/>
        </w:rPr>
        <w:t xml:space="preserve"> afirmat atât în cuprinsul deciziei, cât şi în cuprinsul intampinarii, ca nu acestă versiune a fost cea printată şi comunicată membrilor </w:t>
      </w:r>
      <w:r w:rsidRPr="00544AB7" w:rsidR="0075748D">
        <w:rPr>
          <w:rStyle w:val="Fontdeparagrafimplicit"/>
          <w:lang w:val="en-US"/>
        </w:rPr>
        <w:t>...W*...</w:t>
      </w:r>
      <w:r w:rsidRPr="00544AB7">
        <w:rPr>
          <w:rStyle w:val="Fontdeparagrafimplicit"/>
          <w:lang w:val="en-US"/>
        </w:rPr>
        <w:t>, ci versiunea următoare, ce urmează a fi prezentată mai jos.</w:t>
      </w:r>
    </w:p>
    <w:p w:rsidRPr="00544AB7" w:rsidR="00D41C6E">
      <w:pPr>
        <w:suppressAutoHyphens/>
        <w:ind w:firstLine="708"/>
        <w:jc w:val="both"/>
        <w:rPr>
          <w:rStyle w:val="Fontdeparagrafimplicit"/>
          <w:lang w:val="en-US"/>
        </w:rPr>
      </w:pPr>
      <w:r w:rsidRPr="00544AB7">
        <w:rPr>
          <w:rStyle w:val="Fontdeparagrafimplicit"/>
          <w:lang w:val="en-US"/>
        </w:rPr>
        <w:t>Ca atare, această versiune nu prezintă nici ea vreo relevanţă în cauză.</w:t>
      </w:r>
    </w:p>
    <w:p w:rsidRPr="00544AB7" w:rsidR="00D41C6E">
      <w:pPr>
        <w:suppressAutoHyphens/>
        <w:ind w:firstLine="708"/>
        <w:jc w:val="both"/>
        <w:rPr>
          <w:rStyle w:val="Fontdeparagrafimplicit"/>
          <w:lang w:val="en-US"/>
        </w:rPr>
      </w:pPr>
      <w:r w:rsidRPr="00544AB7">
        <w:rPr>
          <w:rStyle w:val="Fontdeparagrafimplicit"/>
          <w:lang w:val="en-US"/>
        </w:rPr>
        <w:t xml:space="preserve">- o versiune printată ultima dată în 19.02.2014 şi modificată ultima dată în 10.05.2016, care conţinea pagina Institutional Info, completată cu estimările aferente anului 2014, dar completată integral în limba </w:t>
      </w:r>
      <w:r w:rsidRPr="00544AB7">
        <w:rPr>
          <w:rStyle w:val="Fontdeparagrafimplicit"/>
          <w:lang w:val="en-US"/>
        </w:rPr>
        <w:t>engleză  (</w:t>
      </w:r>
      <w:r w:rsidRPr="00544AB7">
        <w:rPr>
          <w:rStyle w:val="Fontdeparagrafimplicit"/>
          <w:lang w:val="en-US"/>
        </w:rPr>
        <w:t>vol.IV, fila 168, CD 2/</w:t>
      </w:r>
      <w:r w:rsidRPr="00544AB7" w:rsidR="0018311F">
        <w:rPr>
          <w:rStyle w:val="Fontdeparagrafimplicit"/>
          <w:lang w:val="en-US"/>
        </w:rPr>
        <w:t>...X...</w:t>
      </w:r>
      <w:r w:rsidRPr="00544AB7">
        <w:rPr>
          <w:rStyle w:val="Fontdeparagrafimplicit"/>
          <w:lang w:val="en-US"/>
        </w:rPr>
        <w:t>/2.Inspectie/06.3 A3 docCD/</w:t>
      </w:r>
      <w:r w:rsidRPr="00544AB7" w:rsidR="004C2395">
        <w:rPr>
          <w:rStyle w:val="Fontdeparagrafimplicit"/>
          <w:lang w:val="en-US"/>
        </w:rPr>
        <w:t>...T...</w:t>
      </w:r>
      <w:r w:rsidRPr="00544AB7">
        <w:rPr>
          <w:rStyle w:val="Fontdeparagrafimplicit"/>
          <w:lang w:val="en-US"/>
        </w:rPr>
        <w:t xml:space="preserve">/Raportari </w:t>
      </w:r>
      <w:r w:rsidRPr="00544AB7" w:rsidR="0075748D">
        <w:rPr>
          <w:rStyle w:val="Fontdeparagrafimplicit"/>
          <w:lang w:val="en-US"/>
        </w:rPr>
        <w:t>...W*...</w:t>
      </w:r>
      <w:r w:rsidRPr="00544AB7">
        <w:rPr>
          <w:rStyle w:val="Fontdeparagrafimplicit"/>
          <w:lang w:val="en-US"/>
        </w:rPr>
        <w:t xml:space="preserve">/Leasing/2013/2013 Q4/ fişier </w:t>
      </w:r>
      <w:r w:rsidRPr="00544AB7">
        <w:rPr>
          <w:rStyle w:val="Fontdeparagrafimplicit"/>
          <w:u w:val="single"/>
          <w:lang w:val="en-US"/>
        </w:rPr>
        <w:t>(3) Tabel Centralizator 01.01.-31.12.2013)</w:t>
      </w:r>
      <w:r w:rsidRPr="00544AB7">
        <w:rPr>
          <w:rStyle w:val="Fontdeparagrafimplicit"/>
          <w:lang w:val="en-US"/>
        </w:rPr>
        <w:t>.</w:t>
      </w:r>
    </w:p>
    <w:p w:rsidRPr="00544AB7" w:rsidR="00D41C6E">
      <w:pPr>
        <w:suppressAutoHyphens/>
        <w:ind w:firstLine="708"/>
        <w:jc w:val="both"/>
        <w:rPr>
          <w:rStyle w:val="Fontdeparagrafimplicit"/>
          <w:lang w:val="en-US"/>
        </w:rPr>
      </w:pPr>
      <w:r w:rsidRPr="00544AB7">
        <w:rPr>
          <w:rStyle w:val="Fontdeparagrafimplicit"/>
          <w:lang w:val="en-US"/>
        </w:rPr>
        <w:t xml:space="preserve">La fila 21 din întâmpinare, pârâtul menţionează că acesta este versiunea pe </w:t>
      </w:r>
      <w:r w:rsidRPr="00544AB7">
        <w:rPr>
          <w:rStyle w:val="Fontdeparagrafimplicit"/>
          <w:lang w:val="en-US"/>
        </w:rPr>
        <w:t>care  a</w:t>
      </w:r>
      <w:r w:rsidRPr="00544AB7">
        <w:rPr>
          <w:rStyle w:val="Fontdeparagrafimplicit"/>
          <w:lang w:val="en-US"/>
        </w:rPr>
        <w:t xml:space="preserve"> avut-o în vedere la emiterea deciziei, precizând că ea i-a fost comunicată de </w:t>
      </w:r>
      <w:r w:rsidRPr="00544AB7" w:rsidR="0018311F">
        <w:rPr>
          <w:rStyle w:val="Fontdeparagrafimplicit"/>
          <w:lang w:val="en-US"/>
        </w:rPr>
        <w:t>...X...</w:t>
      </w:r>
      <w:r w:rsidRPr="00544AB7">
        <w:rPr>
          <w:rStyle w:val="Fontdeparagrafimplicit"/>
          <w:lang w:val="en-US"/>
        </w:rPr>
        <w:t xml:space="preserve"> în data de 30.10.2017 în cadrul procedurii de clemenţă (conform minutei din 23.10.2017).</w:t>
      </w:r>
    </w:p>
    <w:p w:rsidRPr="00544AB7" w:rsidR="00D41C6E">
      <w:pPr>
        <w:suppressAutoHyphens/>
        <w:ind w:firstLine="708"/>
        <w:jc w:val="both"/>
        <w:rPr>
          <w:rStyle w:val="Fontdeparagrafimplicit"/>
          <w:lang w:val="en-US"/>
        </w:rPr>
      </w:pPr>
      <w:r w:rsidRPr="00544AB7">
        <w:rPr>
          <w:rStyle w:val="Fontdeparagrafimplicit"/>
          <w:lang w:val="en-US"/>
        </w:rPr>
        <w:t>Instanţa apreciază ca acest înscris nu face dovada primirii de către reclamantă a paginii “Institutional Info”, pentru următoarele motive:</w:t>
      </w:r>
    </w:p>
    <w:p w:rsidRPr="00544AB7" w:rsidR="00D41C6E">
      <w:pPr>
        <w:suppressAutoHyphens/>
        <w:jc w:val="both"/>
        <w:rPr>
          <w:rStyle w:val="Fontdeparagrafimplicit"/>
          <w:lang w:val="en-US"/>
        </w:rPr>
      </w:pPr>
      <w:r w:rsidRPr="00544AB7">
        <w:rPr>
          <w:rStyle w:val="Fontdeparagrafimplicit"/>
          <w:lang w:val="en-US"/>
        </w:rPr>
        <w:tab/>
        <w:t xml:space="preserve">-după cum s-a arătat, versiunea de mai sus este versiunea rezultată în urma modificării din 10.05.2016, astfel încât nu se cunoaşte ce formă avea fişierul la data de 19.02.2014 cand a avut loc ultima printare a acestuia (prespunând, desigur, că versiunea care a fost printată la 19.02.2014 s-ar fi aflat la sediul </w:t>
      </w:r>
      <w:r w:rsidRPr="00544AB7" w:rsidR="0018311F">
        <w:rPr>
          <w:rStyle w:val="Fontdeparagrafimplicit"/>
          <w:lang w:val="en-US"/>
        </w:rPr>
        <w:t>...X...</w:t>
      </w:r>
      <w:r w:rsidRPr="00544AB7">
        <w:rPr>
          <w:rStyle w:val="Fontdeparagrafimplicit"/>
          <w:lang w:val="en-US"/>
        </w:rPr>
        <w:t>, pentru a fi ridicată ulterior de catre reprezentanţii societăţilor de leasing, începand cu data de 20.02.2014, inclusiv de reprezentantul  reclamantei care a efectuat o ridicare în data de 10.03.2014).</w:t>
      </w:r>
    </w:p>
    <w:p w:rsidRPr="00544AB7" w:rsidR="00D41C6E">
      <w:pPr>
        <w:suppressAutoHyphens/>
        <w:jc w:val="both"/>
        <w:rPr>
          <w:rStyle w:val="Fontdeparagrafimplicit"/>
          <w:lang w:val="en-US"/>
        </w:rPr>
      </w:pPr>
      <w:r w:rsidRPr="00544AB7">
        <w:rPr>
          <w:rStyle w:val="Fontdeparagrafimplicit"/>
          <w:lang w:val="en-US"/>
        </w:rPr>
        <w:tab/>
        <w:t xml:space="preserve">- versiunea reprodusă de parat în cuprinsul deciziei contestate (paginile 72-77 din decizie) reprezintă o versiune în limba română, în timp ce fişierul comunicat de </w:t>
      </w:r>
      <w:r w:rsidRPr="00544AB7" w:rsidR="0018311F">
        <w:rPr>
          <w:rStyle w:val="Fontdeparagrafimplicit"/>
          <w:lang w:val="en-US"/>
        </w:rPr>
        <w:t>...X...</w:t>
      </w:r>
      <w:r w:rsidRPr="00544AB7">
        <w:rPr>
          <w:rStyle w:val="Fontdeparagrafimplicit"/>
          <w:lang w:val="en-US"/>
        </w:rPr>
        <w:t xml:space="preserve"> conţine versiunea în limba engleză, astfel încât nu se înţelege de unde </w:t>
      </w:r>
      <w:r w:rsidRPr="00544AB7">
        <w:rPr>
          <w:rStyle w:val="Fontdeparagrafimplicit"/>
          <w:lang w:val="en-US"/>
        </w:rPr>
        <w:t>a</w:t>
      </w:r>
      <w:r w:rsidRPr="00544AB7">
        <w:rPr>
          <w:rStyle w:val="Fontdeparagrafimplicit"/>
          <w:lang w:val="en-US"/>
        </w:rPr>
        <w:t xml:space="preserve"> obţinut pârâtul o versiune în limba română (evident, nici dacă aceasta s-a aflat în calculatorul </w:t>
      </w:r>
      <w:r w:rsidRPr="00544AB7" w:rsidR="0018311F">
        <w:rPr>
          <w:rStyle w:val="Fontdeparagrafimplicit"/>
          <w:lang w:val="en-US"/>
        </w:rPr>
        <w:t>...X...</w:t>
      </w:r>
      <w:r w:rsidRPr="00544AB7">
        <w:rPr>
          <w:rStyle w:val="Fontdeparagrafimplicit"/>
          <w:lang w:val="en-US"/>
        </w:rPr>
        <w:t>, dacă a fost printată şi dacă a fost comunicată reclamantei)</w:t>
      </w:r>
    </w:p>
    <w:p w:rsidRPr="00544AB7" w:rsidR="00D41C6E">
      <w:pPr>
        <w:suppressAutoHyphens/>
        <w:jc w:val="both"/>
        <w:rPr>
          <w:rStyle w:val="Fontdeparagrafimplicit"/>
          <w:lang w:val="en-US"/>
        </w:rPr>
      </w:pPr>
      <w:r w:rsidRPr="00544AB7">
        <w:rPr>
          <w:rStyle w:val="Fontdeparagrafimplicit"/>
          <w:lang w:val="en-US"/>
        </w:rPr>
        <w:tab/>
        <w:t>Instanţa reţine că nici tabelul intitulat “Raportari 31.12.2013” (pagina 79 din decizie), cu semnăturile reprezentanţilor societăţilor de leasing, nu poate fi avut în vedere, deoarece el nu poate atesta decât faptul că aceşti reprezentanţi au ridicat un înscris, dar nu se cunoaşte în ce constă acel înscris (de fapt, ar fi trebuit sa fie vorba de un set de înscrisuri, mai exact de toate filele din fişierul “(3) Tabel Centralizator 01.01.-31.12.2013”) neexistând certitudinea că acest set de înscrisuri conţinea şi fila Institutional Info.</w:t>
      </w:r>
    </w:p>
    <w:p w:rsidRPr="00544AB7" w:rsidR="00D41C6E">
      <w:pPr>
        <w:suppressAutoHyphens/>
        <w:jc w:val="both"/>
        <w:rPr>
          <w:rStyle w:val="Fontdeparagrafimplicit"/>
          <w:lang w:val="en-US"/>
        </w:rPr>
      </w:pPr>
      <w:r w:rsidRPr="00544AB7">
        <w:rPr>
          <w:rStyle w:val="Fontdeparagrafimplicit"/>
          <w:lang w:val="en-US"/>
        </w:rPr>
        <w:tab/>
        <w:t xml:space="preserve">Cele de mai sus nu pot fi coroborate nici cu recunoaşterea </w:t>
      </w:r>
      <w:r w:rsidRPr="00544AB7" w:rsidR="004C2395">
        <w:rPr>
          <w:rStyle w:val="Fontdeparagrafimplicit"/>
          <w:lang w:val="en-US"/>
        </w:rPr>
        <w:t>...Z...</w:t>
      </w:r>
      <w:r w:rsidRPr="00544AB7">
        <w:rPr>
          <w:rStyle w:val="Fontdeparagrafimplicit"/>
          <w:lang w:val="en-US"/>
        </w:rPr>
        <w:t>, deoarece, dupa cum rezultă din adresa nr. 135/01.07.2019 emisă de aceasta societate, la solicitarea pârâtului (CD2/</w:t>
      </w:r>
      <w:r w:rsidRPr="00544AB7" w:rsidR="007B2C01">
        <w:rPr>
          <w:rStyle w:val="Fontdeparagrafimplicit"/>
          <w:lang w:val="en-US"/>
        </w:rPr>
        <w:t>...Z...</w:t>
      </w:r>
      <w:r w:rsidRPr="00544AB7">
        <w:rPr>
          <w:rStyle w:val="Fontdeparagrafimplicit"/>
          <w:lang w:val="en-US"/>
        </w:rPr>
        <w:t xml:space="preserve">/16.Raspuns </w:t>
      </w:r>
      <w:r w:rsidRPr="00544AB7" w:rsidR="007B2C01">
        <w:rPr>
          <w:rStyle w:val="Fontdeparagrafimplicit"/>
          <w:lang w:val="en-US"/>
        </w:rPr>
        <w:t>...Z...</w:t>
      </w:r>
      <w:r w:rsidRPr="00544AB7">
        <w:rPr>
          <w:rStyle w:val="Fontdeparagrafimplicit"/>
          <w:lang w:val="en-US"/>
        </w:rPr>
        <w:t xml:space="preserve"> nr</w:t>
      </w:r>
      <w:r w:rsidRPr="00544AB7" w:rsidR="007B2C01">
        <w:rPr>
          <w:rStyle w:val="Fontdeparagrafimplicit"/>
          <w:lang w:val="en-US"/>
        </w:rPr>
        <w:t>……</w:t>
      </w:r>
      <w:r w:rsidRPr="00544AB7">
        <w:rPr>
          <w:rStyle w:val="Fontdeparagrafimplicit"/>
          <w:lang w:val="en-US"/>
        </w:rPr>
        <w:t xml:space="preserve"> din 01.07.2019 la adresa RG </w:t>
      </w:r>
      <w:r w:rsidRPr="00544AB7" w:rsidR="007B2C01">
        <w:rPr>
          <w:rStyle w:val="Fontdeparagrafimplicit"/>
          <w:lang w:val="en-US"/>
        </w:rPr>
        <w:t>…..</w:t>
      </w:r>
      <w:r w:rsidRPr="00544AB7">
        <w:rPr>
          <w:rStyle w:val="Fontdeparagrafimplicit"/>
          <w:lang w:val="en-US"/>
        </w:rPr>
        <w:t xml:space="preserve"> din 06.06.2019), în urma cercetării arhivelor proprii, societatea </w:t>
      </w:r>
      <w:r w:rsidRPr="00544AB7" w:rsidR="004C2395">
        <w:rPr>
          <w:rStyle w:val="Fontdeparagrafimplicit"/>
          <w:lang w:val="en-US"/>
        </w:rPr>
        <w:t>...Z...</w:t>
      </w:r>
      <w:r w:rsidRPr="00544AB7">
        <w:rPr>
          <w:rStyle w:val="Fontdeparagrafimplicit"/>
          <w:lang w:val="en-US"/>
        </w:rPr>
        <w:t xml:space="preserve"> a putut prezenta Consiliului Concurentei </w:t>
      </w:r>
      <w:r w:rsidRPr="00544AB7">
        <w:rPr>
          <w:rStyle w:val="Fontdeparagrafimplicit"/>
          <w:lang w:val="en-US"/>
        </w:rPr>
        <w:t>exemple de raportare doar pentru trimestrul II 2013 (care excedează cauzei de faţă) şi doar pentru trimestrul I 2014 (care nu a fost imputat reclamantei), neoferind vreun exemplu de raportare în trimestrul IV 2013 care interesează prezenta cauză.</w:t>
      </w:r>
    </w:p>
    <w:p w:rsidRPr="00544AB7" w:rsidR="00D41C6E">
      <w:pPr>
        <w:suppressAutoHyphens/>
        <w:jc w:val="both"/>
        <w:rPr>
          <w:rStyle w:val="Fontdeparagrafimplicit"/>
          <w:lang w:val="en-US"/>
        </w:rPr>
      </w:pPr>
      <w:r w:rsidRPr="00544AB7">
        <w:rPr>
          <w:rStyle w:val="Fontdeparagrafimplicit"/>
          <w:lang w:val="en-US"/>
        </w:rPr>
        <w:tab/>
        <w:t xml:space="preserve">Mai mult, </w:t>
      </w:r>
      <w:r w:rsidRPr="00544AB7" w:rsidR="007B2C01">
        <w:rPr>
          <w:rStyle w:val="Fontdeparagrafimplicit"/>
          <w:lang w:val="en-US"/>
        </w:rPr>
        <w:t>...Z...</w:t>
      </w:r>
      <w:r w:rsidRPr="00544AB7">
        <w:rPr>
          <w:rStyle w:val="Fontdeparagrafimplicit"/>
          <w:lang w:val="en-US"/>
        </w:rPr>
        <w:t xml:space="preserve"> precizează în mod repetat faptul că s-a scurs o perioadă lunga de timp de la acele raportări, că nu deţine informaţii complete şi că ceea ce a prezentat Consiliului sunt doar nişte </w:t>
      </w:r>
      <w:r w:rsidRPr="00544AB7">
        <w:rPr>
          <w:rStyle w:val="Fontdeparagrafimplicit"/>
          <w:i/>
          <w:lang w:val="en-US"/>
        </w:rPr>
        <w:t>exemple</w:t>
      </w:r>
      <w:r w:rsidRPr="00544AB7">
        <w:rPr>
          <w:rStyle w:val="Fontdeparagrafimplicit"/>
          <w:lang w:val="en-US"/>
        </w:rPr>
        <w:t xml:space="preserve"> de raportări, pe care </w:t>
      </w:r>
      <w:r w:rsidRPr="00544AB7" w:rsidR="007B2C01">
        <w:rPr>
          <w:rStyle w:val="Fontdeparagrafimplicit"/>
          <w:lang w:val="en-US"/>
        </w:rPr>
        <w:t>...Z...</w:t>
      </w:r>
      <w:r w:rsidRPr="00544AB7">
        <w:rPr>
          <w:rStyle w:val="Fontdeparagrafimplicit"/>
          <w:lang w:val="en-US"/>
        </w:rPr>
        <w:t xml:space="preserve"> a încercat sa le </w:t>
      </w:r>
      <w:r w:rsidRPr="00544AB7">
        <w:rPr>
          <w:rStyle w:val="Fontdeparagrafimplicit"/>
          <w:i/>
          <w:lang w:val="en-US"/>
        </w:rPr>
        <w:t>reconstituie</w:t>
      </w:r>
      <w:r w:rsidRPr="00544AB7">
        <w:rPr>
          <w:rStyle w:val="Fontdeparagrafimplicit"/>
          <w:lang w:val="en-US"/>
        </w:rPr>
        <w:t xml:space="preserve"> pe baza informaţiilor găsite în arhivă, dar că nu mai deţine corespondenţa electronică aferentă şi că nu poate confirma că aceasta era forma reală a raportărilor, sens în care instanţa reproduce pasajele relevante din răspunsul acestei societăţi:</w:t>
      </w:r>
    </w:p>
    <w:p w:rsidRPr="00544AB7" w:rsidR="00D41C6E">
      <w:pPr>
        <w:suppressAutoHyphens/>
        <w:jc w:val="both"/>
        <w:rPr>
          <w:rStyle w:val="Fontdeparagrafimplicit"/>
          <w:i/>
          <w:lang w:val="en-US"/>
        </w:rPr>
      </w:pPr>
      <w:r w:rsidRPr="00544AB7">
        <w:rPr>
          <w:rStyle w:val="Fontdeparagrafimplicit"/>
          <w:lang w:val="en-US"/>
        </w:rPr>
        <w:tab/>
        <w:t>“</w:t>
      </w:r>
      <w:r w:rsidRPr="00544AB7">
        <w:rPr>
          <w:rStyle w:val="Fontdeparagrafimplicit"/>
          <w:i/>
          <w:lang w:val="en-US"/>
        </w:rPr>
        <w:t xml:space="preserve">2. Punctul nr. 2 - Prezentati o lista cu informatiile primite de la </w:t>
      </w:r>
      <w:r w:rsidRPr="00544AB7" w:rsidR="0018311F">
        <w:rPr>
          <w:rStyle w:val="Fontdeparagrafimplicit"/>
          <w:i/>
          <w:lang w:val="en-US"/>
        </w:rPr>
        <w:t>...X...</w:t>
      </w:r>
      <w:r w:rsidRPr="00544AB7">
        <w:rPr>
          <w:rStyle w:val="Fontdeparagrafimplicit"/>
          <w:i/>
          <w:lang w:val="en-US"/>
        </w:rPr>
        <w:t xml:space="preserve"> SRL ca urmare a raportărilor efectuate şi mentionati cu ce regularitate şi la ce nivel de granularitate va erau puse la dispozitie, în perioada 2008-2016</w:t>
      </w:r>
    </w:p>
    <w:p w:rsidRPr="00544AB7" w:rsidR="00D41C6E">
      <w:pPr>
        <w:suppressAutoHyphens/>
        <w:ind w:firstLine="708"/>
        <w:jc w:val="both"/>
        <w:rPr>
          <w:rStyle w:val="Fontdeparagrafimplicit"/>
          <w:i/>
          <w:lang w:val="en-US"/>
        </w:rPr>
      </w:pPr>
      <w:r w:rsidRPr="00544AB7">
        <w:rPr>
          <w:rStyle w:val="Fontdeparagrafimplicit"/>
          <w:i/>
          <w:lang w:val="en-US"/>
        </w:rPr>
        <w:t xml:space="preserve">Precizari preliminare </w:t>
      </w:r>
    </w:p>
    <w:p w:rsidRPr="00544AB7" w:rsidR="00D41C6E">
      <w:pPr>
        <w:suppressAutoHyphens/>
        <w:ind w:firstLine="708"/>
        <w:jc w:val="both"/>
        <w:rPr>
          <w:rStyle w:val="Fontdeparagrafimplicit"/>
          <w:i/>
          <w:lang w:val="en-US"/>
        </w:rPr>
      </w:pPr>
      <w:r w:rsidRPr="00544AB7">
        <w:rPr>
          <w:rStyle w:val="Fontdeparagrafimplicit"/>
          <w:i/>
          <w:lang w:val="en-US"/>
        </w:rPr>
        <w:t xml:space="preserve">Astfel cum am menționat și în adresa nr. </w:t>
      </w:r>
      <w:r w:rsidRPr="00544AB7" w:rsidR="007B2C01">
        <w:rPr>
          <w:rStyle w:val="Fontdeparagrafimplicit"/>
          <w:i/>
          <w:lang w:val="en-US"/>
        </w:rPr>
        <w:t>…..</w:t>
      </w:r>
      <w:r w:rsidRPr="00544AB7">
        <w:rPr>
          <w:rStyle w:val="Fontdeparagrafimplicit"/>
          <w:i/>
          <w:lang w:val="en-US"/>
        </w:rPr>
        <w:t xml:space="preserve">/27.05.2019 ca răspuns la solicitarea Consiliului Concurentei cu nr. </w:t>
      </w:r>
      <w:r w:rsidRPr="00544AB7" w:rsidR="007B2C01">
        <w:rPr>
          <w:rStyle w:val="Fontdeparagrafimplicit"/>
          <w:i/>
          <w:lang w:val="en-US"/>
        </w:rPr>
        <w:t>….</w:t>
      </w:r>
      <w:r w:rsidRPr="00544AB7">
        <w:rPr>
          <w:rStyle w:val="Fontdeparagrafimplicit"/>
          <w:i/>
          <w:lang w:val="en-US"/>
        </w:rPr>
        <w:t xml:space="preserve"> din 14 mai 2019, raportarile diversilor indicatori statistici s-au realizat catre </w:t>
      </w:r>
      <w:r w:rsidRPr="00544AB7" w:rsidR="0075748D">
        <w:rPr>
          <w:rStyle w:val="Fontdeparagrafimplicit"/>
          <w:i/>
          <w:lang w:val="en-US"/>
        </w:rPr>
        <w:t>...W*...</w:t>
      </w:r>
      <w:r w:rsidRPr="00544AB7">
        <w:rPr>
          <w:rStyle w:val="Fontdeparagrafimplicit"/>
          <w:i/>
          <w:lang w:val="en-US"/>
        </w:rPr>
        <w:t xml:space="preserve"> din [INFORMATII CONFIDENTIALE], cu mentiunea ca incepand cu [INFORMATII CONFIDENTIALE] se pare ca datele au fost raportate prin intermediul </w:t>
      </w:r>
      <w:r w:rsidRPr="00544AB7" w:rsidR="0018311F">
        <w:rPr>
          <w:rStyle w:val="Fontdeparagrafimplicit"/>
          <w:i/>
          <w:lang w:val="en-US"/>
        </w:rPr>
        <w:t>...X...</w:t>
      </w:r>
      <w:r w:rsidRPr="00544AB7">
        <w:rPr>
          <w:rStyle w:val="Fontdeparagrafimplicit"/>
          <w:i/>
          <w:lang w:val="en-US"/>
        </w:rPr>
        <w:t xml:space="preserve"> SRL, societatea terta de consultanta desemnata anume de </w:t>
      </w:r>
      <w:r w:rsidRPr="00544AB7" w:rsidR="0075748D">
        <w:rPr>
          <w:rStyle w:val="Fontdeparagrafimplicit"/>
          <w:i/>
          <w:lang w:val="en-US"/>
        </w:rPr>
        <w:t>...W*...</w:t>
      </w:r>
      <w:r w:rsidRPr="00544AB7">
        <w:rPr>
          <w:rStyle w:val="Fontdeparagrafimplicit"/>
          <w:i/>
          <w:lang w:val="en-US"/>
        </w:rPr>
        <w:t xml:space="preserve"> pentru a colecta în numele </w:t>
      </w:r>
      <w:r w:rsidRPr="00544AB7" w:rsidR="0075748D">
        <w:rPr>
          <w:rStyle w:val="Fontdeparagrafimplicit"/>
          <w:i/>
          <w:lang w:val="en-US"/>
        </w:rPr>
        <w:t>...W*...</w:t>
      </w:r>
      <w:r w:rsidRPr="00544AB7">
        <w:rPr>
          <w:rStyle w:val="Fontdeparagrafimplicit"/>
          <w:i/>
          <w:lang w:val="en-US"/>
        </w:rPr>
        <w:t xml:space="preserve"> datele de la membrii asociatiei. </w:t>
      </w:r>
    </w:p>
    <w:p w:rsidRPr="00544AB7" w:rsidR="00D41C6E">
      <w:pPr>
        <w:suppressAutoHyphens/>
        <w:ind w:firstLine="708"/>
        <w:jc w:val="both"/>
        <w:rPr>
          <w:rStyle w:val="Fontdeparagrafimplicit"/>
          <w:i/>
          <w:lang w:val="en-US"/>
        </w:rPr>
      </w:pPr>
      <w:r w:rsidRPr="00544AB7">
        <w:rPr>
          <w:rStyle w:val="Fontdeparagrafimplicit"/>
          <w:i/>
          <w:lang w:val="en-US"/>
        </w:rPr>
        <w:t>...Z...</w:t>
      </w:r>
      <w:r w:rsidRPr="00544AB7" w:rsidR="00914311">
        <w:rPr>
          <w:rStyle w:val="Fontdeparagrafimplicit"/>
          <w:i/>
          <w:lang w:val="en-US"/>
        </w:rPr>
        <w:t xml:space="preserve"> </w:t>
      </w:r>
      <w:r w:rsidRPr="00544AB7" w:rsidR="00914311">
        <w:rPr>
          <w:rStyle w:val="Fontdeparagrafimplicit"/>
          <w:i/>
          <w:lang w:val="en-US"/>
        </w:rPr>
        <w:t>a</w:t>
      </w:r>
      <w:r w:rsidRPr="00544AB7" w:rsidR="00914311">
        <w:rPr>
          <w:rStyle w:val="Fontdeparagrafimplicit"/>
          <w:i/>
          <w:lang w:val="en-US"/>
        </w:rPr>
        <w:t xml:space="preserve"> incetat orice raportare de date catre </w:t>
      </w:r>
      <w:r w:rsidRPr="00544AB7" w:rsidR="0075748D">
        <w:rPr>
          <w:rStyle w:val="Fontdeparagrafimplicit"/>
          <w:i/>
          <w:lang w:val="en-US"/>
        </w:rPr>
        <w:t>...W*...</w:t>
      </w:r>
      <w:r w:rsidRPr="00544AB7" w:rsidR="00914311">
        <w:rPr>
          <w:rStyle w:val="Fontdeparagrafimplicit"/>
          <w:i/>
          <w:lang w:val="en-US"/>
        </w:rPr>
        <w:t>/</w:t>
      </w:r>
      <w:r w:rsidRPr="00544AB7" w:rsidR="0018311F">
        <w:rPr>
          <w:rStyle w:val="Fontdeparagrafimplicit"/>
          <w:i/>
          <w:lang w:val="en-US"/>
        </w:rPr>
        <w:t>...X...</w:t>
      </w:r>
      <w:r w:rsidRPr="00544AB7" w:rsidR="00914311">
        <w:rPr>
          <w:rStyle w:val="Fontdeparagrafimplicit"/>
          <w:i/>
          <w:lang w:val="en-US"/>
        </w:rPr>
        <w:t xml:space="preserve">, conform notificarii din data de [INFORMATII CONFIDENTIALE], ca masura de precautie, în contextul investigatiei declansate de Consiliul Concurentei pe piata asigurarilor. </w:t>
      </w:r>
    </w:p>
    <w:p w:rsidRPr="00544AB7" w:rsidR="00D41C6E">
      <w:pPr>
        <w:suppressAutoHyphens/>
        <w:ind w:firstLine="708"/>
        <w:jc w:val="both"/>
        <w:rPr>
          <w:rStyle w:val="Fontdeparagrafimplicit"/>
          <w:i/>
          <w:lang w:val="en-US"/>
        </w:rPr>
      </w:pPr>
      <w:r w:rsidRPr="00544AB7">
        <w:rPr>
          <w:rStyle w:val="Fontdeparagrafimplicit"/>
          <w:i/>
          <w:lang w:val="en-US"/>
        </w:rPr>
        <w:t xml:space="preserve">De asemenea, </w:t>
      </w:r>
      <w:r w:rsidRPr="00544AB7" w:rsidR="004C2395">
        <w:rPr>
          <w:rStyle w:val="Fontdeparagrafimplicit"/>
          <w:i/>
          <w:lang w:val="en-US"/>
        </w:rPr>
        <w:t>...Z...</w:t>
      </w:r>
      <w:r w:rsidRPr="00544AB7">
        <w:rPr>
          <w:rStyle w:val="Fontdeparagrafimplicit"/>
          <w:i/>
          <w:lang w:val="en-US"/>
        </w:rPr>
        <w:t xml:space="preserve"> nu </w:t>
      </w:r>
      <w:r w:rsidRPr="00544AB7">
        <w:rPr>
          <w:rStyle w:val="Fontdeparagrafimplicit"/>
          <w:i/>
          <w:lang w:val="en-US"/>
        </w:rPr>
        <w:t>a</w:t>
      </w:r>
      <w:r w:rsidRPr="00544AB7">
        <w:rPr>
          <w:rStyle w:val="Fontdeparagrafimplicit"/>
          <w:i/>
          <w:lang w:val="en-US"/>
        </w:rPr>
        <w:t xml:space="preserve"> identificat în baza de date internă rapoarte statistice primite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mai recente de [INFORMATII CONFIDENTIALE]. </w:t>
      </w:r>
    </w:p>
    <w:p w:rsidRPr="00544AB7" w:rsidR="00D41C6E">
      <w:pPr>
        <w:suppressAutoHyphens/>
        <w:ind w:firstLine="708"/>
        <w:jc w:val="both"/>
        <w:rPr>
          <w:rStyle w:val="Fontdeparagrafimplicit"/>
          <w:i/>
          <w:lang w:val="en-US"/>
        </w:rPr>
      </w:pPr>
      <w:r w:rsidRPr="00544AB7">
        <w:rPr>
          <w:rStyle w:val="Fontdeparagrafimplicit"/>
          <w:i/>
          <w:lang w:val="en-US"/>
        </w:rPr>
        <w:t xml:space="preserve">Data fiind lipsa de relevanta şi utilitate a datelor raportate, precum și perioada lunga vizata în Adresa (2008-2016), </w:t>
      </w:r>
      <w:r w:rsidRPr="00544AB7" w:rsidR="004C2395">
        <w:rPr>
          <w:rStyle w:val="Fontdeparagrafimplicit"/>
          <w:i/>
          <w:lang w:val="en-US"/>
        </w:rPr>
        <w:t>...Z...</w:t>
      </w:r>
      <w:r w:rsidRPr="00544AB7">
        <w:rPr>
          <w:rStyle w:val="Fontdeparagrafimplicit"/>
          <w:i/>
          <w:lang w:val="en-US"/>
        </w:rPr>
        <w:t xml:space="preserve"> nu a pastrat evidenta tuturor rapoartelor primite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şi nu detine inregistrari riguroase ale acestora avand în vedere ca </w:t>
      </w:r>
      <w:r w:rsidRPr="00544AB7" w:rsidR="004C2395">
        <w:rPr>
          <w:rStyle w:val="Fontdeparagrafimplicit"/>
          <w:i/>
          <w:lang w:val="en-US"/>
        </w:rPr>
        <w:t>...Z...</w:t>
      </w:r>
      <w:r w:rsidRPr="00544AB7">
        <w:rPr>
          <w:rStyle w:val="Fontdeparagrafimplicit"/>
          <w:i/>
          <w:lang w:val="en-US"/>
        </w:rPr>
        <w:t xml:space="preserve"> nu are obligatia legala de a pastra evidente ale acestor documente care nu reprezinta documentatie de finantare. </w:t>
      </w:r>
    </w:p>
    <w:p w:rsidRPr="00544AB7" w:rsidR="00D41C6E">
      <w:pPr>
        <w:suppressAutoHyphens/>
        <w:jc w:val="both"/>
        <w:rPr>
          <w:rStyle w:val="Fontdeparagrafimplicit"/>
          <w:i/>
          <w:lang w:val="en-US"/>
        </w:rPr>
      </w:pPr>
      <w:r w:rsidRPr="00544AB7">
        <w:rPr>
          <w:rStyle w:val="Fontdeparagrafimplicit"/>
          <w:i/>
          <w:lang w:val="en-US"/>
        </w:rPr>
        <w:t xml:space="preserve"> </w:t>
      </w:r>
      <w:r w:rsidRPr="00544AB7">
        <w:rPr>
          <w:rStyle w:val="Fontdeparagrafimplicit"/>
          <w:i/>
          <w:lang w:val="en-US"/>
        </w:rPr>
        <w:tab/>
        <w:t xml:space="preserve">Mai mult, din aceleasi motive, nu s-a acordat o atenție deosebită stocării și organizării rapoartelor la momentul primirii acestor date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w:t>
      </w:r>
    </w:p>
    <w:p w:rsidRPr="00544AB7" w:rsidR="00D41C6E">
      <w:pPr>
        <w:suppressAutoHyphens/>
        <w:ind w:firstLine="708"/>
        <w:jc w:val="both"/>
        <w:rPr>
          <w:rStyle w:val="Fontdeparagrafimplicit"/>
          <w:i/>
          <w:lang w:val="en-US"/>
        </w:rPr>
      </w:pPr>
      <w:r w:rsidRPr="00544AB7">
        <w:rPr>
          <w:rStyle w:val="Fontdeparagrafimplicit"/>
          <w:i/>
          <w:lang w:val="en-US"/>
        </w:rPr>
        <w:t xml:space="preserve">În acest sens, menționăm ca nu am putut identifica în baza de date interna raportări primite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din perioada [INFORMATII CONFIDENTIALE] și nu putem confirma că raportările din perioada [INFORMATII CONFIDENTIALE] pe care am reușit să le identificăm sunt complete și corecte.</w:t>
      </w:r>
    </w:p>
    <w:p w:rsidRPr="00544AB7" w:rsidR="00D41C6E">
      <w:pPr>
        <w:suppressAutoHyphens/>
        <w:ind w:firstLine="708"/>
        <w:jc w:val="both"/>
        <w:rPr>
          <w:rStyle w:val="Fontdeparagrafimplicit"/>
          <w:i/>
          <w:lang w:val="en-US"/>
        </w:rPr>
      </w:pPr>
      <w:r w:rsidRPr="00544AB7">
        <w:rPr>
          <w:rStyle w:val="Fontdeparagrafimplicit"/>
          <w:i/>
          <w:lang w:val="en-US"/>
        </w:rPr>
        <w:t xml:space="preserve">De asemenea, avand în vedere ca reconstituirea datelor primite de </w:t>
      </w:r>
      <w:r w:rsidRPr="00544AB7" w:rsidR="004C2395">
        <w:rPr>
          <w:rStyle w:val="Fontdeparagrafimplicit"/>
          <w:i/>
          <w:lang w:val="en-US"/>
        </w:rPr>
        <w:t>...Z...</w:t>
      </w:r>
      <w:r w:rsidRPr="00544AB7">
        <w:rPr>
          <w:rStyle w:val="Fontdeparagrafimplicit"/>
          <w:i/>
          <w:lang w:val="en-US"/>
        </w:rPr>
        <w:t xml:space="preserv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în scopul furnizarii raspunsului la intrebarea adresata de Consiliul Concurentei a fost realizata pe baza rapoartelor identificate în arhivele interne ale societatii, fara </w:t>
      </w:r>
      <w:r w:rsidRPr="00544AB7">
        <w:rPr>
          <w:rStyle w:val="Fontdeparagrafimplicit"/>
          <w:i/>
          <w:lang w:val="en-US"/>
        </w:rPr>
        <w:t>a</w:t>
      </w:r>
      <w:r w:rsidRPr="00544AB7">
        <w:rPr>
          <w:rStyle w:val="Fontdeparagrafimplicit"/>
          <w:i/>
          <w:lang w:val="en-US"/>
        </w:rPr>
        <w:t xml:space="preserve"> avea posibilitatea de a identifica corespondenta electronica aferenta insotitoare nu putem delimita cu precizie care raportari au fost diseminate efectiv de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w:t>
      </w:r>
    </w:p>
    <w:p w:rsidRPr="00544AB7" w:rsidR="00D41C6E">
      <w:pPr>
        <w:suppressAutoHyphens/>
        <w:ind w:firstLine="708"/>
        <w:jc w:val="both"/>
        <w:rPr>
          <w:rStyle w:val="Fontdeparagrafimplicit"/>
          <w:i/>
          <w:lang w:val="en-US"/>
        </w:rPr>
      </w:pPr>
      <w:r w:rsidRPr="00544AB7">
        <w:rPr>
          <w:rStyle w:val="Fontdeparagrafimplicit"/>
          <w:i/>
          <w:lang w:val="en-US"/>
        </w:rPr>
        <w:t xml:space="preserve">In masura în care considerati necesar, ramanem disponibili sa punem la dispozitie Consiliului Concurentei rapoartele identificate. </w:t>
      </w:r>
    </w:p>
    <w:p w:rsidRPr="00544AB7" w:rsidR="00D41C6E">
      <w:pPr>
        <w:suppressAutoHyphens/>
        <w:ind w:firstLine="708"/>
        <w:jc w:val="both"/>
        <w:rPr>
          <w:rStyle w:val="Fontdeparagrafimplicit"/>
          <w:i/>
          <w:lang w:val="en-US"/>
        </w:rPr>
      </w:pPr>
      <w:r w:rsidRPr="00544AB7">
        <w:rPr>
          <w:rStyle w:val="Fontdeparagrafimplicit"/>
          <w:i/>
          <w:lang w:val="en-US"/>
        </w:rPr>
        <w:t xml:space="preserve">Informatiile privind datele mentionate mai jos sunt rezultatul reconstituirilor realizate pe baza rapoartelor identificate până în prezent din bazele de date interne ale societatii, în scopul furnizarii unui raspuns cât mai complet la cererea adresata de Consiliul Concurentei. </w:t>
      </w:r>
    </w:p>
    <w:p w:rsidRPr="00544AB7" w:rsidR="00D41C6E">
      <w:pPr>
        <w:suppressAutoHyphens/>
        <w:ind w:firstLine="708"/>
        <w:jc w:val="both"/>
        <w:rPr>
          <w:rStyle w:val="Fontdeparagrafimplicit"/>
          <w:i/>
          <w:lang w:val="en-US"/>
        </w:rPr>
      </w:pPr>
      <w:r w:rsidRPr="00544AB7">
        <w:rPr>
          <w:rStyle w:val="Fontdeparagrafimplicit"/>
          <w:i/>
          <w:lang w:val="en-US"/>
        </w:rPr>
        <w:t xml:space="preserve">Va rugam sa aveti în vedere faptul ca indicatorii mentionati mai jos reprezinta indicatorii continuti de standardul de raport pe care </w:t>
      </w:r>
      <w:r w:rsidRPr="00544AB7" w:rsidR="004C2395">
        <w:rPr>
          <w:rStyle w:val="Fontdeparagrafimplicit"/>
          <w:i/>
          <w:lang w:val="en-US"/>
        </w:rPr>
        <w:t>...Z...</w:t>
      </w:r>
      <w:r w:rsidRPr="00544AB7">
        <w:rPr>
          <w:rStyle w:val="Fontdeparagrafimplicit"/>
          <w:i/>
          <w:lang w:val="en-US"/>
        </w:rPr>
        <w:t xml:space="preserve"> l-a primit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Astfel, este posibil ca în unele rapoarte rubricile aferente unora dintre acesti indicatori sa nu fi fost completate sau sa fi fost completate partial.  </w:t>
      </w:r>
    </w:p>
    <w:p w:rsidRPr="00544AB7" w:rsidR="00D41C6E">
      <w:pPr>
        <w:suppressAutoHyphens/>
        <w:ind w:firstLine="708"/>
        <w:jc w:val="both"/>
        <w:rPr>
          <w:rStyle w:val="Fontdeparagrafimplicit"/>
          <w:i/>
          <w:lang w:val="en-US"/>
        </w:rPr>
      </w:pPr>
      <w:r w:rsidRPr="00544AB7">
        <w:rPr>
          <w:rStyle w:val="Fontdeparagrafimplicit"/>
          <w:i/>
          <w:lang w:val="en-US"/>
        </w:rPr>
        <w:t xml:space="preserve">În ceea ce privește frecventa raportărilor realizate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precizăm că, potrivit informațiilor identificate în baza de date internă, am identificat ca rapoartele erau transmise [INFORMATII CONFIDENTIALE].</w:t>
      </w:r>
    </w:p>
    <w:p w:rsidRPr="00544AB7" w:rsidR="00D41C6E">
      <w:pPr>
        <w:suppressAutoHyphens/>
        <w:ind w:firstLine="708"/>
        <w:jc w:val="both"/>
        <w:rPr>
          <w:rStyle w:val="Fontdeparagrafimplicit"/>
          <w:i/>
          <w:lang w:val="en-US"/>
        </w:rPr>
      </w:pPr>
      <w:r w:rsidRPr="00544AB7">
        <w:rPr>
          <w:rStyle w:val="Fontdeparagrafimplicit"/>
          <w:i/>
          <w:lang w:val="en-US"/>
        </w:rPr>
        <w:t xml:space="preserve">Avand în vedere ca structura raportarilor primite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precum şi informatiile continute de acestea au variat de-a lungul perioadei [INFORMATII CONFIDENTIALE], </w:t>
      </w:r>
      <w:r w:rsidRPr="00544AB7" w:rsidR="004C2395">
        <w:rPr>
          <w:rStyle w:val="Fontdeparagrafimplicit"/>
          <w:i/>
          <w:lang w:val="en-US"/>
        </w:rPr>
        <w:t>...Z...</w:t>
      </w:r>
      <w:r w:rsidRPr="00544AB7">
        <w:rPr>
          <w:rStyle w:val="Fontdeparagrafimplicit"/>
          <w:i/>
          <w:lang w:val="en-US"/>
        </w:rPr>
        <w:t xml:space="preserve"> prezinta mai jos cate un exemplu de raportare [INFORMATII CONFIDENTIALE] pentru care au fost identificate în arhiva interna astfel de raportari, precum şi [INFORMATII CONFIDENTIALE] şi care prezinta anumite diferente fata de raportarile precedente. </w:t>
      </w:r>
    </w:p>
    <w:p w:rsidRPr="00544AB7" w:rsidR="00D41C6E">
      <w:pPr>
        <w:suppressAutoHyphens/>
        <w:ind w:firstLine="708"/>
        <w:jc w:val="both"/>
        <w:rPr>
          <w:rStyle w:val="Fontdeparagrafimplicit"/>
          <w:i/>
          <w:lang w:val="en-US"/>
        </w:rPr>
      </w:pPr>
      <w:r w:rsidRPr="00544AB7">
        <w:rPr>
          <w:rStyle w:val="Fontdeparagrafimplicit"/>
          <w:i/>
          <w:lang w:val="en-US"/>
        </w:rPr>
        <w:t xml:space="preserve">Indicatorii prezentati mai jos reprezinta informatiile preluate din rubricile tabelelor identificate ca fiind primite de </w:t>
      </w:r>
      <w:r w:rsidRPr="00544AB7" w:rsidR="004C2395">
        <w:rPr>
          <w:rStyle w:val="Fontdeparagrafimplicit"/>
          <w:i/>
          <w:lang w:val="en-US"/>
        </w:rPr>
        <w:t>...Z...</w:t>
      </w:r>
      <w:r w:rsidRPr="00544AB7">
        <w:rPr>
          <w:rStyle w:val="Fontdeparagrafimplicit"/>
          <w:i/>
          <w:lang w:val="en-US"/>
        </w:rPr>
        <w:t xml:space="preserve"> de la </w:t>
      </w:r>
      <w:r w:rsidRPr="00544AB7" w:rsidR="0075748D">
        <w:rPr>
          <w:rStyle w:val="Fontdeparagrafimplicit"/>
          <w:i/>
          <w:lang w:val="en-US"/>
        </w:rPr>
        <w:t>...W*...</w:t>
      </w:r>
      <w:r w:rsidRPr="00544AB7">
        <w:rPr>
          <w:rStyle w:val="Fontdeparagrafimplicit"/>
          <w:i/>
          <w:lang w:val="en-US"/>
        </w:rPr>
        <w:t>/</w:t>
      </w:r>
      <w:r w:rsidRPr="00544AB7" w:rsidR="0018311F">
        <w:rPr>
          <w:rStyle w:val="Fontdeparagrafimplicit"/>
          <w:i/>
          <w:lang w:val="en-US"/>
        </w:rPr>
        <w:t>...X...</w:t>
      </w:r>
      <w:r w:rsidRPr="00544AB7">
        <w:rPr>
          <w:rStyle w:val="Fontdeparagrafimplicit"/>
          <w:i/>
          <w:lang w:val="en-US"/>
        </w:rPr>
        <w:t xml:space="preserve">. </w:t>
      </w:r>
    </w:p>
    <w:p w:rsidRPr="00544AB7" w:rsidR="00D41C6E">
      <w:pPr>
        <w:suppressAutoHyphens/>
        <w:jc w:val="both"/>
        <w:rPr>
          <w:rStyle w:val="Fontdeparagrafimplicit"/>
          <w:i/>
          <w:lang w:val="en-US"/>
        </w:rPr>
      </w:pPr>
      <w:r w:rsidRPr="00544AB7">
        <w:rPr>
          <w:rStyle w:val="Fontdeparagrafimplicit"/>
          <w:i/>
          <w:lang w:val="en-US"/>
        </w:rPr>
        <w:tab/>
      </w:r>
      <w:r w:rsidRPr="00544AB7">
        <w:rPr>
          <w:rStyle w:val="Fontdeparagrafimplicit"/>
          <w:i/>
          <w:lang w:val="en-US"/>
        </w:rPr>
        <w:t></w:t>
      </w:r>
      <w:r w:rsidRPr="00544AB7">
        <w:rPr>
          <w:rStyle w:val="Fontdeparagrafimplicit"/>
          <w:i/>
          <w:lang w:val="en-US"/>
        </w:rPr>
        <w:tab/>
        <w:t>2008 şi 2009 - exemple de raportari trimestriale (trimestrul 4/2008 şi trimestrul 1/2009)</w:t>
      </w:r>
    </w:p>
    <w:p w:rsidRPr="00544AB7" w:rsidR="00D41C6E">
      <w:pPr>
        <w:suppressAutoHyphens/>
        <w:jc w:val="both"/>
        <w:rPr>
          <w:rStyle w:val="Fontdeparagrafimplicit"/>
          <w:i/>
          <w:lang w:val="en-US"/>
        </w:rPr>
      </w:pPr>
      <w:r w:rsidRPr="00544AB7">
        <w:rPr>
          <w:rStyle w:val="Fontdeparagrafimplicit"/>
          <w:i/>
          <w:lang w:val="en-US"/>
        </w:rPr>
        <w:tab/>
        <w:t>(…)</w:t>
      </w:r>
    </w:p>
    <w:p w:rsidRPr="00544AB7" w:rsidR="00D41C6E">
      <w:pPr>
        <w:suppressAutoHyphens/>
        <w:jc w:val="both"/>
        <w:rPr>
          <w:rStyle w:val="Fontdeparagrafimplicit"/>
          <w:i/>
          <w:lang w:val="en-US"/>
        </w:rPr>
      </w:pPr>
      <w:r w:rsidRPr="00544AB7">
        <w:rPr>
          <w:rStyle w:val="Fontdeparagrafimplicit"/>
          <w:i/>
          <w:lang w:val="en-US"/>
        </w:rPr>
        <w:tab/>
      </w:r>
      <w:r w:rsidRPr="00544AB7">
        <w:rPr>
          <w:rStyle w:val="Fontdeparagrafimplicit"/>
          <w:i/>
          <w:lang w:val="en-US"/>
        </w:rPr>
        <w:t></w:t>
      </w:r>
      <w:r w:rsidRPr="00544AB7">
        <w:rPr>
          <w:rStyle w:val="Fontdeparagrafimplicit"/>
          <w:i/>
          <w:lang w:val="en-US"/>
        </w:rPr>
        <w:tab/>
        <w:t xml:space="preserve"> 2013 - exemplu de raportare trimestriala (trimestrul 2/2013)</w:t>
      </w:r>
    </w:p>
    <w:p w:rsidRPr="00544AB7" w:rsidR="00D41C6E">
      <w:pPr>
        <w:suppressAutoHyphens/>
        <w:jc w:val="both"/>
        <w:rPr>
          <w:rStyle w:val="Fontdeparagrafimplicit"/>
          <w:i/>
          <w:lang w:val="en-US"/>
        </w:rPr>
      </w:pPr>
      <w:r w:rsidRPr="00544AB7">
        <w:rPr>
          <w:rStyle w:val="Fontdeparagrafimplicit"/>
          <w:i/>
          <w:lang w:val="en-US"/>
        </w:rPr>
        <w:tab/>
        <w:t>(…)</w:t>
      </w:r>
    </w:p>
    <w:p w:rsidRPr="00544AB7" w:rsidR="00D41C6E">
      <w:pPr>
        <w:suppressAutoHyphens/>
        <w:jc w:val="both"/>
        <w:rPr>
          <w:rStyle w:val="Fontdeparagrafimplicit"/>
          <w:i/>
          <w:lang w:val="en-US"/>
        </w:rPr>
      </w:pPr>
      <w:r w:rsidRPr="00544AB7">
        <w:rPr>
          <w:rStyle w:val="Fontdeparagrafimplicit"/>
          <w:i/>
          <w:lang w:val="en-US"/>
        </w:rPr>
        <w:tab/>
      </w:r>
      <w:r w:rsidRPr="00544AB7">
        <w:rPr>
          <w:rStyle w:val="Fontdeparagrafimplicit"/>
          <w:i/>
          <w:lang w:val="en-US"/>
        </w:rPr>
        <w:t></w:t>
      </w:r>
      <w:r w:rsidRPr="00544AB7">
        <w:rPr>
          <w:rStyle w:val="Fontdeparagrafimplicit"/>
          <w:i/>
          <w:lang w:val="en-US"/>
        </w:rPr>
        <w:tab/>
        <w:t>2014- exemplu de raportare trimestriala (trimestrul 1)</w:t>
      </w:r>
    </w:p>
    <w:p w:rsidRPr="00544AB7" w:rsidR="00D41C6E">
      <w:pPr>
        <w:suppressAutoHyphens/>
        <w:jc w:val="both"/>
        <w:rPr>
          <w:rStyle w:val="Fontdeparagrafimplicit"/>
          <w:i/>
          <w:lang w:val="en-US"/>
        </w:rPr>
      </w:pPr>
      <w:r w:rsidRPr="00544AB7">
        <w:rPr>
          <w:rStyle w:val="Fontdeparagrafimplicit"/>
          <w:i/>
          <w:lang w:val="en-US"/>
        </w:rPr>
        <w:tab/>
        <w:t>(…)</w:t>
      </w:r>
    </w:p>
    <w:p w:rsidRPr="00544AB7" w:rsidR="00D41C6E">
      <w:pPr>
        <w:suppressAutoHyphens/>
        <w:ind w:firstLine="708"/>
        <w:jc w:val="both"/>
        <w:rPr>
          <w:rStyle w:val="Fontdeparagrafimplicit"/>
          <w:i/>
          <w:lang w:val="en-US"/>
        </w:rPr>
      </w:pPr>
      <w:r w:rsidRPr="00544AB7">
        <w:rPr>
          <w:rStyle w:val="Fontdeparagrafimplicit"/>
          <w:i/>
          <w:lang w:val="en-US"/>
        </w:rPr>
        <w:t>•</w:t>
      </w:r>
      <w:r w:rsidRPr="00544AB7">
        <w:rPr>
          <w:rStyle w:val="Fontdeparagrafimplicit"/>
          <w:i/>
          <w:lang w:val="en-US"/>
        </w:rPr>
        <w:tab/>
        <w:t>Informatii institutionale: registrul BNR, activitatea principala (CAEN), activitate secundara (CAEN), numar de sucursale, numar de angajati în sediile principale, numar de angajati în sucursale, cifra de afaceri, totalul sumelor platite cu titlu de taxe şi comisioane la bugetul de stat pentru perioada de raportare, taxe privind angajatorul, taxe şi comisioane privind angajatii, estimare pentru noul volum finantat în 2014</w:t>
      </w:r>
    </w:p>
    <w:p w:rsidRPr="00544AB7" w:rsidR="00D41C6E">
      <w:pPr>
        <w:suppressAutoHyphens/>
        <w:jc w:val="both"/>
        <w:rPr>
          <w:rStyle w:val="Fontdeparagrafimplicit"/>
          <w:i/>
          <w:lang w:val="en-US"/>
        </w:rPr>
      </w:pPr>
      <w:r w:rsidRPr="00544AB7">
        <w:rPr>
          <w:rStyle w:val="Fontdeparagrafimplicit"/>
          <w:i/>
          <w:lang w:val="en-US"/>
        </w:rPr>
        <w:tab/>
        <w:t>(…)</w:t>
      </w:r>
    </w:p>
    <w:p w:rsidRPr="00544AB7" w:rsidR="00D41C6E">
      <w:pPr>
        <w:suppressAutoHyphens/>
        <w:ind w:firstLine="708"/>
        <w:jc w:val="both"/>
        <w:rPr>
          <w:rStyle w:val="Fontdeparagrafimplicit"/>
          <w:lang w:val="en-US"/>
        </w:rPr>
      </w:pPr>
      <w:r w:rsidRPr="00544AB7">
        <w:rPr>
          <w:rStyle w:val="Fontdeparagrafimplicit"/>
          <w:i/>
          <w:lang w:val="en-US"/>
        </w:rPr>
        <w:t></w:t>
      </w:r>
      <w:r w:rsidRPr="00544AB7">
        <w:rPr>
          <w:rStyle w:val="Fontdeparagrafimplicit"/>
          <w:i/>
          <w:lang w:val="en-US"/>
        </w:rPr>
        <w:tab/>
        <w:t>2015- exemplu de raportare trimestriala (trimestrul 1</w:t>
      </w:r>
      <w:r w:rsidRPr="00544AB7">
        <w:rPr>
          <w:rStyle w:val="Fontdeparagrafimplicit"/>
          <w:lang w:val="en-US"/>
        </w:rPr>
        <w:t>)”</w:t>
      </w:r>
    </w:p>
    <w:p w:rsidRPr="00544AB7" w:rsidR="00D41C6E">
      <w:pPr>
        <w:suppressAutoHyphens/>
        <w:ind w:firstLine="708"/>
        <w:jc w:val="both"/>
        <w:rPr>
          <w:rStyle w:val="Fontdeparagrafimplicit"/>
          <w:lang w:val="en-US"/>
        </w:rPr>
      </w:pPr>
      <w:r w:rsidRPr="00544AB7">
        <w:rPr>
          <w:rStyle w:val="Fontdeparagrafimplicit"/>
          <w:lang w:val="en-US"/>
        </w:rPr>
        <w:t xml:space="preserve">De asemenea, nici </w:t>
      </w:r>
      <w:r w:rsidRPr="00544AB7">
        <w:rPr>
          <w:rStyle w:val="Fontdeparagrafimplicit"/>
          <w:lang w:val="en-US"/>
        </w:rPr>
        <w:t>afirmaţiile  făcute</w:t>
      </w:r>
      <w:r w:rsidRPr="00544AB7">
        <w:rPr>
          <w:rStyle w:val="Fontdeparagrafimplicit"/>
          <w:lang w:val="en-US"/>
        </w:rPr>
        <w:t xml:space="preserve"> de </w:t>
      </w:r>
      <w:r w:rsidRPr="00544AB7" w:rsidR="0018311F">
        <w:rPr>
          <w:rStyle w:val="Fontdeparagrafimplicit"/>
          <w:lang w:val="en-US"/>
        </w:rPr>
        <w:t>...X...</w:t>
      </w:r>
      <w:r w:rsidRPr="00544AB7">
        <w:rPr>
          <w:rStyle w:val="Fontdeparagrafimplicit"/>
          <w:lang w:val="en-US"/>
        </w:rPr>
        <w:t xml:space="preserve"> în cadrul procedurii de clemenţă nu oferă suport probator, în condiţiile în care ele nu conţin decat interpretări ale reprezentantului acesteia, dna.</w:t>
      </w:r>
      <w:r w:rsidRPr="00544AB7" w:rsidR="00FC6A20">
        <w:rPr>
          <w:rStyle w:val="Fontdeparagrafimplicit"/>
          <w:lang w:val="en-US"/>
        </w:rPr>
        <w:t>...R...</w:t>
      </w:r>
      <w:r w:rsidRPr="00544AB7">
        <w:rPr>
          <w:rStyle w:val="Fontdeparagrafimplicit"/>
          <w:lang w:val="en-US"/>
        </w:rPr>
        <w:t>, cu privire la relevanţa schimbului de informaţii, adică opinia unei terte persoane, dar nu dovezi ale schimbului efectiv, mai exact dovezi ale ridicării de către reclamantă a filei Institutional Info, în data de 10.03.2014.</w:t>
      </w:r>
    </w:p>
    <w:p w:rsidRPr="00544AB7" w:rsidR="00D41C6E">
      <w:pPr>
        <w:suppressAutoHyphens/>
        <w:ind w:firstLine="708"/>
        <w:jc w:val="both"/>
        <w:rPr>
          <w:rStyle w:val="Fontdeparagrafimplicit"/>
          <w:lang w:val="en-US"/>
        </w:rPr>
      </w:pPr>
      <w:r w:rsidRPr="00544AB7">
        <w:rPr>
          <w:rStyle w:val="Fontdeparagrafimplicit"/>
          <w:lang w:val="en-US"/>
        </w:rPr>
        <w:t xml:space="preserve">Mai mult, în privinţa “detaliilor” (care reprezintă de fapt elementul esenţial ce trebuia probat, adică conţinutul concret al înscrisurilor primite)  reprezentantul </w:t>
      </w:r>
      <w:r w:rsidRPr="00544AB7" w:rsidR="0018311F">
        <w:rPr>
          <w:rStyle w:val="Fontdeparagrafimplicit"/>
          <w:lang w:val="en-US"/>
        </w:rPr>
        <w:t>...X...</w:t>
      </w:r>
      <w:r w:rsidRPr="00544AB7">
        <w:rPr>
          <w:rStyle w:val="Fontdeparagrafimplicit"/>
          <w:lang w:val="en-US"/>
        </w:rPr>
        <w:t xml:space="preserve"> menţionează ca “pentru perioada menţionată de dumneavoastră, responsabilă direct pentru relaţia cu membrii </w:t>
      </w:r>
      <w:r w:rsidRPr="00544AB7" w:rsidR="0075748D">
        <w:rPr>
          <w:rStyle w:val="Fontdeparagrafimplicit"/>
          <w:lang w:val="en-US"/>
        </w:rPr>
        <w:t>...W*...</w:t>
      </w:r>
      <w:r w:rsidRPr="00544AB7">
        <w:rPr>
          <w:rStyle w:val="Fontdeparagrafimplicit"/>
          <w:lang w:val="en-US"/>
        </w:rPr>
        <w:t xml:space="preserve"> în domeniul pregătirii rapoartelor periodice este dl.</w:t>
      </w:r>
      <w:r w:rsidRPr="00544AB7" w:rsidR="004C2395">
        <w:rPr>
          <w:rStyle w:val="Fontdeparagrafimplicit"/>
          <w:lang w:val="en-US"/>
        </w:rPr>
        <w:t>...T...</w:t>
      </w:r>
      <w:r w:rsidRPr="00544AB7">
        <w:rPr>
          <w:rStyle w:val="Fontdeparagrafimplicit"/>
          <w:lang w:val="en-US"/>
        </w:rPr>
        <w:t>, care vă poate oferi eventuale alte detalii.De asemenea, menţionăm faptul că dl.</w:t>
      </w:r>
      <w:r w:rsidRPr="00544AB7" w:rsidR="004C2395">
        <w:rPr>
          <w:rStyle w:val="Fontdeparagrafimplicit"/>
          <w:lang w:val="en-US"/>
        </w:rPr>
        <w:t>...T...</w:t>
      </w:r>
      <w:r w:rsidRPr="00544AB7">
        <w:rPr>
          <w:rStyle w:val="Fontdeparagrafimplicit"/>
          <w:lang w:val="en-US"/>
        </w:rPr>
        <w:t xml:space="preserve"> nu mai lucrează la întreprinderea noastră …” (paragraful 565 decizie).</w:t>
      </w:r>
    </w:p>
    <w:p w:rsidRPr="00544AB7" w:rsidR="00D41C6E">
      <w:pPr>
        <w:suppressAutoHyphens/>
        <w:ind w:firstLine="708"/>
        <w:jc w:val="both"/>
        <w:rPr>
          <w:rStyle w:val="Fontdeparagrafimplicit"/>
          <w:lang w:val="en-US"/>
        </w:rPr>
      </w:pPr>
      <w:r w:rsidRPr="00544AB7">
        <w:rPr>
          <w:rStyle w:val="Fontdeparagrafimplicit"/>
          <w:lang w:val="en-US"/>
        </w:rPr>
        <w:t>Cu privire la dl.</w:t>
      </w:r>
      <w:r w:rsidRPr="00544AB7" w:rsidR="004C2395">
        <w:rPr>
          <w:rStyle w:val="Fontdeparagrafimplicit"/>
          <w:lang w:val="en-US"/>
        </w:rPr>
        <w:t>...T...</w:t>
      </w:r>
      <w:r w:rsidRPr="00544AB7">
        <w:rPr>
          <w:rStyle w:val="Fontdeparagrafimplicit"/>
          <w:lang w:val="en-US"/>
        </w:rPr>
        <w:t>, decizia contestată nu precizează nimic, nerezultând că acestuia i s-ar fi solicitat vreo informaţie cu privire la modalitatea în care s-au realizat schimburile de informaţii incriminate, deşi chiar aceasta era persoana responsabilă cu colectarea şi diseminarea acestora, fiind deci, alături de societăţile însele, cea mai în măsură să ofere detalii concrete.</w:t>
      </w:r>
    </w:p>
    <w:p w:rsidRPr="00544AB7" w:rsidR="00D41C6E">
      <w:pPr>
        <w:suppressAutoHyphens/>
        <w:ind w:firstLine="708"/>
        <w:jc w:val="both"/>
        <w:rPr>
          <w:rStyle w:val="Fontdeparagrafimplicit"/>
          <w:lang w:val="en-US"/>
        </w:rPr>
      </w:pPr>
      <w:r w:rsidRPr="00544AB7">
        <w:rPr>
          <w:rStyle w:val="Fontdeparagrafimplicit"/>
          <w:lang w:val="en-US"/>
        </w:rPr>
        <w:t xml:space="preserve">Coroborând cele de mai sus, instanţa apreciază că în cauză nu s-a făcut dovada faptului că printre înscrisurile ridicate de reprezentantul reclamantei de la sediul </w:t>
      </w:r>
      <w:r w:rsidRPr="00544AB7" w:rsidR="0018311F">
        <w:rPr>
          <w:rStyle w:val="Fontdeparagrafimplicit"/>
          <w:lang w:val="en-US"/>
        </w:rPr>
        <w:t>...X...</w:t>
      </w:r>
      <w:r w:rsidRPr="00544AB7">
        <w:rPr>
          <w:rStyle w:val="Fontdeparagrafimplicit"/>
          <w:lang w:val="en-US"/>
        </w:rPr>
        <w:t>, în data de 10.03.2014, se afla şi fila Institutional Info.</w:t>
      </w:r>
    </w:p>
    <w:p w:rsidRPr="00544AB7" w:rsidR="00D41C6E">
      <w:pPr>
        <w:suppressAutoHyphens/>
        <w:ind w:firstLine="708"/>
        <w:jc w:val="both"/>
        <w:rPr>
          <w:rStyle w:val="Fontdeparagrafimplicit"/>
          <w:lang w:val="en-US"/>
        </w:rPr>
      </w:pPr>
      <w:r w:rsidRPr="00544AB7">
        <w:rPr>
          <w:rStyle w:val="Fontdeparagrafimplicit"/>
          <w:lang w:val="en-US"/>
        </w:rPr>
        <w:t>Or, în lipsa dovedirii acestei împrejurari de fapt esenţiale, nu se poate reţine în sarcina reclamantei participarea la o înţelegere/practică anticoncurenţială, fapta imputată nefiind probată şi deci neexistând din punct de vedere juridic.</w:t>
      </w:r>
    </w:p>
    <w:p w:rsidRPr="00544AB7" w:rsidR="00D41C6E">
      <w:pPr>
        <w:suppressAutoHyphens/>
        <w:ind w:firstLine="708"/>
        <w:jc w:val="both"/>
        <w:rPr>
          <w:rStyle w:val="Fontdeparagrafimplicit"/>
          <w:lang w:val="en-US"/>
        </w:rPr>
      </w:pPr>
      <w:r w:rsidRPr="00544AB7">
        <w:rPr>
          <w:rStyle w:val="Fontdeparagrafimplicit"/>
          <w:lang w:val="en-US"/>
        </w:rPr>
        <w:t xml:space="preserve">Cum această concluzie este suficientă pentru a determina anularea deciziei contestate în ceea ce o priveşte pe reclamantă, cercetarea celorlalte aspecte, precum cele legate de determinarea pieţei relevante, de caracterul sensibil al informaţiilor comunicate reciproc, de </w:t>
      </w:r>
      <w:r w:rsidRPr="00544AB7">
        <w:rPr>
          <w:rStyle w:val="Fontdeparagrafimplicit"/>
          <w:lang w:val="en-US"/>
        </w:rPr>
        <w:t xml:space="preserve">efectul anticoncurenţial pe care acest schimb l-ar fi putut produce, </w:t>
      </w:r>
      <w:r w:rsidRPr="00544AB7">
        <w:rPr>
          <w:rStyle w:val="Fontdeparagrafimplicit"/>
          <w:lang w:val="en-US"/>
        </w:rPr>
        <w:t>respectiv  de</w:t>
      </w:r>
      <w:r w:rsidRPr="00544AB7">
        <w:rPr>
          <w:rStyle w:val="Fontdeparagrafimplicit"/>
          <w:lang w:val="en-US"/>
        </w:rPr>
        <w:t xml:space="preserve"> individualizarea sancţiunii, devine inutilă.</w:t>
      </w:r>
    </w:p>
    <w:p w:rsidRPr="00544AB7" w:rsidR="00D41C6E">
      <w:pPr>
        <w:suppressAutoHyphens/>
        <w:ind w:firstLine="708"/>
        <w:jc w:val="both"/>
        <w:rPr>
          <w:rStyle w:val="Fontdeparagrafimplicit"/>
          <w:lang w:val="en-US"/>
        </w:rPr>
      </w:pPr>
      <w:r w:rsidRPr="00544AB7">
        <w:rPr>
          <w:rStyle w:val="Fontdeparagrafimplicit"/>
          <w:lang w:val="en-US"/>
        </w:rPr>
        <w:t>Pe cale de consecinta, instanţa va admite acţiunea, va anula în parte decizia nr</w:t>
      </w:r>
      <w:r w:rsidRPr="00544AB7" w:rsidR="00B64ABE">
        <w:rPr>
          <w:rStyle w:val="Fontdeparagrafimplicit"/>
          <w:lang w:val="en-US"/>
        </w:rPr>
        <w:t>…..</w:t>
      </w:r>
      <w:r w:rsidRPr="00544AB7">
        <w:rPr>
          <w:rStyle w:val="Fontdeparagrafimplicit"/>
          <w:lang w:val="en-US"/>
        </w:rPr>
        <w:t>/09.112.2020 emisa de parat, în privinţa sancţiunii aplicate reclamantei.</w:t>
      </w:r>
    </w:p>
    <w:p w:rsidRPr="00544AB7" w:rsidR="00D41C6E">
      <w:pPr>
        <w:suppressAutoHyphens/>
        <w:ind w:firstLine="708"/>
        <w:jc w:val="both"/>
        <w:rPr>
          <w:rStyle w:val="Fontdeparagrafimplicit"/>
          <w:lang w:val="en-US"/>
        </w:rPr>
      </w:pPr>
      <w:r w:rsidRPr="00544AB7">
        <w:rPr>
          <w:rStyle w:val="Fontdeparagrafimplicit"/>
          <w:lang w:val="en-US"/>
        </w:rPr>
        <w:t>Va respinge capetele de cerere privind anularea Ordinului nr......./20.11.2017 privind declanşarea investigaţiei şi a raportului de investigaţie.</w:t>
      </w:r>
    </w:p>
    <w:p w:rsidRPr="00544AB7" w:rsidR="00D41C6E">
      <w:pPr>
        <w:suppressAutoHyphens/>
        <w:ind w:firstLine="708"/>
        <w:jc w:val="both"/>
        <w:rPr>
          <w:rStyle w:val="Fontdeparagrafimplicit"/>
          <w:lang w:val="en-US"/>
        </w:rPr>
      </w:pPr>
      <w:r w:rsidRPr="00544AB7">
        <w:rPr>
          <w:rStyle w:val="Fontdeparagrafimplicit"/>
          <w:lang w:val="en-US"/>
        </w:rPr>
        <w:t xml:space="preserve">Astfel, în ceea ce priveşte ordinul de declanşare a investigaţiei, curtea a constat că singurul motiv de nulitate invocat în privinţa acestuia, respectiv nelegala exercitare a </w:t>
      </w:r>
      <w:r w:rsidRPr="00544AB7">
        <w:rPr>
          <w:rStyle w:val="Fontdeparagrafimplicit"/>
          <w:lang w:val="en-US"/>
        </w:rPr>
        <w:t>mandatului  de</w:t>
      </w:r>
      <w:r w:rsidRPr="00544AB7">
        <w:rPr>
          <w:rStyle w:val="Fontdeparagrafimplicit"/>
          <w:lang w:val="en-US"/>
        </w:rPr>
        <w:t xml:space="preserve"> către doi din membrii plenului-domnii </w:t>
      </w:r>
      <w:r w:rsidRPr="00544AB7" w:rsidR="00136365">
        <w:rPr>
          <w:rStyle w:val="Fontdeparagrafimplicit"/>
          <w:lang w:val="en-US"/>
        </w:rPr>
        <w:t>...M.1...</w:t>
      </w:r>
      <w:r w:rsidRPr="00544AB7">
        <w:rPr>
          <w:rStyle w:val="Fontdeparagrafimplicit"/>
          <w:lang w:val="en-US"/>
        </w:rPr>
        <w:t xml:space="preserve"> si </w:t>
      </w:r>
      <w:r w:rsidRPr="00544AB7" w:rsidR="00136365">
        <w:rPr>
          <w:rStyle w:val="Fontdeparagrafimplicit"/>
          <w:lang w:val="en-US"/>
        </w:rPr>
        <w:t>...M.2...</w:t>
      </w:r>
      <w:r w:rsidRPr="00544AB7">
        <w:rPr>
          <w:rStyle w:val="Fontdeparagrafimplicit"/>
          <w:lang w:val="en-US"/>
        </w:rPr>
        <w:t>, este neîntemeiat, astfel încât soluţia care se impune este de respingere a cererii de anulare a ordinului.</w:t>
      </w:r>
    </w:p>
    <w:p w:rsidRPr="00544AB7" w:rsidR="00D41C6E">
      <w:pPr>
        <w:suppressAutoHyphens/>
        <w:ind w:firstLine="708"/>
        <w:jc w:val="both"/>
        <w:rPr>
          <w:rStyle w:val="Fontdeparagrafimplicit"/>
          <w:lang w:val="en-US"/>
        </w:rPr>
      </w:pPr>
      <w:r w:rsidRPr="00544AB7">
        <w:rPr>
          <w:rStyle w:val="Fontdeparagrafimplicit"/>
          <w:lang w:val="en-US"/>
        </w:rPr>
        <w:t>În ceea ce priveşte raportul de investigaţie, acesta nu este producător de efecte juridice, el conţinând doar punctul de vedere pe care echipa de investigaţie şi l-a format pe baza mijloacelor de probă administrate în cursul investigaţiei.</w:t>
      </w:r>
    </w:p>
    <w:p w:rsidRPr="00544AB7" w:rsidR="00D41C6E">
      <w:pPr>
        <w:suppressAutoHyphens/>
        <w:ind w:firstLine="708"/>
        <w:jc w:val="both"/>
        <w:rPr>
          <w:rStyle w:val="Fontdeparagrafimplicit"/>
          <w:lang w:val="en-US"/>
        </w:rPr>
      </w:pPr>
      <w:r w:rsidRPr="00544AB7">
        <w:rPr>
          <w:rStyle w:val="Fontdeparagrafimplicit"/>
          <w:lang w:val="en-US"/>
        </w:rPr>
        <w:t xml:space="preserve">Or, ceea ce se supune </w:t>
      </w:r>
      <w:r w:rsidRPr="00544AB7">
        <w:rPr>
          <w:rStyle w:val="Fontdeparagrafimplicit"/>
          <w:lang w:val="en-US"/>
        </w:rPr>
        <w:t>analizei  instanţei</w:t>
      </w:r>
      <w:r w:rsidRPr="00544AB7">
        <w:rPr>
          <w:rStyle w:val="Fontdeparagrafimplicit"/>
          <w:lang w:val="en-US"/>
        </w:rPr>
        <w:t xml:space="preserve"> de judecată nu este opinia echipei de investigaţie, ci opinia pe care Consiliul Concurenţei a exprimat-o în cuprinsul deciziei contestate, neexistând niciun motiv pentru înlăturarea din ordinea juridică a unor mijloace de probă (care de altfel nici nu au fost contestate în substanţa lor), a unor proceduri de  investigaţie sau a unor opinii care, toate, au putut fi de altfel combătute de reclamantă cu ocazia deliberărilor organizate de Consiliu.</w:t>
      </w:r>
    </w:p>
    <w:p w:rsidRPr="00544AB7" w:rsidR="00D41C6E">
      <w:pPr>
        <w:suppressAutoHyphens/>
        <w:ind w:firstLine="708"/>
        <w:jc w:val="both"/>
        <w:rPr>
          <w:rStyle w:val="Fontdeparagrafimplicit"/>
          <w:lang w:val="en-US"/>
        </w:rPr>
      </w:pPr>
      <w:r w:rsidRPr="00544AB7">
        <w:rPr>
          <w:rStyle w:val="Fontdeparagrafimplicit"/>
          <w:lang w:val="en-US"/>
        </w:rPr>
        <w:t xml:space="preserve">Dată fiind anularea sancţiunii, va respinge ca rămas fără obiect capătul de cerere privind constatarea prescripţiei executării sancţiunii contravenţionale, fiind evident că, în lipsa unei sancţiuni, nu se poate vorbi de executarea acesteia şi deci nici de eventuale impedimente la executare. </w:t>
      </w:r>
    </w:p>
    <w:p w:rsidRPr="00544AB7" w:rsidR="00D41C6E">
      <w:pPr>
        <w:suppressAutoHyphens/>
        <w:ind w:firstLine="708"/>
        <w:jc w:val="both"/>
        <w:rPr>
          <w:rStyle w:val="Fontdeparagrafimplicit"/>
          <w:i/>
          <w:lang w:val="en-US"/>
        </w:rPr>
      </w:pPr>
      <w:r w:rsidRPr="00544AB7">
        <w:rPr>
          <w:rStyle w:val="Fontdeparagrafimplicit"/>
          <w:i/>
          <w:lang w:val="en-US"/>
        </w:rPr>
        <w:t>II.2 Temeiul legal al soluţiei dispuse</w:t>
      </w:r>
    </w:p>
    <w:p w:rsidRPr="00544AB7" w:rsidR="00D41C6E">
      <w:pPr>
        <w:suppressAutoHyphens/>
        <w:ind w:firstLine="708"/>
        <w:jc w:val="both"/>
        <w:rPr>
          <w:rStyle w:val="Fontdeparagrafimplicit"/>
          <w:lang w:val="en-US"/>
        </w:rPr>
      </w:pPr>
      <w:r w:rsidRPr="00544AB7">
        <w:rPr>
          <w:rStyle w:val="Fontdeparagrafimplicit"/>
          <w:lang w:val="en-US"/>
        </w:rPr>
        <w:t>Faţă de cele expuse în precedent, în temeiul art.19, alin.7 din Legea nr.21/1996, al art.18 din Legea nr.554/2004, respectiv al art.397 C.</w:t>
      </w:r>
      <w:r w:rsidRPr="00544AB7">
        <w:rPr>
          <w:rStyle w:val="Fontdeparagrafimplicit"/>
          <w:lang w:val="en-US"/>
        </w:rPr>
        <w:t>pr.civilă</w:t>
      </w:r>
      <w:r w:rsidRPr="00544AB7">
        <w:rPr>
          <w:rStyle w:val="Fontdeparagrafimplicit"/>
          <w:lang w:val="en-US"/>
        </w:rPr>
        <w:t>, curtea va admite acţiunea în parte.</w:t>
      </w:r>
    </w:p>
    <w:p w:rsidRPr="00544AB7" w:rsidR="00D41C6E">
      <w:pPr>
        <w:suppressAutoHyphens/>
        <w:ind w:firstLine="708"/>
        <w:jc w:val="both"/>
        <w:rPr>
          <w:rStyle w:val="Fontdeparagrafimplicit"/>
          <w:lang w:val="en-US"/>
        </w:rPr>
      </w:pPr>
      <w:r w:rsidRPr="00544AB7">
        <w:rPr>
          <w:rStyle w:val="Fontdeparagrafimplicit"/>
          <w:lang w:val="en-US"/>
        </w:rPr>
        <w:t>De asemenea, în baza art.453 C.</w:t>
      </w:r>
      <w:r w:rsidRPr="00544AB7">
        <w:rPr>
          <w:rStyle w:val="Fontdeparagrafimplicit"/>
          <w:lang w:val="en-US"/>
        </w:rPr>
        <w:t>pr.civilă</w:t>
      </w:r>
      <w:r w:rsidRPr="00544AB7">
        <w:rPr>
          <w:rStyle w:val="Fontdeparagrafimplicit"/>
          <w:lang w:val="en-US"/>
        </w:rPr>
        <w:t>, instanţa va obliga pârâtul la plata către reclamantă a sumei de 50 de lei cu titlu de cheltuieli de judecată, constând în taxă de timbru.</w:t>
      </w:r>
    </w:p>
    <w:p w:rsidRPr="00544AB7" w:rsidR="00D41C6E">
      <w:pPr>
        <w:jc w:val="center"/>
        <w:rPr>
          <w:rStyle w:val="Fontdeparagrafimplicit"/>
          <w:b/>
        </w:rPr>
      </w:pPr>
    </w:p>
    <w:p w:rsidRPr="00544AB7" w:rsidR="00D41C6E">
      <w:pPr>
        <w:jc w:val="center"/>
        <w:rPr>
          <w:rStyle w:val="Fontdeparagrafimplicit"/>
        </w:rPr>
      </w:pPr>
      <w:r w:rsidRPr="00544AB7">
        <w:rPr>
          <w:rStyle w:val="Fontdeparagrafimplicit"/>
          <w:b/>
        </w:rPr>
        <w:t>PENTRU ACESTE MOTIVE,</w:t>
      </w:r>
    </w:p>
    <w:p w:rsidRPr="00544AB7" w:rsidR="00D41C6E">
      <w:pPr>
        <w:jc w:val="center"/>
        <w:rPr>
          <w:rStyle w:val="Fontdeparagrafimplicit"/>
        </w:rPr>
      </w:pPr>
      <w:r w:rsidRPr="00544AB7">
        <w:rPr>
          <w:rStyle w:val="Fontdeparagrafimplicit"/>
          <w:b/>
        </w:rPr>
        <w:t>IN  NUMELE LEGII,</w:t>
      </w:r>
    </w:p>
    <w:p w:rsidRPr="00544AB7" w:rsidR="00D41C6E">
      <w:pPr>
        <w:jc w:val="center"/>
        <w:rPr>
          <w:rStyle w:val="Fontdeparagrafimplicit"/>
          <w:b/>
        </w:rPr>
      </w:pPr>
      <w:r w:rsidRPr="00544AB7">
        <w:rPr>
          <w:rStyle w:val="Fontdeparagrafimplicit"/>
          <w:b/>
        </w:rPr>
        <w:t>HOTĂRĂŞTE:</w:t>
      </w:r>
    </w:p>
    <w:p w:rsidRPr="00544AB7" w:rsidR="00D41C6E">
      <w:pPr>
        <w:jc w:val="center"/>
        <w:rPr>
          <w:rStyle w:val="Fontdeparagrafimplicit"/>
          <w:b/>
        </w:rPr>
      </w:pPr>
    </w:p>
    <w:p w:rsidRPr="00544AB7" w:rsidR="00D41C6E">
      <w:pPr>
        <w:ind w:firstLine="708"/>
        <w:jc w:val="both"/>
        <w:rPr>
          <w:rStyle w:val="Fontdeparagrafimplicit"/>
          <w:lang w:val="en-US"/>
        </w:rPr>
      </w:pPr>
      <w:r w:rsidRPr="00544AB7">
        <w:rPr>
          <w:rStyle w:val="Fontdeparagrafimplicit"/>
          <w:lang w:val="en-US"/>
        </w:rPr>
        <w:t xml:space="preserve">Admite in parte acţiunea </w:t>
      </w:r>
      <w:r w:rsidRPr="00544AB7">
        <w:t xml:space="preserve">formulată de </w:t>
      </w:r>
      <w:r w:rsidRPr="00544AB7">
        <w:t xml:space="preserve">reclamanta  </w:t>
      </w:r>
      <w:r w:rsidRPr="00544AB7" w:rsidR="00FC492C">
        <w:rPr>
          <w:rStyle w:val="Fontdeparagrafimplicit"/>
          <w:b/>
        </w:rPr>
        <w:t>...</w:t>
      </w:r>
      <w:r w:rsidRPr="00544AB7" w:rsidR="00FC492C">
        <w:rPr>
          <w:rStyle w:val="Fontdeparagrafimplicit"/>
          <w:b/>
        </w:rPr>
        <w:t>Y...</w:t>
      </w:r>
      <w:r w:rsidRPr="00544AB7">
        <w:rPr>
          <w:rStyle w:val="Fontdeparagrafimplicit"/>
          <w:b/>
        </w:rPr>
        <w:t xml:space="preserve"> IFN S.A, </w:t>
      </w:r>
      <w:r w:rsidRPr="00544AB7">
        <w:t>cu sediul ales</w:t>
      </w:r>
      <w:r w:rsidRPr="00544AB7">
        <w:rPr>
          <w:rStyle w:val="Fontdeparagrafimplicit"/>
          <w:b/>
        </w:rPr>
        <w:t xml:space="preserve">  </w:t>
      </w:r>
      <w:r w:rsidRPr="00544AB7">
        <w:t xml:space="preserve">în </w:t>
      </w:r>
      <w:r w:rsidRPr="00544AB7" w:rsidR="00B64ABE">
        <w:t>.............................................</w:t>
      </w:r>
      <w:r w:rsidRPr="00544AB7">
        <w:t xml:space="preserve">, </w:t>
      </w:r>
      <w:r w:rsidRPr="00544AB7">
        <w:rPr>
          <w:rStyle w:val="Fontdeparagrafimplicit"/>
          <w:b/>
        </w:rPr>
        <w:t xml:space="preserve"> </w:t>
      </w:r>
      <w:r w:rsidRPr="00544AB7">
        <w:t xml:space="preserve">în contradictoriu cu pârâtul </w:t>
      </w:r>
      <w:r w:rsidRPr="00544AB7">
        <w:rPr>
          <w:rStyle w:val="Fontdeparagrafimplicit"/>
          <w:b/>
        </w:rPr>
        <w:t>Consiliul Concurenţei</w:t>
      </w:r>
      <w:r w:rsidRPr="00544AB7">
        <w:t xml:space="preserve">, cu sediul în </w:t>
      </w:r>
      <w:r w:rsidRPr="00544AB7" w:rsidR="00B64ABE">
        <w:t>..............................</w:t>
      </w:r>
      <w:r w:rsidRPr="00544AB7">
        <w:t>.</w:t>
      </w:r>
      <w:r w:rsidRPr="00544AB7" w:rsidR="00B64ABE">
        <w:t>...............</w:t>
      </w:r>
    </w:p>
    <w:p w:rsidRPr="00544AB7" w:rsidR="00D41C6E">
      <w:pPr>
        <w:ind w:firstLine="708"/>
        <w:jc w:val="both"/>
        <w:rPr>
          <w:rStyle w:val="Fontdeparagrafimplicit"/>
          <w:lang w:val="en-US"/>
        </w:rPr>
      </w:pPr>
      <w:r w:rsidRPr="00544AB7">
        <w:rPr>
          <w:rStyle w:val="Fontdeparagrafimplicit"/>
          <w:lang w:val="en-US"/>
        </w:rPr>
        <w:t>Anuleaza in parte decizia nr</w:t>
      </w:r>
      <w:r w:rsidRPr="00544AB7" w:rsidR="00B64ABE">
        <w:rPr>
          <w:rStyle w:val="Fontdeparagrafimplicit"/>
          <w:lang w:val="en-US"/>
        </w:rPr>
        <w:t>….</w:t>
      </w:r>
      <w:r w:rsidRPr="00544AB7">
        <w:rPr>
          <w:rStyle w:val="Fontdeparagrafimplicit"/>
          <w:lang w:val="en-US"/>
        </w:rPr>
        <w:t>/</w:t>
      </w:r>
      <w:r w:rsidRPr="00544AB7">
        <w:rPr>
          <w:rStyle w:val="Fontdeparagrafimplicit"/>
          <w:lang w:val="en-US"/>
        </w:rPr>
        <w:t>09.112.2020 emisa de parat, in privinta sancţiunii aplicate reclamantei.</w:t>
      </w:r>
    </w:p>
    <w:p w:rsidRPr="00544AB7" w:rsidR="00D41C6E">
      <w:pPr>
        <w:ind w:firstLine="708"/>
        <w:jc w:val="both"/>
        <w:rPr>
          <w:rStyle w:val="Fontdeparagrafimplicit"/>
          <w:lang w:val="en-US"/>
        </w:rPr>
      </w:pPr>
      <w:r w:rsidRPr="00544AB7">
        <w:rPr>
          <w:rStyle w:val="Fontdeparagrafimplicit"/>
          <w:lang w:val="en-US"/>
        </w:rPr>
        <w:t>Respinge capetele de cerere privind anularea Ordinului nr......./20.11.2017 privind declanşarea investigaţiei si a raportului de investigaţie.</w:t>
      </w:r>
    </w:p>
    <w:p w:rsidRPr="00544AB7" w:rsidR="00D41C6E">
      <w:pPr>
        <w:ind w:firstLine="708"/>
        <w:jc w:val="both"/>
        <w:rPr>
          <w:rStyle w:val="Fontdeparagrafimplicit"/>
          <w:lang w:val="en-US"/>
        </w:rPr>
      </w:pPr>
      <w:r w:rsidRPr="00544AB7">
        <w:rPr>
          <w:rStyle w:val="Fontdeparagrafimplicit"/>
          <w:lang w:val="en-US"/>
        </w:rPr>
        <w:t>Respinge ca ramas fara obiect capătul de cerere privind constatarea prescripţiei executării sancţiunii contravenţionale.</w:t>
      </w:r>
    </w:p>
    <w:p w:rsidRPr="00544AB7" w:rsidR="00D41C6E">
      <w:pPr>
        <w:ind w:firstLine="708"/>
        <w:jc w:val="both"/>
        <w:rPr>
          <w:rStyle w:val="Fontdeparagrafimplicit"/>
          <w:lang w:val="en-US"/>
        </w:rPr>
      </w:pPr>
      <w:r w:rsidRPr="00544AB7">
        <w:rPr>
          <w:rStyle w:val="Fontdeparagrafimplicit"/>
          <w:lang w:val="en-US"/>
        </w:rPr>
        <w:t>Obliga paratul la plata catre reclamantă a sumei de 50 de lei cu titlu de cheltuieli de judecată, constând in taxa de timbru.</w:t>
      </w:r>
    </w:p>
    <w:p w:rsidRPr="00544AB7" w:rsidR="00D41C6E">
      <w:pPr>
        <w:ind w:firstLine="708"/>
        <w:jc w:val="both"/>
        <w:rPr>
          <w:rStyle w:val="Fontdeparagrafimplicit"/>
          <w:lang w:val="en-US"/>
        </w:rPr>
      </w:pPr>
      <w:r w:rsidRPr="00544AB7">
        <w:rPr>
          <w:rStyle w:val="Fontdeparagrafimplicit"/>
          <w:lang w:val="en-US"/>
        </w:rPr>
        <w:t xml:space="preserve">Cu recurs, in 15 zile de la </w:t>
      </w:r>
      <w:r w:rsidRPr="00544AB7">
        <w:rPr>
          <w:rStyle w:val="Fontdeparagrafimplicit"/>
          <w:lang w:val="en-US"/>
        </w:rPr>
        <w:t>comunicare.Recursul</w:t>
      </w:r>
      <w:r w:rsidRPr="00544AB7">
        <w:rPr>
          <w:rStyle w:val="Fontdeparagrafimplicit"/>
          <w:lang w:val="en-US"/>
        </w:rPr>
        <w:t xml:space="preserve"> se va depune la Curtea de Apel </w:t>
      </w:r>
      <w:r w:rsidRPr="00544AB7" w:rsidR="006D72B4">
        <w:rPr>
          <w:rStyle w:val="Fontdeparagrafimplicit"/>
          <w:lang w:val="en-US"/>
        </w:rPr>
        <w:t>..............</w:t>
      </w:r>
      <w:r w:rsidRPr="00544AB7">
        <w:rPr>
          <w:rStyle w:val="Fontdeparagrafimplicit"/>
          <w:lang w:val="en-US"/>
        </w:rPr>
        <w:t>, sub sancţiunea nulitatii.</w:t>
      </w:r>
    </w:p>
    <w:p w:rsidRPr="00544AB7" w:rsidR="00D41C6E">
      <w:pPr>
        <w:jc w:val="both"/>
      </w:pPr>
      <w:r w:rsidRPr="00544AB7">
        <w:tab/>
        <w:t xml:space="preserve">Pronunţată azi, </w:t>
      </w:r>
      <w:r w:rsidRPr="00544AB7" w:rsidR="00832C91">
        <w:t>............</w:t>
      </w:r>
      <w:r w:rsidRPr="00544AB7">
        <w:t xml:space="preserve"> prin punerea soluţiei la dispoziţia părţilor, prin mijlocirea grefei.</w:t>
      </w:r>
    </w:p>
    <w:p w:rsidRPr="00544AB7" w:rsidR="00D41C6E">
      <w:pPr>
        <w:jc w:val="both"/>
      </w:pPr>
      <w:r w:rsidRPr="00544AB7">
        <w:t xml:space="preserve">  </w:t>
      </w:r>
      <w:r w:rsidRPr="00544AB7">
        <w:tab/>
        <w:t xml:space="preserve">    </w:t>
      </w:r>
    </w:p>
    <w:p w:rsidRPr="00544AB7" w:rsidR="00D41C6E">
      <w:r w:rsidRPr="00544AB7">
        <w:t xml:space="preserve">                    Preşedinte,                                                                     Grefier</w:t>
      </w:r>
    </w:p>
    <w:p w:rsidRPr="00544AB7" w:rsidR="00D41C6E">
      <w:r w:rsidRPr="00544AB7">
        <w:t xml:space="preserve">                   </w:t>
      </w:r>
      <w:r w:rsidRPr="00544AB7" w:rsidR="00B64ABE">
        <w:t xml:space="preserve">   </w:t>
      </w:r>
      <w:r w:rsidRPr="00544AB7" w:rsidR="00832C91">
        <w:t>A0005</w:t>
      </w:r>
      <w:r w:rsidRPr="00544AB7">
        <w:t xml:space="preserve">                                                                 </w:t>
      </w:r>
      <w:r w:rsidRPr="00544AB7" w:rsidR="00B64ABE">
        <w:t xml:space="preserve">        </w:t>
      </w:r>
      <w:r w:rsidRPr="00544AB7" w:rsidR="00832C91">
        <w:t>............</w:t>
      </w:r>
    </w:p>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p w:rsidRPr="00544AB7" w:rsidR="00D41C6E">
      <w:r w:rsidRPr="00544AB7">
        <w:t xml:space="preserve">Red. </w:t>
      </w:r>
      <w:r w:rsidRPr="00544AB7" w:rsidR="00B64ABE">
        <w:t>A0005</w:t>
      </w:r>
      <w:r w:rsidRPr="00544AB7">
        <w:t xml:space="preserve"> - 4 ex/</w:t>
      </w:r>
      <w:r w:rsidRPr="00544AB7" w:rsidR="00B64ABE">
        <w:t>........</w:t>
      </w:r>
    </w:p>
    <w:p w:rsidR="00D41C6E">
      <w:pPr>
        <w:jc w:val="both"/>
      </w:pPr>
      <w:r w:rsidRPr="00544AB7">
        <w:t>Comunicat 2 exemplare la data de</w:t>
      </w:r>
      <w:bookmarkStart w:name="_GoBack" w:id="19"/>
      <w:bookmarkEnd w:id="19"/>
    </w:p>
    <w:p w:rsidR="00D41C6E">
      <w:pPr>
        <w:jc w:val="both"/>
      </w:pPr>
    </w:p>
    <w:p w:rsidR="00D41C6E"/>
    <w:p w:rsidR="00D41C6E"/>
    <w:sectPr>
      <w:footerReference w:type="default" r:id="rId5"/>
      <w:pgSz w:w="11906" w:h="16838"/>
      <w:pgMar w:top="1417" w:right="1417"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E3971">
    <w:pPr>
      <w:pStyle w:val="Subsol"/>
      <w:jc w:val="right"/>
    </w:pPr>
    <w:r>
      <w:fldChar w:fldCharType="begin"/>
    </w:r>
    <w:r>
      <w:instrText>PAGE   \* MERGEFORMAT</w:instrText>
    </w:r>
    <w:r>
      <w:fldChar w:fldCharType="separate"/>
    </w:r>
    <w:r>
      <w:t>#</w:t>
    </w:r>
    <w:r>
      <w:fldChar w:fldCharType="end"/>
    </w:r>
  </w:p>
  <w:p w:rsidR="003E3971">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38851716"/>
    <w:multiLevelType w:val="multilevel"/>
    <w:tmpl w:val="A776E332"/>
    <w:lvl w:ilvl="0">
      <w:start w:val="1"/>
      <w:numFmt w:val="lowerRoman"/>
      <w:lvlText w:val="(%1)"/>
      <w:lvlJc w:val="left"/>
      <w:pPr>
        <w:ind w:left="1488" w:hanging="720"/>
      </w:pPr>
    </w:lvl>
    <w:lvl w:ilvl="1">
      <w:start w:val="1"/>
      <w:numFmt w:val="lowerLetter"/>
      <w:lvlText w:val="%2."/>
      <w:lvlJc w:val="left"/>
      <w:pPr>
        <w:ind w:left="1848" w:hanging="360"/>
      </w:pPr>
    </w:lvl>
    <w:lvl w:ilvl="2">
      <w:start w:val="1"/>
      <w:numFmt w:val="lowerRoman"/>
      <w:lvlText w:val="%3."/>
      <w:lvlJc w:val="right"/>
      <w:pPr>
        <w:ind w:left="2568" w:hanging="180"/>
      </w:pPr>
    </w:lvl>
    <w:lvl w:ilvl="3">
      <w:start w:val="1"/>
      <w:numFmt w:val="decimal"/>
      <w:lvlText w:val="%4."/>
      <w:lvlJc w:val="left"/>
      <w:pPr>
        <w:ind w:left="3288" w:hanging="360"/>
      </w:pPr>
    </w:lvl>
    <w:lvl w:ilvl="4">
      <w:start w:val="1"/>
      <w:numFmt w:val="lowerLetter"/>
      <w:lvlText w:val="%5."/>
      <w:lvlJc w:val="left"/>
      <w:pPr>
        <w:ind w:left="4008" w:hanging="360"/>
      </w:pPr>
    </w:lvl>
    <w:lvl w:ilvl="5">
      <w:start w:val="1"/>
      <w:numFmt w:val="lowerRoman"/>
      <w:lvlText w:val="%6."/>
      <w:lvlJc w:val="right"/>
      <w:pPr>
        <w:ind w:left="4728" w:hanging="180"/>
      </w:pPr>
    </w:lvl>
    <w:lvl w:ilvl="6">
      <w:start w:val="1"/>
      <w:numFmt w:val="decimal"/>
      <w:lvlText w:val="%7."/>
      <w:lvlJc w:val="left"/>
      <w:pPr>
        <w:ind w:left="5448" w:hanging="360"/>
      </w:pPr>
    </w:lvl>
    <w:lvl w:ilvl="7">
      <w:start w:val="1"/>
      <w:numFmt w:val="lowerLetter"/>
      <w:lvlText w:val="%8."/>
      <w:lvlJc w:val="left"/>
      <w:pPr>
        <w:ind w:left="6168" w:hanging="360"/>
      </w:pPr>
    </w:lvl>
    <w:lvl w:ilvl="8">
      <w:start w:val="1"/>
      <w:numFmt w:val="lowerRoman"/>
      <w:lvlText w:val="%9."/>
      <w:lvlJc w:val="right"/>
      <w:pPr>
        <w:ind w:left="6888" w:hanging="180"/>
      </w:pPr>
    </w:lvl>
  </w:abstractNum>
  <w:abstractNum w:abstractNumId="1" w15:restartNumberingAfterBreak="0">
    <w:nsid w:val="388D334B"/>
    <w:multiLevelType w:val="multilevel"/>
    <w:tmpl w:val="A7D40884"/>
    <w:lvl w:ilvl="0">
      <w:start w:val="1"/>
      <w:numFmt w:val="upperRoman"/>
      <w:lvlText w:val="%1."/>
      <w:lvlJc w:val="left"/>
      <w:pPr>
        <w:ind w:left="1428" w:hanging="72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C6E"/>
    <w:rsid w:val="00003E0D"/>
    <w:rsid w:val="0011588E"/>
    <w:rsid w:val="00136365"/>
    <w:rsid w:val="001477A4"/>
    <w:rsid w:val="001516A7"/>
    <w:rsid w:val="00172CD9"/>
    <w:rsid w:val="0018311F"/>
    <w:rsid w:val="001D5FD6"/>
    <w:rsid w:val="00201445"/>
    <w:rsid w:val="002C0774"/>
    <w:rsid w:val="002C56E4"/>
    <w:rsid w:val="0034396C"/>
    <w:rsid w:val="003C456D"/>
    <w:rsid w:val="003E3971"/>
    <w:rsid w:val="004616CC"/>
    <w:rsid w:val="004C2395"/>
    <w:rsid w:val="005316A6"/>
    <w:rsid w:val="00544AB7"/>
    <w:rsid w:val="005C3AD3"/>
    <w:rsid w:val="005F2F13"/>
    <w:rsid w:val="00604941"/>
    <w:rsid w:val="00606F5A"/>
    <w:rsid w:val="006B371B"/>
    <w:rsid w:val="006D72B4"/>
    <w:rsid w:val="0075748D"/>
    <w:rsid w:val="007604E8"/>
    <w:rsid w:val="007B2C01"/>
    <w:rsid w:val="007D498B"/>
    <w:rsid w:val="008111C5"/>
    <w:rsid w:val="00832C91"/>
    <w:rsid w:val="00863261"/>
    <w:rsid w:val="008A57C1"/>
    <w:rsid w:val="00913FB7"/>
    <w:rsid w:val="00914311"/>
    <w:rsid w:val="00931E6A"/>
    <w:rsid w:val="009424F7"/>
    <w:rsid w:val="00A66612"/>
    <w:rsid w:val="00A76891"/>
    <w:rsid w:val="00AF455D"/>
    <w:rsid w:val="00B1142C"/>
    <w:rsid w:val="00B64ABE"/>
    <w:rsid w:val="00C61A7B"/>
    <w:rsid w:val="00C816A5"/>
    <w:rsid w:val="00D02E14"/>
    <w:rsid w:val="00D41C6E"/>
    <w:rsid w:val="00D91B7C"/>
    <w:rsid w:val="00DB0949"/>
    <w:rsid w:val="00E03450"/>
    <w:rsid w:val="00E87CB3"/>
    <w:rsid w:val="00F3046A"/>
    <w:rsid w:val="00F66AF9"/>
    <w:rsid w:val="00F75C41"/>
    <w:rsid w:val="00FC305A"/>
    <w:rsid w:val="00FC492C"/>
    <w:rsid w:val="00FC6A20"/>
    <w:rsid w:val="00FD17E3"/>
  </w:rsids>
  <w:docVars>
    <w:docVar w:name="url" w:val="http://10.1.48.53:80/ecris_cdms/document_upload.aspx?id_document=200000004351609&amp;id_departament=54&amp;id_sesiune=5197598&amp;id_user=86&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744524C0"/>
  <w15:docId w15:val="{5E41099C-8EBD-4AF4-A0FF-E6CEC2C0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pPr>
      <w:suppressAutoHyphens/>
    </w:pPr>
    <w:rPr>
      <w:rFonts w:ascii="Arial" w:hAnsi="Arial"/>
      <w:sz w:val="28"/>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rPr>
      <w:rFonts w:ascii="Calibri" w:hAnsi="Calibri"/>
      <w:sz w:val="22"/>
    </w:rPr>
  </w:style>
  <w:style w:type="paragraph" w:customStyle="1" w:styleId="Subsol">
    <w:name w:val="Subsol"/>
    <w:basedOn w:val="Normal"/>
    <w:link w:val="SubsolCaracter"/>
    <w:pPr>
      <w:tabs>
        <w:tab w:val="center" w:pos="4536"/>
        <w:tab w:val="right" w:pos="9072"/>
      </w:tabs>
    </w:pPr>
    <w:rPr>
      <w:rFonts w:ascii="Calibri" w:hAnsi="Calibri"/>
      <w:sz w:val="22"/>
    </w:rPr>
  </w:style>
  <w:style w:type="paragraph" w:customStyle="1" w:styleId="Listparagraf">
    <w:name w:val="Listă paragraf"/>
    <w:basedOn w:val="Normal"/>
    <w:qFormat/>
    <w:pPr>
      <w:spacing w:after="160" w:line="259" w:lineRule="auto"/>
      <w:ind w:left="720"/>
      <w:contextualSpacing/>
    </w:pPr>
    <w:rPr>
      <w:rFonts w:ascii="Calibri" w:hAnsi="Calibri"/>
      <w:sz w:val="22"/>
    </w:rPr>
  </w:style>
  <w:style w:type="paragraph" w:customStyle="1" w:styleId="TextnBalon">
    <w:name w:val="Text în Balon"/>
    <w:basedOn w:val="Normal"/>
    <w:link w:val="TextnBalonCaracter"/>
    <w:rPr>
      <w:rFonts w:ascii="Segoe UI" w:hAnsi="Segoe UI"/>
      <w:sz w:val="1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rPr>
      <w:rFonts w:ascii="Calibri" w:hAnsi="Calibri"/>
      <w:sz w:val="22"/>
    </w:rPr>
  </w:style>
  <w:style w:type="character" w:customStyle="1" w:styleId="SubsolCaracter">
    <w:name w:val="Subsol Caracter"/>
    <w:link w:val="Subsol"/>
    <w:rPr>
      <w:rFonts w:ascii="Calibri" w:hAnsi="Calibri"/>
      <w:sz w:val="22"/>
    </w:rPr>
  </w:style>
  <w:style w:type="character" w:customStyle="1" w:styleId="TextnBalonCaracter">
    <w:name w:val="Text în Balon Caracter"/>
    <w:link w:val="TextnBalon"/>
    <w:rPr>
      <w:rFonts w:ascii="Segoe UI" w:hAnsi="Segoe UI"/>
      <w:sz w:val="1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mailto:Christos.kolias@marfinleasing.ro"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279</ap:TotalTime>
  <ap:Pages>82</ap:Pages>
  <ap:Words>48399</ap:Words>
  <ap:Characters>275878</ap:Characters>
  <ap:Application>Microsoft Office Word</ap:Application>
  <ap:DocSecurity>0</ap:DocSecurity>
  <ap:Lines>2298</ap:Lines>
  <ap:Paragraphs>647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323630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