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D3A05" w14:textId="3936376B" w:rsidR="00C41BFB" w:rsidRDefault="00D71E35">
      <w:pPr>
        <w:jc w:val="both"/>
      </w:pPr>
      <w:r>
        <w:t>Cod ECLI    ECLI:RO:CA</w:t>
      </w:r>
      <w:r w:rsidR="00470C22">
        <w:t>....</w:t>
      </w:r>
    </w:p>
    <w:p w14:paraId="59B78BE2" w14:textId="33E4D450" w:rsidR="00C41BFB" w:rsidRDefault="00D71E35">
      <w:pPr>
        <w:jc w:val="both"/>
        <w:rPr>
          <w:rStyle w:val="Fontdeparagrafimplicit1"/>
          <w:b/>
        </w:rPr>
      </w:pPr>
      <w:r>
        <w:rPr>
          <w:rStyle w:val="Fontdeparagrafimplicit1"/>
          <w:b/>
        </w:rPr>
        <w:t xml:space="preserve">Dosar nr. </w:t>
      </w:r>
      <w:r w:rsidR="00470C22">
        <w:rPr>
          <w:rStyle w:val="Fontdeparagrafimplicit1"/>
          <w:b/>
        </w:rPr>
        <w:t>....</w:t>
      </w:r>
      <w:r>
        <w:rPr>
          <w:rStyle w:val="Fontdeparagrafimplicit1"/>
          <w:b/>
        </w:rPr>
        <w:t>30</w:t>
      </w:r>
    </w:p>
    <w:p w14:paraId="717E5489" w14:textId="77777777" w:rsidR="00C41BFB" w:rsidRDefault="00D71E35">
      <w:pPr>
        <w:keepNext/>
        <w:ind w:firstLine="709"/>
        <w:jc w:val="center"/>
        <w:outlineLvl w:val="2"/>
        <w:rPr>
          <w:rStyle w:val="Fontdeparagrafimplicit1"/>
          <w:b/>
        </w:rPr>
      </w:pPr>
      <w:r>
        <w:rPr>
          <w:rStyle w:val="Fontdeparagrafimplicit1"/>
          <w:b/>
        </w:rPr>
        <w:t>R O M Â N I A</w:t>
      </w:r>
    </w:p>
    <w:p w14:paraId="167DFA24" w14:textId="77777777" w:rsidR="00C41BFB" w:rsidRDefault="00C41BFB">
      <w:pPr>
        <w:keepNext/>
        <w:ind w:firstLine="709"/>
        <w:jc w:val="center"/>
        <w:outlineLvl w:val="2"/>
        <w:rPr>
          <w:rStyle w:val="Fontdeparagrafimplicit1"/>
          <w:b/>
        </w:rPr>
      </w:pPr>
    </w:p>
    <w:p w14:paraId="79F1FFFB" w14:textId="1E7DE45C" w:rsidR="00C41BFB" w:rsidRDefault="00D71E35">
      <w:pPr>
        <w:ind w:firstLine="709"/>
        <w:jc w:val="center"/>
        <w:rPr>
          <w:rStyle w:val="Fontdeparagrafimplicit1"/>
          <w:b/>
        </w:rPr>
      </w:pPr>
      <w:r>
        <w:rPr>
          <w:rStyle w:val="Fontdeparagrafimplicit1"/>
          <w:b/>
        </w:rPr>
        <w:t xml:space="preserve">CURTEA DE APEL </w:t>
      </w:r>
      <w:r w:rsidR="00470C22">
        <w:rPr>
          <w:rStyle w:val="Fontdeparagrafimplicit1"/>
          <w:b/>
        </w:rPr>
        <w:t>X</w:t>
      </w:r>
    </w:p>
    <w:p w14:paraId="53F63645" w14:textId="3A743852" w:rsidR="00C41BFB" w:rsidRDefault="00D71E35">
      <w:pPr>
        <w:ind w:firstLine="709"/>
        <w:jc w:val="center"/>
        <w:rPr>
          <w:rStyle w:val="Fontdeparagrafimplicit1"/>
          <w:b/>
        </w:rPr>
      </w:pPr>
      <w:r>
        <w:rPr>
          <w:rStyle w:val="Fontdeparagrafimplicit1"/>
          <w:b/>
        </w:rPr>
        <w:t xml:space="preserve">SECŢIA </w:t>
      </w:r>
      <w:r w:rsidR="00470C22">
        <w:rPr>
          <w:rStyle w:val="Fontdeparagrafimplicit1"/>
          <w:b/>
        </w:rPr>
        <w:t>...</w:t>
      </w:r>
      <w:r>
        <w:rPr>
          <w:rStyle w:val="Fontdeparagrafimplicit1"/>
          <w:b/>
        </w:rPr>
        <w:t xml:space="preserve"> CONTENCIOS ADMINISTRATIV ŞI FISCAL</w:t>
      </w:r>
    </w:p>
    <w:p w14:paraId="278CD919" w14:textId="4B95B9DE" w:rsidR="00C41BFB" w:rsidRDefault="00D71E35">
      <w:pPr>
        <w:keepNext/>
        <w:ind w:firstLine="709"/>
        <w:jc w:val="center"/>
        <w:outlineLvl w:val="1"/>
        <w:rPr>
          <w:rStyle w:val="Fontdeparagrafimplicit1"/>
          <w:b/>
        </w:rPr>
      </w:pPr>
      <w:r>
        <w:rPr>
          <w:rStyle w:val="Fontdeparagrafimplicit1"/>
          <w:b/>
        </w:rPr>
        <w:t xml:space="preserve">Decizia civilă nr. </w:t>
      </w:r>
      <w:r w:rsidR="00470C22">
        <w:rPr>
          <w:rStyle w:val="Fontdeparagrafimplicit1"/>
          <w:b/>
          <w:u w:val="single"/>
        </w:rPr>
        <w:t>....</w:t>
      </w:r>
    </w:p>
    <w:p w14:paraId="61715A5D" w14:textId="23C4415F" w:rsidR="00C41BFB" w:rsidRDefault="00D71E35">
      <w:pPr>
        <w:ind w:firstLine="709"/>
        <w:jc w:val="center"/>
        <w:rPr>
          <w:rStyle w:val="Fontdeparagrafimplicit1"/>
          <w:b/>
        </w:rPr>
      </w:pPr>
      <w:r>
        <w:rPr>
          <w:rStyle w:val="Fontdeparagrafimplicit1"/>
          <w:b/>
        </w:rPr>
        <w:t xml:space="preserve">Şedinţa publică din data de </w:t>
      </w:r>
      <w:r w:rsidR="00470C22">
        <w:rPr>
          <w:rStyle w:val="Fontdeparagrafimplicit1"/>
          <w:b/>
          <w:u w:val="single"/>
        </w:rPr>
        <w:t>....</w:t>
      </w:r>
      <w:r>
        <w:rPr>
          <w:rStyle w:val="Fontdeparagrafimplicit1"/>
          <w:b/>
          <w:u w:val="single"/>
        </w:rPr>
        <w:t>.2024</w:t>
      </w:r>
    </w:p>
    <w:p w14:paraId="54A48A29" w14:textId="77777777" w:rsidR="00C41BFB" w:rsidRDefault="00D71E35">
      <w:pPr>
        <w:ind w:firstLine="709"/>
        <w:jc w:val="center"/>
        <w:rPr>
          <w:rStyle w:val="Fontdeparagrafimplicit1"/>
          <w:b/>
        </w:rPr>
      </w:pPr>
      <w:r>
        <w:rPr>
          <w:rStyle w:val="Fontdeparagrafimplicit1"/>
          <w:b/>
        </w:rPr>
        <w:t>Curtea constituită din:</w:t>
      </w:r>
    </w:p>
    <w:p w14:paraId="475521B5" w14:textId="11C7A65A" w:rsidR="00C41BFB" w:rsidRDefault="00D71E35">
      <w:pPr>
        <w:ind w:firstLine="709"/>
        <w:rPr>
          <w:rStyle w:val="Fontdeparagrafimplicit1"/>
          <w:b/>
        </w:rPr>
      </w:pPr>
      <w:r>
        <w:rPr>
          <w:rStyle w:val="Fontdeparagrafimplicit1"/>
          <w:b/>
        </w:rPr>
        <w:t xml:space="preserve">                                  Preşedinte: </w:t>
      </w:r>
      <w:r w:rsidR="00470C22">
        <w:rPr>
          <w:rStyle w:val="Fontdeparagrafimplicit1"/>
          <w:b/>
        </w:rPr>
        <w:t>A0017</w:t>
      </w:r>
      <w:r>
        <w:rPr>
          <w:rStyle w:val="Fontdeparagrafimplicit1"/>
          <w:b/>
        </w:rPr>
        <w:t xml:space="preserve"> </w:t>
      </w:r>
    </w:p>
    <w:p w14:paraId="27FAFC4A" w14:textId="178021AA" w:rsidR="00C41BFB" w:rsidRDefault="00D71E35">
      <w:pPr>
        <w:ind w:firstLine="709"/>
        <w:rPr>
          <w:rStyle w:val="Fontdeparagrafimplicit1"/>
          <w:b/>
        </w:rPr>
      </w:pPr>
      <w:r>
        <w:rPr>
          <w:rStyle w:val="Fontdeparagrafimplicit1"/>
          <w:b/>
        </w:rPr>
        <w:t xml:space="preserve">                                  Judecător : </w:t>
      </w:r>
      <w:r w:rsidR="00470C22">
        <w:rPr>
          <w:rStyle w:val="Fontdeparagrafimplicit1"/>
          <w:b/>
        </w:rPr>
        <w:t>...</w:t>
      </w:r>
      <w:r>
        <w:rPr>
          <w:rStyle w:val="Fontdeparagrafimplicit1"/>
          <w:b/>
        </w:rPr>
        <w:t xml:space="preserve">  </w:t>
      </w:r>
    </w:p>
    <w:p w14:paraId="62AD6D0F" w14:textId="5FD358DA" w:rsidR="00C41BFB" w:rsidRDefault="00D71E35">
      <w:pPr>
        <w:ind w:firstLine="709"/>
        <w:rPr>
          <w:rStyle w:val="Fontdeparagrafimplicit1"/>
          <w:b/>
        </w:rPr>
      </w:pPr>
      <w:r>
        <w:rPr>
          <w:rStyle w:val="Fontdeparagrafimplicit1"/>
          <w:b/>
        </w:rPr>
        <w:t xml:space="preserve">                                  Judecător : </w:t>
      </w:r>
      <w:r w:rsidR="00470C22">
        <w:rPr>
          <w:rStyle w:val="Fontdeparagrafimplicit1"/>
          <w:b/>
        </w:rPr>
        <w:t>...</w:t>
      </w:r>
    </w:p>
    <w:p w14:paraId="323DD1E9" w14:textId="3D9677D4" w:rsidR="00C41BFB" w:rsidRDefault="00D71E35">
      <w:pPr>
        <w:ind w:firstLine="709"/>
        <w:jc w:val="center"/>
        <w:rPr>
          <w:rStyle w:val="Fontdeparagrafimplicit1"/>
          <w:b/>
        </w:rPr>
      </w:pPr>
      <w:r>
        <w:rPr>
          <w:rStyle w:val="Fontdeparagrafimplicit1"/>
          <w:b/>
        </w:rPr>
        <w:t xml:space="preserve">           Grefier : </w:t>
      </w:r>
      <w:r w:rsidR="00470C22">
        <w:rPr>
          <w:rStyle w:val="Fontdeparagrafimplicit1"/>
          <w:b/>
        </w:rPr>
        <w:t>...</w:t>
      </w:r>
    </w:p>
    <w:p w14:paraId="08AA9BFC" w14:textId="77777777" w:rsidR="00C41BFB" w:rsidRDefault="00C41BFB">
      <w:pPr>
        <w:ind w:firstLine="709"/>
        <w:jc w:val="center"/>
        <w:rPr>
          <w:rStyle w:val="Fontdeparagrafimplicit1"/>
          <w:b/>
        </w:rPr>
      </w:pPr>
    </w:p>
    <w:p w14:paraId="142EB8D7" w14:textId="77777777" w:rsidR="00C41BFB" w:rsidRDefault="00C41BFB">
      <w:pPr>
        <w:ind w:firstLine="709"/>
        <w:jc w:val="center"/>
        <w:rPr>
          <w:rStyle w:val="Fontdeparagrafimplicit1"/>
          <w:b/>
        </w:rPr>
      </w:pPr>
    </w:p>
    <w:p w14:paraId="5F75BC9C" w14:textId="335D9E90" w:rsidR="00C41BFB" w:rsidRDefault="00D71E35">
      <w:pPr>
        <w:ind w:firstLine="709"/>
        <w:jc w:val="both"/>
        <w:rPr>
          <w:rStyle w:val="Fontdeparagrafimplicit1"/>
          <w:b/>
        </w:rPr>
      </w:pPr>
      <w:r>
        <w:t xml:space="preserve">Pe rol se află soluţionarea </w:t>
      </w:r>
      <w:bookmarkStart w:id="0" w:name="_Hlk180415279"/>
      <w:r>
        <w:t xml:space="preserve">recursurilor formulate de </w:t>
      </w:r>
      <w:bookmarkStart w:id="1" w:name="_Hlk164931397"/>
      <w:bookmarkStart w:id="2" w:name="_Hlk164933857"/>
      <w:r>
        <w:t xml:space="preserve">recurentul-reclamant </w:t>
      </w:r>
      <w:r w:rsidR="00470C22">
        <w:rPr>
          <w:rStyle w:val="Fontdeparagrafimplicit1"/>
          <w:b/>
        </w:rPr>
        <w:t>ABC</w:t>
      </w:r>
      <w:r>
        <w:rPr>
          <w:rStyle w:val="Fontdeparagrafimplicit1"/>
          <w:b/>
        </w:rPr>
        <w:t xml:space="preserve"> AL MUNICIPIULUI </w:t>
      </w:r>
      <w:r w:rsidR="00470C22">
        <w:rPr>
          <w:rStyle w:val="Fontdeparagrafimplicit1"/>
          <w:b/>
        </w:rPr>
        <w:t>X</w:t>
      </w:r>
      <w:bookmarkEnd w:id="1"/>
      <w:r>
        <w:t xml:space="preserve"> şi de recurenta-pârât</w:t>
      </w:r>
      <w:bookmarkStart w:id="3" w:name="_Hlk164857442"/>
      <w:r>
        <w:t xml:space="preserve">ă </w:t>
      </w:r>
      <w:r>
        <w:rPr>
          <w:rStyle w:val="Fontdeparagrafimplicit1"/>
          <w:b/>
        </w:rPr>
        <w:t xml:space="preserve">PRIMĂRIA  MUNICPIULUI  </w:t>
      </w:r>
      <w:r w:rsidR="00470C22">
        <w:rPr>
          <w:rStyle w:val="Fontdeparagrafimplicit1"/>
          <w:b/>
        </w:rPr>
        <w:t>X</w:t>
      </w:r>
      <w:r>
        <w:rPr>
          <w:rStyle w:val="Fontdeparagrafimplicit1"/>
          <w:b/>
        </w:rPr>
        <w:t xml:space="preserve"> PRIN  DIRECŢIA PROTECŢIA MEDIULUI ŞI EDUCAŢIEI ECO  CIVICA</w:t>
      </w:r>
      <w:bookmarkEnd w:id="2"/>
      <w:r>
        <w:rPr>
          <w:rStyle w:val="Fontdeparagrafimplicit1"/>
          <w:b/>
        </w:rPr>
        <w:t xml:space="preserve">, </w:t>
      </w:r>
      <w:r>
        <w:t>î</w:t>
      </w:r>
      <w:bookmarkEnd w:id="3"/>
      <w:r>
        <w:t xml:space="preserve">mpotriva sentinţei civile nr. </w:t>
      </w:r>
      <w:r w:rsidR="00470C22">
        <w:t>...</w:t>
      </w:r>
      <w:r>
        <w:t xml:space="preserve">.2023 pronunţate de Tribunalul </w:t>
      </w:r>
      <w:r w:rsidR="00470C22">
        <w:t>X</w:t>
      </w:r>
      <w:r>
        <w:t xml:space="preserve"> Secţia </w:t>
      </w:r>
      <w:r w:rsidR="00470C22">
        <w:t>...</w:t>
      </w:r>
      <w:r>
        <w:t xml:space="preserve"> contencios administrativ şi fiscal în dosarul nr. </w:t>
      </w:r>
      <w:r w:rsidR="00470C22">
        <w:t>...</w:t>
      </w:r>
      <w:bookmarkEnd w:id="0"/>
      <w:r>
        <w:t>, având ca obiect „</w:t>
      </w:r>
      <w:r>
        <w:rPr>
          <w:rStyle w:val="Fontdeparagrafimplicit1"/>
          <w:i/>
        </w:rPr>
        <w:t>obligare emitere act administrativ”.</w:t>
      </w:r>
    </w:p>
    <w:p w14:paraId="42D1A8D4" w14:textId="5E0B6ECA" w:rsidR="00C41BFB" w:rsidRDefault="00D71E35">
      <w:pPr>
        <w:ind w:firstLine="709"/>
        <w:jc w:val="both"/>
      </w:pPr>
      <w:r>
        <w:t xml:space="preserve">Dezbaterile au avut loc în şedinţa publică din data de </w:t>
      </w:r>
      <w:r w:rsidR="00470C22">
        <w:t>....</w:t>
      </w:r>
      <w:r>
        <w:t>2024, fiind consemnate în încheierea de şedinţă de la acea dată, care face parte integrantă din prezenta, când Curtea, având nevoie de timp pentru a delibera, a amânat pronunțarea pentru termenul de azi, când hotărăşte următoarele:</w:t>
      </w:r>
    </w:p>
    <w:p w14:paraId="0046A609" w14:textId="77777777" w:rsidR="00C41BFB" w:rsidRDefault="00C41BFB">
      <w:pPr>
        <w:ind w:firstLine="567"/>
        <w:jc w:val="both"/>
      </w:pPr>
    </w:p>
    <w:p w14:paraId="315C52A7" w14:textId="77777777" w:rsidR="00C41BFB" w:rsidRDefault="00D71E35">
      <w:pPr>
        <w:ind w:firstLine="709"/>
        <w:jc w:val="center"/>
        <w:rPr>
          <w:rStyle w:val="Fontdeparagrafimplicit1"/>
          <w:b/>
        </w:rPr>
      </w:pPr>
      <w:r>
        <w:rPr>
          <w:rStyle w:val="Fontdeparagrafimplicit1"/>
          <w:b/>
        </w:rPr>
        <w:t>CURTEA</w:t>
      </w:r>
    </w:p>
    <w:p w14:paraId="3DDBB107" w14:textId="77777777" w:rsidR="00C41BFB" w:rsidRDefault="00C41BFB">
      <w:pPr>
        <w:ind w:firstLine="709"/>
        <w:jc w:val="center"/>
        <w:rPr>
          <w:rStyle w:val="Fontdeparagrafimplicit1"/>
          <w:b/>
        </w:rPr>
      </w:pPr>
    </w:p>
    <w:p w14:paraId="30233209" w14:textId="77777777" w:rsidR="00C41BFB" w:rsidRDefault="00D71E35">
      <w:pPr>
        <w:ind w:firstLine="360"/>
      </w:pPr>
      <w:r>
        <w:t xml:space="preserve"> În urma deliberării, reţine următoarele:</w:t>
      </w:r>
    </w:p>
    <w:p w14:paraId="51434A9A" w14:textId="39E31B86" w:rsidR="00C41BFB" w:rsidRDefault="00D71E35">
      <w:pPr>
        <w:pStyle w:val="Stil1"/>
        <w:ind w:firstLine="360"/>
      </w:pPr>
      <w:r>
        <w:t xml:space="preserve">Prin </w:t>
      </w:r>
      <w:r>
        <w:rPr>
          <w:rStyle w:val="Fontdeparagrafimplicit1"/>
          <w:b/>
        </w:rPr>
        <w:t>cererea de chemare în judecată</w:t>
      </w:r>
      <w:r>
        <w:t xml:space="preserve"> înregistrată la data de 19.12.2022 pe rolul Tribunalului </w:t>
      </w:r>
      <w:r w:rsidR="00470C22">
        <w:t>X</w:t>
      </w:r>
      <w:r>
        <w:t xml:space="preserve"> – Secția </w:t>
      </w:r>
      <w:r w:rsidR="00470C22">
        <w:t>...</w:t>
      </w:r>
      <w:r>
        <w:t xml:space="preserve"> Contencios Administrativ și Fiscal reclamantul </w:t>
      </w:r>
      <w:r w:rsidR="00470C22">
        <w:t>ABC</w:t>
      </w:r>
      <w:r>
        <w:t xml:space="preserve"> al Municipiului </w:t>
      </w:r>
      <w:r w:rsidR="00470C22">
        <w:t>X</w:t>
      </w:r>
      <w:r>
        <w:t xml:space="preserve"> în contradictoriu cu pârâta Primăria Municipiului </w:t>
      </w:r>
      <w:r w:rsidR="00470C22">
        <w:t>X</w:t>
      </w:r>
      <w:r>
        <w:t xml:space="preserve"> prin Direcția Protecția Mediului și Educației Eco-civică a solicitat următoarele:</w:t>
      </w:r>
    </w:p>
    <w:p w14:paraId="1D91CCCA" w14:textId="77777777" w:rsidR="00C41BFB" w:rsidRDefault="00D71E35">
      <w:pPr>
        <w:pStyle w:val="Stil1"/>
        <w:numPr>
          <w:ilvl w:val="0"/>
          <w:numId w:val="1"/>
        </w:numPr>
      </w:pPr>
      <w:r>
        <w:t xml:space="preserve">obligarea pârâtei la emiterea avizelor de specialitate privind intervenție asupra arborilor și arbuștilor în sensul defrișării acestora, pentru cererile menționate în anexa 1 la cerere, </w:t>
      </w:r>
    </w:p>
    <w:p w14:paraId="7D6A28DC" w14:textId="528F876F" w:rsidR="00C41BFB" w:rsidRDefault="00D71E35">
      <w:pPr>
        <w:pStyle w:val="Stil1"/>
        <w:numPr>
          <w:ilvl w:val="0"/>
          <w:numId w:val="1"/>
        </w:numPr>
      </w:pPr>
      <w:r>
        <w:t xml:space="preserve">obligarea pârâtei la comunicarea avizelor de defrișare ce au fost întocmite conform adreselor nr. </w:t>
      </w:r>
      <w:r w:rsidR="00470C22">
        <w:t>...</w:t>
      </w:r>
      <w:r>
        <w:t xml:space="preserve">/31.05.2022, </w:t>
      </w:r>
      <w:r w:rsidR="00470C22">
        <w:t>...</w:t>
      </w:r>
      <w:r>
        <w:t xml:space="preserve">/14.06.2022 și </w:t>
      </w:r>
      <w:r w:rsidR="00470C22">
        <w:t>...</w:t>
      </w:r>
      <w:r>
        <w:t xml:space="preserve">/14.06.2022 (anexa 2), </w:t>
      </w:r>
    </w:p>
    <w:p w14:paraId="6CAE8B10" w14:textId="77777777" w:rsidR="00C41BFB" w:rsidRDefault="00D71E35">
      <w:pPr>
        <w:pStyle w:val="Stil1"/>
        <w:numPr>
          <w:ilvl w:val="0"/>
          <w:numId w:val="1"/>
        </w:numPr>
      </w:pPr>
      <w:r>
        <w:t xml:space="preserve">obligarea pârâtei la emiterea avizelor de specialitate privind intervenție asupra arborilor și arbuștilor în sensul toaletării acestora, pentru cererile menționate la anexa 3, </w:t>
      </w:r>
    </w:p>
    <w:p w14:paraId="7F19CA7D" w14:textId="5FE65AD4" w:rsidR="00C41BFB" w:rsidRDefault="00D71E35">
      <w:pPr>
        <w:pStyle w:val="Stil1"/>
        <w:numPr>
          <w:ilvl w:val="0"/>
          <w:numId w:val="1"/>
        </w:numPr>
      </w:pPr>
      <w:r>
        <w:t xml:space="preserve">obligarea pârâtei la comunicarea avizelor de toaletare ce au fost întocmite conform adreselor nr. </w:t>
      </w:r>
      <w:r w:rsidR="00470C22">
        <w:t>...</w:t>
      </w:r>
      <w:r>
        <w:t xml:space="preserve">/04.05.2022, </w:t>
      </w:r>
      <w:r w:rsidR="00470C22">
        <w:t>...</w:t>
      </w:r>
      <w:r>
        <w:t xml:space="preserve">/09.05.2022 și </w:t>
      </w:r>
      <w:r w:rsidR="00470C22">
        <w:t>...</w:t>
      </w:r>
      <w:r>
        <w:t xml:space="preserve">/09.06.2022 (anexa 4), </w:t>
      </w:r>
    </w:p>
    <w:p w14:paraId="1B7A09FC" w14:textId="77777777" w:rsidR="00C41BFB" w:rsidRDefault="00D71E35">
      <w:pPr>
        <w:pStyle w:val="Stil1"/>
        <w:numPr>
          <w:ilvl w:val="0"/>
          <w:numId w:val="1"/>
        </w:numPr>
      </w:pPr>
      <w:r>
        <w:t xml:space="preserve">obligarea pârâtei la emiterea unui punct de vedere și emiterea avizului de specialitate de toaletare a arborelui, pentru cererile menționate în anexa 5, precum și </w:t>
      </w:r>
    </w:p>
    <w:p w14:paraId="33DDC3AB" w14:textId="77777777" w:rsidR="00C41BFB" w:rsidRDefault="00D71E35">
      <w:pPr>
        <w:pStyle w:val="Stil1"/>
        <w:numPr>
          <w:ilvl w:val="0"/>
          <w:numId w:val="1"/>
        </w:numPr>
      </w:pPr>
      <w:r>
        <w:t>obligarea pârâtei la plata cheltuielilor de judecată.</w:t>
      </w:r>
    </w:p>
    <w:p w14:paraId="5DA836A9" w14:textId="77777777" w:rsidR="00C41BFB" w:rsidRDefault="00C41BFB">
      <w:pPr>
        <w:pStyle w:val="Stil1"/>
        <w:ind w:firstLine="708"/>
      </w:pPr>
    </w:p>
    <w:p w14:paraId="1945CC6F" w14:textId="2193FC90" w:rsidR="00C41BFB" w:rsidRDefault="00D71E35">
      <w:pPr>
        <w:pStyle w:val="Stil1"/>
        <w:ind w:firstLine="708"/>
      </w:pPr>
      <w:r>
        <w:t xml:space="preserve">Prin </w:t>
      </w:r>
      <w:r>
        <w:rPr>
          <w:rStyle w:val="Fontdeparagrafimplicit1"/>
          <w:b/>
        </w:rPr>
        <w:t xml:space="preserve">sentinţa nr. </w:t>
      </w:r>
      <w:r w:rsidR="00470C22">
        <w:rPr>
          <w:rStyle w:val="Fontdeparagrafimplicit1"/>
          <w:b/>
        </w:rPr>
        <w:t>...</w:t>
      </w:r>
      <w:r>
        <w:rPr>
          <w:rStyle w:val="Fontdeparagrafimplicit1"/>
          <w:b/>
        </w:rPr>
        <w:t>/2023</w:t>
      </w:r>
      <w:r>
        <w:t xml:space="preserve">, Tribunalul </w:t>
      </w:r>
      <w:r w:rsidR="00470C22">
        <w:t>X</w:t>
      </w:r>
      <w:r>
        <w:t xml:space="preserve">, Secţia </w:t>
      </w:r>
      <w:r w:rsidR="00470C22">
        <w:t>...</w:t>
      </w:r>
      <w:r>
        <w:t xml:space="preserve"> a admis în parte cererea de chemare în judecată formulată de către reclamantul </w:t>
      </w:r>
      <w:r w:rsidR="00470C22">
        <w:t>ABC</w:t>
      </w:r>
      <w:r>
        <w:t xml:space="preserve"> AL MUNICIPIULUI </w:t>
      </w:r>
      <w:r w:rsidR="00470C22">
        <w:t>X</w:t>
      </w:r>
      <w:r>
        <w:t xml:space="preserve"> în contradictoriu cu pârâta PRIMĂRIA MUNICIPIULUI </w:t>
      </w:r>
      <w:r w:rsidR="00470C22">
        <w:t>X</w:t>
      </w:r>
      <w:r>
        <w:t xml:space="preserve"> PRIN DIRECȚIA PROTECȚIA MEDIULUI ȘI EDUCAȚIEI ECO CIVICA, </w:t>
      </w:r>
      <w:bookmarkStart w:id="4" w:name="_Hlk181813894"/>
      <w:r>
        <w:t xml:space="preserve">a obligat pârâta să soluționeze cererile privind emiterea avizelor </w:t>
      </w:r>
      <w:r>
        <w:lastRenderedPageBreak/>
        <w:t xml:space="preserve">de specialitate pentru defrișarea arborilor menționați în cele 77 adrese din anexa 1 a acțiunii și avizele de specialitate în vederea toaletării a 214 arbori menționați în anexa 3 a acțiunii, a obligat pârâta la emiterea avizelor de specialitate care fac obiectul cererilor înregistrate sub nr. </w:t>
      </w:r>
      <w:r w:rsidR="00470C22">
        <w:t>...</w:t>
      </w:r>
      <w:r>
        <w:t xml:space="preserve">/31.05.2022, </w:t>
      </w:r>
      <w:r w:rsidR="00470C22">
        <w:t>...</w:t>
      </w:r>
      <w:r>
        <w:t xml:space="preserve">/14.06.2022 și </w:t>
      </w:r>
      <w:r w:rsidR="00470C22">
        <w:t>...</w:t>
      </w:r>
      <w:r>
        <w:t xml:space="preserve">/14.06.2022, pentru defrișare, și sub nr. </w:t>
      </w:r>
      <w:r w:rsidR="00470C22">
        <w:t>...</w:t>
      </w:r>
      <w:r>
        <w:t xml:space="preserve">/04.05.2022, </w:t>
      </w:r>
      <w:r w:rsidR="00470C22">
        <w:t>...</w:t>
      </w:r>
      <w:r>
        <w:t xml:space="preserve">/09.05.2022 și </w:t>
      </w:r>
      <w:r w:rsidR="00470C22">
        <w:t>...</w:t>
      </w:r>
      <w:r>
        <w:t>/09.06.2022, pentru toaletare.</w:t>
      </w:r>
    </w:p>
    <w:bookmarkEnd w:id="4"/>
    <w:p w14:paraId="25C08C67" w14:textId="77777777" w:rsidR="00C41BFB" w:rsidRDefault="00D71E35">
      <w:pPr>
        <w:pStyle w:val="Stil1"/>
      </w:pPr>
      <w:r>
        <w:tab/>
        <w:t xml:space="preserve">În ceea ce priveşte solicitarea de emitere a unui punct de vedere şi de emitere a avizelor de specialitate pentru toaletarea arborilor cuprinşi în anexa nr. 5 la cererea de chemare în judecată, la solicitarea reclamantului, instanţa de fond a pronunţat sentinţa de completare, prin care a obligat pârâta la emiterea avizelor de specialitate pentru toaletarea arborilor cuprinşi în anexa nr. 5.1. şi 5.2. la cererea de chemare în judecată, în curs de soluţionare fiind recursul împotriva acestei sentinţe. </w:t>
      </w:r>
    </w:p>
    <w:p w14:paraId="66D7093B" w14:textId="77777777" w:rsidR="00C41BFB" w:rsidRDefault="00D71E35">
      <w:r>
        <w:tab/>
      </w:r>
    </w:p>
    <w:p w14:paraId="628A1704" w14:textId="77777777" w:rsidR="00C41BFB" w:rsidRDefault="00D71E35">
      <w:pPr>
        <w:ind w:firstLine="708"/>
      </w:pPr>
      <w:r>
        <w:t>Ambele părţi</w:t>
      </w:r>
      <w:r>
        <w:rPr>
          <w:rStyle w:val="Fontdeparagrafimplicit1"/>
          <w:b/>
        </w:rPr>
        <w:t xml:space="preserve"> </w:t>
      </w:r>
      <w:r>
        <w:t xml:space="preserve">au formulat </w:t>
      </w:r>
      <w:r>
        <w:rPr>
          <w:rStyle w:val="Fontdeparagrafimplicit1"/>
          <w:b/>
        </w:rPr>
        <w:t>recursuri</w:t>
      </w:r>
      <w:r>
        <w:t xml:space="preserve">. </w:t>
      </w:r>
    </w:p>
    <w:p w14:paraId="66A1D496" w14:textId="2F0B937C" w:rsidR="00C41BFB" w:rsidRDefault="00D71E35">
      <w:pPr>
        <w:ind w:firstLine="708"/>
        <w:jc w:val="both"/>
      </w:pPr>
      <w:r>
        <w:t xml:space="preserve">Recurentul </w:t>
      </w:r>
      <w:r w:rsidR="00470C22">
        <w:rPr>
          <w:rStyle w:val="Fontdeparagrafimplicit1"/>
          <w:b/>
        </w:rPr>
        <w:t>ABC</w:t>
      </w:r>
      <w:r>
        <w:rPr>
          <w:rStyle w:val="Fontdeparagrafimplicit1"/>
          <w:b/>
        </w:rPr>
        <w:t xml:space="preserve"> al Municipiului </w:t>
      </w:r>
      <w:r w:rsidR="00470C22">
        <w:rPr>
          <w:rStyle w:val="Fontdeparagrafimplicit1"/>
          <w:b/>
        </w:rPr>
        <w:t>X</w:t>
      </w:r>
      <w:r>
        <w:t>, în recursul formulat împotriva sentinţei, întemeiat pe art. 488 alin. 1 pct. 8 Cpc, a solicitat casarea sentinţei recurate şi, în rejudecare, admiterea acţiunii şi:</w:t>
      </w:r>
    </w:p>
    <w:p w14:paraId="69655A0D" w14:textId="77777777" w:rsidR="00C41BFB" w:rsidRDefault="00D71E35">
      <w:pPr>
        <w:ind w:firstLine="709"/>
        <w:jc w:val="both"/>
      </w:pPr>
      <w:r>
        <w:t>1.</w:t>
      </w:r>
      <w:r>
        <w:tab/>
        <w:t>obligarea intimatei la emiterea avizelor de specialitate privind intervenția asupra arborilor şi arbuștilor, în sensul defrișării acestora, menționați în Anexa 1;</w:t>
      </w:r>
    </w:p>
    <w:p w14:paraId="703CA393" w14:textId="77777777" w:rsidR="00C41BFB" w:rsidRDefault="00D71E35">
      <w:pPr>
        <w:ind w:firstLine="709"/>
        <w:jc w:val="both"/>
      </w:pPr>
      <w:r>
        <w:t>2.</w:t>
      </w:r>
      <w:r>
        <w:tab/>
        <w:t>obligarea intimatei la emiterea avizelor de specialitate privind intervenția asupra arborilor şi arbuștilor, în sensul toaletării acestora, menționați in Anexa 3.</w:t>
      </w:r>
    </w:p>
    <w:p w14:paraId="615C2C18" w14:textId="3D67D5A6" w:rsidR="00C41BFB" w:rsidRDefault="00D71E35">
      <w:pPr>
        <w:ind w:firstLine="709"/>
        <w:jc w:val="both"/>
      </w:pPr>
      <w:r>
        <w:t>În motivarea recursului, recurentul a reluat prezentarea situaţiei de fapt şi a subliniat următoarele aspecte de nelegalitate a refuzului</w:t>
      </w:r>
      <w:r w:rsidR="00470C22">
        <w:t xml:space="preserve"> PMX</w:t>
      </w:r>
      <w:r>
        <w:t>:</w:t>
      </w:r>
    </w:p>
    <w:p w14:paraId="281491ED" w14:textId="1CB30FE0" w:rsidR="00C41BFB" w:rsidRDefault="00D71E35">
      <w:pPr>
        <w:ind w:firstLine="709"/>
        <w:jc w:val="both"/>
      </w:pPr>
      <w:r>
        <w:t xml:space="preserve">A) Condiționarea emiterii avizelor de specialitate de îndeplinirea unor operațiuni administrative ce nu sunt reglementate de cadrul normativ aplicabil: intimata susține existenta unei obligații de marcare cu un anumit tip de vopsea a trunchiurilor arborilor, în funcție de gradul de uscăciune pe care îl au, obligație ce ar rezulta din adresa emisă de DPMEE nr. </w:t>
      </w:r>
      <w:r w:rsidR="00470C22">
        <w:t>...</w:t>
      </w:r>
      <w:r>
        <w:t xml:space="preserve">/09.07.2021. Intimata solicită îndeplinirea unei obligații prevăzute prin adresa Direcției de Mediu (DPMEE) nr. </w:t>
      </w:r>
      <w:r w:rsidR="00470C22">
        <w:t>...</w:t>
      </w:r>
      <w:r>
        <w:t xml:space="preserve">/09.07.2021, respectiv marcarea cu culoare roșie pentru arborii uscaţi în proporție de 80-100%, deși în </w:t>
      </w:r>
      <w:r w:rsidR="000749F7">
        <w:t>HC</w:t>
      </w:r>
      <w:r w:rsidR="00470C22">
        <w:t xml:space="preserve"> X</w:t>
      </w:r>
      <w:r>
        <w:t xml:space="preserve"> nr. 304/2009 nu se prevede o astfel de obligație.</w:t>
      </w:r>
    </w:p>
    <w:p w14:paraId="382EF894" w14:textId="4912510F" w:rsidR="00C41BFB" w:rsidRDefault="00D71E35">
      <w:pPr>
        <w:ind w:firstLine="709"/>
        <w:jc w:val="both"/>
      </w:pPr>
      <w:r>
        <w:t xml:space="preserve">B) Condiţionarea emiterii avizelor de specialitate de efectuarea prealabilă a unor operațiuni administrative ce trebuie realizate ulterior obținerii avizelor;  susţine că intimatul a interpretat în mod eronat normele legale, ajungând la concluzii greșite, respectiv că </w:t>
      </w:r>
      <w:r w:rsidR="00470C22">
        <w:t>ABC</w:t>
      </w:r>
      <w:r>
        <w:t xml:space="preserve"> nu şi-a îndeplinit în mod corect obligațiile privind prezentarea angajamentului de plantare în compensare.</w:t>
      </w:r>
    </w:p>
    <w:p w14:paraId="7D032A8A" w14:textId="477B5850" w:rsidR="00C41BFB" w:rsidRDefault="00D71E35">
      <w:pPr>
        <w:ind w:firstLine="709"/>
        <w:jc w:val="both"/>
      </w:pPr>
      <w:r>
        <w:t xml:space="preserve">Potrivit </w:t>
      </w:r>
      <w:r w:rsidR="000749F7">
        <w:t>HC</w:t>
      </w:r>
      <w:r w:rsidR="00470C22">
        <w:t xml:space="preserve"> X</w:t>
      </w:r>
      <w:r>
        <w:t xml:space="preserve"> nr. 304/2004, Anexa 1, art. 7 alin. (1) şi art. 8 alin. (4), obligația transmiterii angajamentului de plantare este o operațiune administrativă ulterioară primirii avizului de defrișare, iar pe de altă parte, modalitatea de calcul a numărului de exemplare ce trebuie plantate în compensare este: în cazul defrișării arborilor uscaţi 100% se va plata un singur exemplar; în cazul defrișării arborilor viabili, respectiv arborii uscaţi cu o rată de uscăţime până la 99%, se vor planta 6 exemplare pentru fiecare arbore defrișat.</w:t>
      </w:r>
    </w:p>
    <w:p w14:paraId="7D83FC18" w14:textId="77777777" w:rsidR="00C41BFB" w:rsidRDefault="00D71E35">
      <w:pPr>
        <w:ind w:firstLine="709"/>
        <w:jc w:val="both"/>
      </w:pPr>
      <w:r>
        <w:t>Referitor la solicitările ce vizează emiterea avizelor de specialitate de toaletare, intimata în mod nelegal:</w:t>
      </w:r>
    </w:p>
    <w:p w14:paraId="4B6B309C" w14:textId="77777777" w:rsidR="00C41BFB" w:rsidRDefault="00D71E35">
      <w:pPr>
        <w:ind w:firstLine="709"/>
        <w:jc w:val="both"/>
      </w:pPr>
      <w:r>
        <w:t>a)</w:t>
      </w:r>
      <w:r>
        <w:tab/>
        <w:t>a condiţionat emiterea avizelor de specialitate de îndeplinirea unor operațiuni administrative ce nu sunt reglementate de cadrul normativ;</w:t>
      </w:r>
    </w:p>
    <w:p w14:paraId="6A34AF4E" w14:textId="58D726E2" w:rsidR="00C41BFB" w:rsidRDefault="00D71E35">
      <w:pPr>
        <w:ind w:firstLine="709"/>
        <w:jc w:val="both"/>
      </w:pPr>
      <w:r>
        <w:t>b)</w:t>
      </w:r>
      <w:r>
        <w:tab/>
        <w:t xml:space="preserve">s-a prevalat de Avizul General nr. </w:t>
      </w:r>
      <w:r w:rsidR="00470C22">
        <w:t>...</w:t>
      </w:r>
      <w:r>
        <w:t>/15.04.2022 (Anexa 8) care prevede posibilitatea realizării anumitor operațiuni de întreținere a arborilor fără obținerea în prealabil a avizelor de specialitate din partea</w:t>
      </w:r>
      <w:r w:rsidR="00470C22">
        <w:t xml:space="preserve"> PMX</w:t>
      </w:r>
      <w:r>
        <w:t>.</w:t>
      </w:r>
    </w:p>
    <w:p w14:paraId="02362CFD" w14:textId="77777777" w:rsidR="00C41BFB" w:rsidRDefault="00D71E35">
      <w:pPr>
        <w:ind w:firstLine="709"/>
        <w:jc w:val="both"/>
      </w:pPr>
      <w:r>
        <w:t>a)</w:t>
      </w:r>
      <w:r>
        <w:tab/>
        <w:t>a condiţionat emiterea avizelor de specialitate de îndeplinirea unor operațiuni administrative ce nu sunt reglementate de cadrul normativ.</w:t>
      </w:r>
    </w:p>
    <w:p w14:paraId="73689DBB" w14:textId="79819454" w:rsidR="00C41BFB" w:rsidRDefault="00D71E35">
      <w:pPr>
        <w:ind w:firstLine="709"/>
        <w:jc w:val="both"/>
      </w:pPr>
      <w:r>
        <w:lastRenderedPageBreak/>
        <w:t xml:space="preserve">Recurenta a menţionat că intimata eronat a solicitat marcarea arborilor în baza </w:t>
      </w:r>
      <w:r w:rsidR="000749F7">
        <w:t>HC</w:t>
      </w:r>
      <w:r w:rsidR="00470C22">
        <w:t xml:space="preserve"> X</w:t>
      </w:r>
      <w:r>
        <w:t xml:space="preserve"> nr. 304/2009, că intimata se prevalează de Avizul General nr. </w:t>
      </w:r>
      <w:r w:rsidR="00470C22">
        <w:t>...</w:t>
      </w:r>
      <w:r>
        <w:t>/15.04.2022 pentru a respinge în mod nejustificat solicitările primite.</w:t>
      </w:r>
    </w:p>
    <w:p w14:paraId="0F77F524" w14:textId="77777777" w:rsidR="00C41BFB" w:rsidRDefault="00D71E35">
      <w:pPr>
        <w:ind w:firstLine="709"/>
        <w:jc w:val="both"/>
      </w:pPr>
      <w:r>
        <w:t>Avizul general limitează operațiunile tehnice strict la eliminarea ramurilor uscate aflate în coronamente şi/sau la baza acestora alături de eliminarea ramurilor frânte sau fisurate. Or, solicitările nu vizează doar operațiuni de îngrijire a vegetației prin tăierea ramurilor uscate, ci operațiuni de toaletare ca urmare a pericolului pe care coronamentul arborilor viabili îl creează.</w:t>
      </w:r>
    </w:p>
    <w:p w14:paraId="08042758" w14:textId="77777777" w:rsidR="00C41BFB" w:rsidRDefault="00D71E35">
      <w:pPr>
        <w:ind w:firstLine="709"/>
        <w:jc w:val="both"/>
      </w:pPr>
      <w:r>
        <w:t>Intimata a avut un comportament contradictoriu în ceea ce privește solicitările de toaletare, pe de o parte emitea răspunsuri în care invoca dispozițiile cuprinse în Avizul General, iar pe de altă parte, Avizul General prevedea interdicția efectuării altor operațiuni decât cele de îngrijire a vegetației dendrologice.</w:t>
      </w:r>
    </w:p>
    <w:p w14:paraId="22661677" w14:textId="77777777" w:rsidR="00C41BFB" w:rsidRDefault="00C41BFB">
      <w:pPr>
        <w:ind w:firstLine="709"/>
        <w:jc w:val="both"/>
      </w:pPr>
    </w:p>
    <w:p w14:paraId="41788F40" w14:textId="49D0BB1D" w:rsidR="00C41BFB" w:rsidRDefault="00D71E35">
      <w:pPr>
        <w:ind w:firstLine="709"/>
        <w:jc w:val="both"/>
      </w:pPr>
      <w:r>
        <w:t>Recurenta</w:t>
      </w:r>
      <w:r>
        <w:rPr>
          <w:rStyle w:val="Fontdeparagrafimplicit1"/>
          <w:b/>
        </w:rPr>
        <w:t xml:space="preserve"> PRIMĂRIA MUNICIPIULUI </w:t>
      </w:r>
      <w:r w:rsidR="00470C22">
        <w:rPr>
          <w:rStyle w:val="Fontdeparagrafimplicit1"/>
          <w:b/>
        </w:rPr>
        <w:t>X</w:t>
      </w:r>
      <w:r>
        <w:t xml:space="preserve"> a întemeiat recursul împotriva sentinţei şi a încheierii de şedinţă din data de </w:t>
      </w:r>
      <w:r w:rsidR="00C96ADE">
        <w:t>...</w:t>
      </w:r>
      <w:r>
        <w:t xml:space="preserve">.6.2023 pe prevederile art. 488 alin. (1) pct. 5 și 8 C.proc.civ. recurenta pârâtă a solicitat admiterea recursului şi casarea celor două acte de procedură. </w:t>
      </w:r>
    </w:p>
    <w:p w14:paraId="491C50AF" w14:textId="77777777" w:rsidR="00C41BFB" w:rsidRDefault="00D71E35">
      <w:pPr>
        <w:ind w:firstLine="709"/>
        <w:jc w:val="both"/>
      </w:pPr>
      <w:r>
        <w:t>În motivarea recursului, recurenta pârâtă a prezentat situaţia de fapt şi a subliniat că în ședința publică din data de 12.06.2023, instanța de judecată a dispus respingerea, ca neîntemeiate, a excepțiilor lipsei capacității de folosință a Primăriei și a inadmisibilității capetelor de cerere privind obligarea pârâtului la emiterea avizelor de specialitate. Recurenta pârâtă consideră nelegală încheierea respectivă, arătând că instanţa de fond nu a avut în vedere dispozițiile art. 5 lit. hh) Codul administrativ coroborate cu dispozițiile art. 56 alin. 1) și 2) C.proc.civ., precum și dispozițiile art. 155 alin. [5] lit. g) din Codul administrativ.</w:t>
      </w:r>
    </w:p>
    <w:p w14:paraId="5E501985" w14:textId="77777777" w:rsidR="00C41BFB" w:rsidRDefault="00D71E35">
      <w:pPr>
        <w:ind w:firstLine="709"/>
        <w:jc w:val="both"/>
      </w:pPr>
      <w:r>
        <w:t>Primăria nu are prerogativa de a emite avizele de defrișare/toaletare solicitate de reclamant, întrucât rolul acesteia este exclusiv acela de a realiza operațiunile administrative necesare pentru emiterea de către autoritățile publice, în speță, de către Primar, a actului administrativ.</w:t>
      </w:r>
    </w:p>
    <w:p w14:paraId="41EFFC40" w14:textId="77777777" w:rsidR="00C41BFB" w:rsidRDefault="00D71E35">
      <w:pPr>
        <w:ind w:firstLine="709"/>
        <w:jc w:val="both"/>
      </w:pPr>
      <w:r>
        <w:t xml:space="preserve">Primăria nu are capacitate administrativă, iar, în contextul în care acesteia îi lipsește personalitatea juridică, aceasta nu poate sta în mod legal în judecată și nu poate fi subiectul drepturilor și obligațiilor procesuale, în cauză se impunea admiterea excepției lipsei capacității de folosință a acesteia. </w:t>
      </w:r>
    </w:p>
    <w:p w14:paraId="2EAD0389" w14:textId="77777777" w:rsidR="00C41BFB" w:rsidRDefault="00D71E35">
      <w:pPr>
        <w:ind w:firstLine="709"/>
        <w:jc w:val="both"/>
      </w:pPr>
      <w:r>
        <w:t>Primarul este cel care exercită prerogativa de emitere a avizelor de defrișare/toaletare și implicit de a aprecia asupra oportunității emiterii acestora, cu privire la care compartimentele sale efectuează verificări exclusiv în ceea ce privește regularitatea, legalitatea și îndeplinirea cerințelor tehnice.</w:t>
      </w:r>
    </w:p>
    <w:p w14:paraId="3E6D61E8" w14:textId="3E120712" w:rsidR="00C41BFB" w:rsidRDefault="00D71E35">
      <w:pPr>
        <w:ind w:firstLine="709"/>
        <w:jc w:val="both"/>
      </w:pPr>
      <w:r>
        <w:t xml:space="preserve">Instanța de fond face o aplicare și o interpretare greșită a dispozițiilor </w:t>
      </w:r>
      <w:r w:rsidR="000749F7">
        <w:t>HC</w:t>
      </w:r>
      <w:r w:rsidR="00470C22">
        <w:t xml:space="preserve"> X</w:t>
      </w:r>
      <w:r>
        <w:t xml:space="preserve"> nr. 304/2009 privind normele de protecție a spațiilor verzi de pe teritoriul Municipiului </w:t>
      </w:r>
      <w:r w:rsidR="00470C22">
        <w:t>X</w:t>
      </w:r>
      <w:r>
        <w:t>, care este un act administrativ normativ emis în aplicarea legii și nu poate fi interpretat și aplicat decât în limitele Codului administrativ.</w:t>
      </w:r>
    </w:p>
    <w:p w14:paraId="0551D189" w14:textId="77777777" w:rsidR="00C41BFB" w:rsidRDefault="00D71E35">
      <w:pPr>
        <w:ind w:firstLine="709"/>
        <w:jc w:val="both"/>
      </w:pPr>
      <w:r>
        <w:t>În ceea ce privește excepția inadmisibilității capetelor de cerere care privesc obligarea Primăriei la emiterea avizelor de defrișare/toaletare arbori, instanța de fond a reținut în mod greșit că potrivit dispozițiilor art. 18 alin. (1) din Legea nr. 554/2004, instanța de contencios administrativ poate dispune inclusiv obligarea autorității publice la emiterea unui act administrativ.</w:t>
      </w:r>
    </w:p>
    <w:p w14:paraId="2EE0167D" w14:textId="6D619620" w:rsidR="00C41BFB" w:rsidRDefault="00D71E35">
      <w:pPr>
        <w:ind w:firstLine="709"/>
        <w:jc w:val="both"/>
      </w:pPr>
      <w:r>
        <w:t xml:space="preserve">Soluția este eronată, întrucât încalcă dispozițiile art. 155 alin. [5] lit. g) din Codul administrativ care consacră dreptul Primarului Municipiului </w:t>
      </w:r>
      <w:r w:rsidR="00470C22">
        <w:t>X</w:t>
      </w:r>
      <w:r>
        <w:t xml:space="preserve"> de a aprecia asupra oportunității emiterii avizelor cu privire la care compartimentele de specialitate efectuează verificări exclusiv în ceea ce privește regularitatea, legalitatea și îndeplinirea cerințelor tehnice.</w:t>
      </w:r>
    </w:p>
    <w:p w14:paraId="65CB8935" w14:textId="77777777" w:rsidR="00C41BFB" w:rsidRDefault="00D71E35">
      <w:pPr>
        <w:ind w:firstLine="709"/>
        <w:jc w:val="both"/>
      </w:pPr>
      <w:r>
        <w:lastRenderedPageBreak/>
        <w:t>În ceea ce priveşte sentinţa recurată, recurenta consideră că instanța de fond a reținut în mod greșit că Primăria nu ar fi soluționat în mod culpabil cererile reclamantului de emitere a unui număr de 77 de avize pentru defrișare și 214 de avize pentru toaletare, deși primăria nu și-a manifestat în mod explicit voința de a nu soluționa cererile formulate de acesta.</w:t>
      </w:r>
    </w:p>
    <w:p w14:paraId="4C5BA140" w14:textId="77777777" w:rsidR="00C41BFB" w:rsidRDefault="00D71E35">
      <w:pPr>
        <w:ind w:firstLine="709"/>
        <w:jc w:val="both"/>
      </w:pPr>
      <w:r>
        <w:t>Reclamantul a interpretat răspunsurile venite din partea pârâtei, prin care i se pune în vedere să îndeplinească sau să refacă operațiuni, ca fiind refuz nejustificat deși nu există niciun răspuns al primăriei care să poată fi asimilat refuzului nejustificat de soluționare a cererilor reclamantului, lipsind o exprimare explicită în sensul refuzului de a soluționa favorabil cererile.</w:t>
      </w:r>
    </w:p>
    <w:p w14:paraId="7245FCC6" w14:textId="77777777" w:rsidR="00C41BFB" w:rsidRDefault="00D71E35">
      <w:pPr>
        <w:ind w:firstLine="709"/>
        <w:jc w:val="both"/>
      </w:pPr>
      <w:r>
        <w:t>Mai mult, contrar celor reținute de către prima instanță de judecată, Primăria nu a soluționat cererile de emitere a avizelor de defrișare în condițiile în care a solicitat reclamantului să îndeplinească anumite acțiuni anterior emiterii avizelor, în scopul respectării legii.</w:t>
      </w:r>
    </w:p>
    <w:p w14:paraId="01FF20AF" w14:textId="0479A34B" w:rsidR="00C41BFB" w:rsidRDefault="00D71E35">
      <w:pPr>
        <w:ind w:firstLine="708"/>
        <w:jc w:val="both"/>
      </w:pPr>
      <w:r>
        <w:t xml:space="preserve">Potrivit dispozițiilor din Anexa nr. 3 a </w:t>
      </w:r>
      <w:r w:rsidR="000749F7">
        <w:t>HC</w:t>
      </w:r>
      <w:r w:rsidR="00470C22">
        <w:t xml:space="preserve"> X</w:t>
      </w:r>
      <w:r>
        <w:t xml:space="preserve"> nr. 304/2009, DPMEE poate solicita și prezentarea altor documente necesare emiterii avizului, în urma analizării documentației.</w:t>
      </w:r>
    </w:p>
    <w:p w14:paraId="33958AA7" w14:textId="77777777" w:rsidR="00C41BFB" w:rsidRDefault="00D71E35">
      <w:pPr>
        <w:ind w:firstLine="709"/>
        <w:jc w:val="both"/>
      </w:pPr>
      <w:r>
        <w:t>În condițiile în care Pârâta a răspuns solicitărilor venite din partea reclamantului și i-a transmis obligațiile pe care trebuie să le îndeplinească în vederea emiterii avizelor de defrișare, obligații pe care reclamantul recunoaște că nu le-a îndeplinit sau le-a îndeplinit cu întârziere, nu se poate reține culpa Pârâtei în nesoluționarea cererilor de emitere a avizelor de defrișare.</w:t>
      </w:r>
    </w:p>
    <w:p w14:paraId="0AF5018A" w14:textId="77777777" w:rsidR="00C41BFB" w:rsidRDefault="00D71E35">
      <w:pPr>
        <w:ind w:firstLine="709"/>
        <w:jc w:val="both"/>
      </w:pPr>
      <w:r>
        <w:t>În ceea ce privește solicitările de emitere a avizelor de toaletare a arborilor, instanța de judecată a reținut că Pârâta ar fi avut o abordare similară celei în cazul avizelor de defrișare.</w:t>
      </w:r>
    </w:p>
    <w:p w14:paraId="7448BF94" w14:textId="77777777" w:rsidR="00C41BFB" w:rsidRDefault="00D71E35">
      <w:pPr>
        <w:ind w:firstLine="709"/>
        <w:jc w:val="both"/>
      </w:pPr>
      <w:r>
        <w:t>Contrar celor reținute de către prima instanță de judecată, prin răspunsurile formulate la cererile reclamantului, Primăria a pus în vedere acestuia să îndeplinească anumite obligații sau i se indică existența Avizului general, care îi permite să efectueze lucrări de întreținere.</w:t>
      </w:r>
    </w:p>
    <w:p w14:paraId="25EA96AA" w14:textId="407F6441" w:rsidR="00C41BFB" w:rsidRDefault="00D71E35">
      <w:pPr>
        <w:ind w:firstLine="709"/>
        <w:jc w:val="both"/>
      </w:pPr>
      <w:r>
        <w:t xml:space="preserve">În ceea ce privește Avizul general, deși acesta acordă posibilitatea autorităților de </w:t>
      </w:r>
      <w:r w:rsidR="000749F7">
        <w:t xml:space="preserve">... </w:t>
      </w:r>
      <w:r>
        <w:t>de a efectua toaletarea arborilor fără a mai fi necesar ca în prealabil să se urmeze procedura normală de avizare, instanța de judecată consideră că acest aviz nu ar fi suficient, deși acesta referă în mod expres la acțiunile pe care reclamantul dorește să le întreprindă, eliminarea ramurilor uscate, frânte, fisurate, cu alte cuvinte, operațiuni de toaletare.</w:t>
      </w:r>
    </w:p>
    <w:p w14:paraId="33A2C203" w14:textId="77777777" w:rsidR="00C41BFB" w:rsidRDefault="00D71E35">
      <w:pPr>
        <w:ind w:firstLine="709"/>
        <w:jc w:val="both"/>
      </w:pPr>
      <w:r>
        <w:t>Primăria nu a confirmat sau infirmat starea de degradare a arborilor ce fac obiectul cererilor de emitere a avizelor de defrișare/toaletare, ci s-a exprimat la nivel instituțional doar în sensul solicitării de informații/documente suplimentare din partea reclamantului și pentru identificarea arborilor pentru a se putea constata gradul de afectare și a se dispune măsurile care se impun în funcție de aceste constatări;</w:t>
      </w:r>
    </w:p>
    <w:p w14:paraId="05F9C728" w14:textId="77777777" w:rsidR="00C41BFB" w:rsidRDefault="00D71E35">
      <w:pPr>
        <w:ind w:firstLine="709"/>
        <w:jc w:val="both"/>
      </w:pPr>
      <w:r>
        <w:t>Punctul de vedere al Primăriei cu privire la necesitatea defrișării sau toaletării unor exemplare de arbori se exprimă doar la momentul eliberării avizelor de specialitate sau a răspunsurilor privind un eventual refuz;</w:t>
      </w:r>
    </w:p>
    <w:p w14:paraId="5A5A09BE" w14:textId="091434F4" w:rsidR="00C41BFB" w:rsidRDefault="00D71E35">
      <w:pPr>
        <w:ind w:firstLine="709"/>
        <w:jc w:val="both"/>
      </w:pPr>
      <w:r>
        <w:t xml:space="preserve">Serviciul Avize și Acorduri a emis adresa nr. </w:t>
      </w:r>
      <w:r w:rsidR="00470C22">
        <w:t>...</w:t>
      </w:r>
      <w:r>
        <w:t xml:space="preserve">/15.04.2022 prin care a oferit posibilitatea administratorilor legali ai spațiilor verzi publice situate pe raza Municipiului </w:t>
      </w:r>
      <w:r w:rsidR="00470C22">
        <w:t>X</w:t>
      </w:r>
      <w:r>
        <w:t>, ca în perioada de vegetație (aprilie/mai - septembrie 2022), să efectueze lucrări de eliminare a ramurilor uscate, frânte, fisurate și/sau rămase atârnate în coronamentele arborilor, fără a fi necesară solicitarea prealabilă a avizului de specialitate emis de Direcția de Mediu.</w:t>
      </w:r>
    </w:p>
    <w:p w14:paraId="4B34B16A" w14:textId="77777777" w:rsidR="00C41BFB" w:rsidRDefault="00D71E35">
      <w:pPr>
        <w:ind w:firstLine="709"/>
        <w:jc w:val="both"/>
      </w:pPr>
      <w:r>
        <w:t>Nu există niciun răspuns venit din partea Primăriei, prin care să se exprime în mod explicit, cu rea-credință, refuzul de a emite avizele de specialitate solicitate, Primăria dând curs tuturor cererilor venite din partea Reclamantului.</w:t>
      </w:r>
    </w:p>
    <w:p w14:paraId="3F86FEDB" w14:textId="101E16E9" w:rsidR="00C41BFB" w:rsidRDefault="00D71E35">
      <w:pPr>
        <w:ind w:firstLine="709"/>
        <w:jc w:val="both"/>
      </w:pPr>
      <w:r>
        <w:t xml:space="preserve">Potrivit dispozițiilor art. 6 din Normele de protecție a spațiilor verzi pe teritoriul Municipiului </w:t>
      </w:r>
      <w:r w:rsidR="00470C22">
        <w:t>X</w:t>
      </w:r>
      <w:r>
        <w:t xml:space="preserve">, aprobate prin Hotărârea </w:t>
      </w:r>
      <w:r w:rsidR="000749F7">
        <w:t xml:space="preserve">Consiliului </w:t>
      </w:r>
      <w:r>
        <w:t xml:space="preserve"> Municipiului </w:t>
      </w:r>
      <w:r w:rsidR="00470C22">
        <w:t>X</w:t>
      </w:r>
      <w:r>
        <w:t xml:space="preserve"> nr. 304/31.08.2009 [</w:t>
      </w:r>
      <w:r w:rsidR="000749F7">
        <w:t>HC</w:t>
      </w:r>
      <w:r w:rsidR="00470C22">
        <w:t xml:space="preserve"> X</w:t>
      </w:r>
      <w:r>
        <w:t xml:space="preserve"> nr. 304/2009], procedura de emitere a avizului de defrișare implică analiza și decizia autorității din perspectiva obligațiilor asumate privind protejarea dreptului la un mediu </w:t>
      </w:r>
      <w:r>
        <w:lastRenderedPageBreak/>
        <w:t>sănătos și implicit a îndeplinirii condițiilor care permit derogarea de la interdicția tăierii materialului dendrologic viabil situat pe terenurile proprietate privată și aprecierea asupra obligației concrete de executare a plantărilor în compensare care incumbă solicitantului, având în vedere prejudiciul produs prin defrișare, astfel ulterior recepționării documentației completatoare i s-a comunicat Reclamantului că în conformitate cu procedura de emitere a avizelor de specialitate, după aprobarea acestuia, avizul urmează a-i comunicat.</w:t>
      </w:r>
    </w:p>
    <w:p w14:paraId="38EBFF1C" w14:textId="77777777" w:rsidR="00C41BFB" w:rsidRDefault="00D71E35">
      <w:pPr>
        <w:ind w:firstLine="709"/>
        <w:jc w:val="both"/>
      </w:pPr>
      <w:r>
        <w:t>Prin urmare, termenul de 30 de zile este un termen de recomandare, care se poate prelungi în situația în care sunt necesare documente suplimentare în completarea dosarului administrativ, respectiv dovada îndeplinirii unor obligații de către petent.</w:t>
      </w:r>
    </w:p>
    <w:p w14:paraId="50A6B00F" w14:textId="77777777" w:rsidR="00C41BFB" w:rsidRDefault="00D71E35">
      <w:pPr>
        <w:ind w:firstLine="709"/>
        <w:jc w:val="both"/>
      </w:pPr>
      <w:r>
        <w:t>Or, reclamantul a tergiversat soluționarea propriilor cereri de emitere a avizelor de defrișare și toaletare, prin neîndeplinirea sau îndeplinirea cu întârziere a obligațiilor stabilite în sarcina sa.</w:t>
      </w:r>
    </w:p>
    <w:p w14:paraId="25BD15F4" w14:textId="02E81AA8" w:rsidR="00C41BFB" w:rsidRDefault="00D71E35">
      <w:pPr>
        <w:ind w:firstLine="709"/>
        <w:jc w:val="both"/>
      </w:pPr>
      <w:r>
        <w:t xml:space="preserve">De asemenea, recurentul a invocat motivele de casare prevăzute de art. 488 alin. 1 pct. 6 şi 8 Cpc, subliniind că instanța de fond a reținut în mod greșit că Primăria a refuzat să comunice avizele de defrișare corespunzătoare cererilor înregistrate sub nr. </w:t>
      </w:r>
      <w:r w:rsidR="00470C22">
        <w:t>...</w:t>
      </w:r>
      <w:r>
        <w:t xml:space="preserve">/31.05.2022, </w:t>
      </w:r>
      <w:r w:rsidR="00470C22">
        <w:t>...</w:t>
      </w:r>
      <w:r>
        <w:t xml:space="preserve">/14.06.2022 și </w:t>
      </w:r>
      <w:r w:rsidR="00470C22">
        <w:t>...</w:t>
      </w:r>
      <w:r>
        <w:t xml:space="preserve">/14.06.2022 și avizele de toaletare corespunzătoare cererilor înregistrate sub nr. </w:t>
      </w:r>
      <w:r w:rsidR="00470C22">
        <w:t>...</w:t>
      </w:r>
      <w:r>
        <w:t xml:space="preserve">/04.05.2022, </w:t>
      </w:r>
      <w:r w:rsidR="00470C22">
        <w:t>...</w:t>
      </w:r>
      <w:r>
        <w:t xml:space="preserve">/09.05.2022 și </w:t>
      </w:r>
      <w:r w:rsidR="00470C22">
        <w:t>...</w:t>
      </w:r>
      <w:r>
        <w:t>/09.06.2022.</w:t>
      </w:r>
    </w:p>
    <w:p w14:paraId="61FFF7B2" w14:textId="0E3EBA6F" w:rsidR="00C41BFB" w:rsidRDefault="00D71E35">
      <w:pPr>
        <w:ind w:firstLine="709"/>
        <w:jc w:val="both"/>
      </w:pPr>
      <w:r>
        <w:t xml:space="preserve">Instanța de fond a reținut în mod greșit situația de fapt în speță, în sensul că cererile de emitere a avizelor de specialitate ar fi fost aprobate, în condițiile în care prin Adresele nr. </w:t>
      </w:r>
      <w:r w:rsidR="00470C22">
        <w:t>...</w:t>
      </w:r>
      <w:r>
        <w:t xml:space="preserve">/03.06.2022, nr. </w:t>
      </w:r>
      <w:r w:rsidR="00470C22">
        <w:t>...</w:t>
      </w:r>
      <w:r>
        <w:t xml:space="preserve">/03.06.2022, nr. </w:t>
      </w:r>
      <w:r w:rsidR="00470C22">
        <w:t>...</w:t>
      </w:r>
      <w:r>
        <w:t xml:space="preserve">/25.05.2022, </w:t>
      </w:r>
      <w:r w:rsidR="00470C22">
        <w:t>...</w:t>
      </w:r>
      <w:r>
        <w:t xml:space="preserve">/03.05.2022, nr. </w:t>
      </w:r>
      <w:r w:rsidR="00470C22">
        <w:t>....</w:t>
      </w:r>
      <w:r>
        <w:t xml:space="preserve">/27.04.2022 și nr. </w:t>
      </w:r>
      <w:r w:rsidR="00470C22">
        <w:t>...</w:t>
      </w:r>
      <w:r>
        <w:t>/06.06.2022, ce reprezintă Anexa 2 la cererea de chemare în judecată și prin care Reclamantul susține că ar fi fost emise avizele de defrișare, se arată că avizele de specialitate se află pe fluxul de avizare-aprobare conform procedurii de lucru în cadrul Serviciului Avize și Acorduri.</w:t>
      </w:r>
    </w:p>
    <w:p w14:paraId="33CE6180" w14:textId="77777777" w:rsidR="00C41BFB" w:rsidRDefault="00C41BFB">
      <w:pPr>
        <w:ind w:firstLine="709"/>
        <w:jc w:val="both"/>
      </w:pPr>
    </w:p>
    <w:p w14:paraId="0F7F2C51" w14:textId="011F7A91" w:rsidR="00C41BFB" w:rsidRDefault="00D71E35">
      <w:pPr>
        <w:ind w:firstLine="709"/>
        <w:jc w:val="both"/>
      </w:pPr>
      <w:r>
        <w:t xml:space="preserve">Recurenta pârâtă PRIMĂRIA MUNICIPIULUI </w:t>
      </w:r>
      <w:r w:rsidR="00470C22">
        <w:t>X</w:t>
      </w:r>
      <w:r>
        <w:t xml:space="preserve">, prin </w:t>
      </w:r>
      <w:r>
        <w:rPr>
          <w:rStyle w:val="Fontdeparagrafimplicit1"/>
          <w:i/>
        </w:rPr>
        <w:t>întâmpinare la recursul</w:t>
      </w:r>
      <w:r>
        <w:t xml:space="preserve"> formulat de recurenta reclamantă, a invocat excepţia lipsei interesului recurentei reclamante, arătând că </w:t>
      </w:r>
      <w:r w:rsidR="00470C22">
        <w:t>ABC</w:t>
      </w:r>
      <w:r>
        <w:t xml:space="preserve"> nu are interes în declararea căii de atac a recursului, din moment ce pretențiile sale au fost admise de instanța de judecată, Primăria Municipiului </w:t>
      </w:r>
      <w:r w:rsidR="00470C22">
        <w:t>X</w:t>
      </w:r>
      <w:r>
        <w:t xml:space="preserve"> fiind obligată la soluționarea cererilor de emitere a avizelor de defrișare/toaletare cuprinse în Anexele 1 și 3.</w:t>
      </w:r>
    </w:p>
    <w:p w14:paraId="1CD3D77A" w14:textId="2754EA87" w:rsidR="00C41BFB" w:rsidRDefault="00D71E35">
      <w:pPr>
        <w:ind w:firstLine="709"/>
        <w:jc w:val="both"/>
      </w:pPr>
      <w:r>
        <w:t xml:space="preserve">Pe fondul recursului recurentei reclamante, recurenta pârâtă îl consideră neîntemeiat, susţinând că interpretarea pe care recurentul o atribuie răspunsurilor venite din partea Primăriei Municipiului </w:t>
      </w:r>
      <w:r w:rsidR="00470C22">
        <w:t>X</w:t>
      </w:r>
      <w:r>
        <w:t xml:space="preserve"> la cererile sale de emitere a avizelor de defrișare și respectiv, toaletare, ca fiind aceea de refuz nejustificat, este una eronată, prin raportare la textul de lege pe care își întemeiază cererea. În întâmpinare, recurenta pârâtă a reluat argumentaţia din propriul recurs formulat împotriva sentinţei. </w:t>
      </w:r>
    </w:p>
    <w:p w14:paraId="05FE11B4" w14:textId="77777777" w:rsidR="00C41BFB" w:rsidRDefault="00C41BFB">
      <w:pPr>
        <w:ind w:firstLine="709"/>
        <w:jc w:val="both"/>
      </w:pPr>
    </w:p>
    <w:p w14:paraId="7EF9EA92" w14:textId="3985F4C3" w:rsidR="00C41BFB" w:rsidRDefault="00D71E35">
      <w:pPr>
        <w:ind w:firstLine="709"/>
        <w:jc w:val="both"/>
      </w:pPr>
      <w:r>
        <w:t xml:space="preserve">Recurentul reclamant, </w:t>
      </w:r>
      <w:r w:rsidR="00470C22">
        <w:t>ABC</w:t>
      </w:r>
      <w:r>
        <w:t xml:space="preserve"> al Municipiului </w:t>
      </w:r>
      <w:r w:rsidR="00470C22">
        <w:t>X</w:t>
      </w:r>
      <w:r>
        <w:t xml:space="preserve">, prin </w:t>
      </w:r>
      <w:r>
        <w:rPr>
          <w:rStyle w:val="Fontdeparagrafimplicit1"/>
          <w:i/>
        </w:rPr>
        <w:t>întâmpinarea la recursul</w:t>
      </w:r>
      <w:r>
        <w:t xml:space="preserve"> formulat de recurenta pârâtă, a solicitat respingerea recursului acesteia ca nefondat. În ceea ce privește excepția lipsei calității de folosință a Primăriei, consideră că această excepţie a fost corect respinsă de instanţă, întrucât în materie de contencios-administrativ, capacitatea procesuală derivă tocmai din capacitatea administrativă de a emite acte administrative cu caracter individual sau normativ. </w:t>
      </w:r>
    </w:p>
    <w:p w14:paraId="54A8EE7B" w14:textId="1AC940D4" w:rsidR="00C41BFB" w:rsidRDefault="00D71E35">
      <w:pPr>
        <w:ind w:firstLine="709"/>
        <w:jc w:val="both"/>
      </w:pPr>
      <w:r>
        <w:t xml:space="preserve">În ceea ce privește excepția inadmisibilității, susţine că în mod corect instanţa a respins această excepţie întrucât interesul legitim public este reprezentat tocmai de necesitatea restabilirii echilibrului dendrologic la nivelul </w:t>
      </w:r>
      <w:r w:rsidR="00470C22">
        <w:t>ABC</w:t>
      </w:r>
      <w:r>
        <w:t xml:space="preserve"> alături de pericolul la care sunt expuși cetățenii acestui </w:t>
      </w:r>
      <w:r w:rsidR="000749F7">
        <w:t xml:space="preserve">... </w:t>
      </w:r>
      <w:r>
        <w:t>și bunurile acestora.</w:t>
      </w:r>
    </w:p>
    <w:p w14:paraId="6FD1BFDE" w14:textId="77777777" w:rsidR="00C41BFB" w:rsidRDefault="00D71E35">
      <w:pPr>
        <w:ind w:firstLine="709"/>
        <w:jc w:val="both"/>
      </w:pPr>
      <w:r>
        <w:t xml:space="preserve">În ceea ce privește fondul litigiului, acest recurent a reluat aspectele pe care le-a prezentat în propriul recurs. </w:t>
      </w:r>
    </w:p>
    <w:p w14:paraId="5CBAAA06" w14:textId="77777777" w:rsidR="00C41BFB" w:rsidRDefault="00C41BFB"/>
    <w:p w14:paraId="0019841F" w14:textId="77777777" w:rsidR="00C41BFB" w:rsidRDefault="00D71E35">
      <w:pPr>
        <w:rPr>
          <w:rStyle w:val="Fontdeparagrafimplicit1"/>
          <w:b/>
          <w:i/>
        </w:rPr>
      </w:pPr>
      <w:r>
        <w:tab/>
      </w:r>
      <w:r>
        <w:rPr>
          <w:rStyle w:val="Fontdeparagrafimplicit1"/>
          <w:b/>
          <w:i/>
        </w:rPr>
        <w:t>Curtea, analizând recursurile, reţine următoarele:</w:t>
      </w:r>
    </w:p>
    <w:p w14:paraId="6DEE47DD" w14:textId="77777777" w:rsidR="00C41BFB" w:rsidRDefault="00D71E35">
      <w:pPr>
        <w:ind w:firstLine="709"/>
        <w:jc w:val="both"/>
      </w:pPr>
      <w:r>
        <w:rPr>
          <w:rStyle w:val="Fontdeparagrafimplicit1"/>
          <w:i/>
        </w:rPr>
        <w:t>Excepţia lipsei interesului recurentei reclamante</w:t>
      </w:r>
      <w:r>
        <w:t xml:space="preserve">, invocată de recurenta pârâtă nu este întemeiată şi va fi respinsă. Potrivit art. 483 alin. 3 Cod procedură civilă recursul urmăreşte să supună atenţiei instanţei competente, în condiţiile legii, a conformităţii hotărârii atacate cu regulile de drept aplicabile. Aşadar, obiectul recursului este însuşi actul de procedură contestat în recurs, în speţă, sentinţa civilă recurată de partea recurent reclamantă. Acest act este în fiinţă, nu a fost desfiinţat printr-o altă cale de atac exercitată împotriva sa, context în care recurenta reclamantă are interesul atacării cu recurs a respectivei sentinţe. Mai mult, acţiunea recurentei reclamante a fost admisă numai în parte, astfel că are interesul de a obţine o admitere integrală a cererii de chemare în judecată, astfel cum, de altfel, a şi arătat în recursul formulat. </w:t>
      </w:r>
    </w:p>
    <w:p w14:paraId="6947E8BD" w14:textId="77777777" w:rsidR="00C41BFB" w:rsidRDefault="00C41BFB">
      <w:pPr>
        <w:ind w:firstLine="709"/>
        <w:jc w:val="both"/>
      </w:pPr>
    </w:p>
    <w:p w14:paraId="06B88117" w14:textId="6BF5DC3E" w:rsidR="00C41BFB" w:rsidRDefault="00D71E35">
      <w:pPr>
        <w:ind w:firstLine="709"/>
        <w:jc w:val="both"/>
      </w:pPr>
      <w:r>
        <w:t xml:space="preserve">În ceea ce priveşte criticile </w:t>
      </w:r>
      <w:r>
        <w:rPr>
          <w:rStyle w:val="Fontdeparagrafimplicit1"/>
          <w:i/>
        </w:rPr>
        <w:t>recurentei pârâte</w:t>
      </w:r>
      <w:r>
        <w:rPr>
          <w:rStyle w:val="Fontdeparagrafimplicit1"/>
          <w:b/>
        </w:rPr>
        <w:t xml:space="preserve"> </w:t>
      </w:r>
      <w:r>
        <w:t xml:space="preserve">PRIMĂRIA MUNICIPIULUI </w:t>
      </w:r>
      <w:r w:rsidR="00470C22">
        <w:t>X</w:t>
      </w:r>
      <w:r>
        <w:t xml:space="preserve"> întemeiate pe prevederile art. 488 alin. (1) pct. 5 și 8 C.proc.civ., cu privire la </w:t>
      </w:r>
      <w:r>
        <w:rPr>
          <w:rStyle w:val="Fontdeparagrafimplicit1"/>
          <w:i/>
        </w:rPr>
        <w:t>încheierea de şedinţă din data de 12.06.2023</w:t>
      </w:r>
      <w:r>
        <w:t>, prin care instanța de judecată a dispus respingerea, ca neîntemeiate, a excepțiilor lipsei capacității de folosință a Primăriei și a inadmisibilității capetelor de cerere privind obligarea pârâtului la emiterea avizelor de specialitate, Curtea reţine următoarele:</w:t>
      </w:r>
    </w:p>
    <w:p w14:paraId="6F3D0E71" w14:textId="77777777" w:rsidR="00C41BFB" w:rsidRDefault="00D71E35">
      <w:pPr>
        <w:ind w:firstLine="709"/>
        <w:jc w:val="both"/>
      </w:pPr>
      <w:r>
        <w:t>Potrivit art. 488 alin. 1 pct. 5 Cod procedură civilă, casarea sentinţei recurate se poate dispune dacă instanţa de fond, prin hotărârea pronunţată, a încălcat regulile de procedură a căror nerespectare atrage sancţiunea nulităţii.</w:t>
      </w:r>
    </w:p>
    <w:p w14:paraId="14600302" w14:textId="77777777" w:rsidR="00C41BFB" w:rsidRDefault="00D71E35">
      <w:pPr>
        <w:ind w:firstLine="708"/>
        <w:jc w:val="both"/>
      </w:pPr>
      <w:r>
        <w:t xml:space="preserve">Potrivit art. 488 alin. 1 pct. 8 din Codul de procedură civilă (Cpc), constituie motiv de casare a sentinţei instanţei de fond încălcarea sau aplicarea greşită a normelor de drept material. </w:t>
      </w:r>
    </w:p>
    <w:p w14:paraId="4260243D" w14:textId="0C1F2CF4" w:rsidR="00C41BFB" w:rsidRDefault="00D71E35">
      <w:pPr>
        <w:ind w:firstLine="709"/>
        <w:jc w:val="both"/>
      </w:pPr>
      <w:r>
        <w:t xml:space="preserve">Curtea consideră neîntemeiate criticile recurente pârâte cu privire la încheierea din data de 12.6.2023, întrucât, în ceea ce priveşte respingerea excepţiei lipsei capacităţii procesuale de folosinţă, sunt aplicabile prevederile speciale (faţă de Codul administrativ), ale art. 5 din </w:t>
      </w:r>
      <w:r w:rsidR="000749F7">
        <w:t>HC</w:t>
      </w:r>
      <w:r w:rsidR="00470C22">
        <w:t xml:space="preserve"> X</w:t>
      </w:r>
      <w:r>
        <w:t xml:space="preserve"> nr. 304/2009, text normativ care prevede la art. 6 din Anexa 1 că avizele de specialitate pentru defrişare, toaletare se emit de Primăria Municipiului </w:t>
      </w:r>
      <w:r w:rsidR="00470C22">
        <w:t>X</w:t>
      </w:r>
      <w:r>
        <w:t xml:space="preserve"> prin Direcţia pentru protecţia mediului şi educaţie eco-civică. Aceste dispoziţii prevăd, aşadar, însăşi autoritatea competentă pentru emiterea avizelor solicitate în cauza de faţă, dispoziţiile legale nefiind modificate printr-un alt act normativ. Codul administrativ nu a modificat aceste dispoziţii speciale exprese privind competenţa Primăriei Municipiului </w:t>
      </w:r>
      <w:r w:rsidR="00470C22">
        <w:t>X</w:t>
      </w:r>
      <w:r>
        <w:t xml:space="preserve"> întrucât reglementarea este una specifică, numai emitentul </w:t>
      </w:r>
      <w:r w:rsidR="00470C22">
        <w:t>CGM X</w:t>
      </w:r>
      <w:r>
        <w:t xml:space="preserve"> putând modifica hotărârea sa nr. 304/2009. </w:t>
      </w:r>
    </w:p>
    <w:p w14:paraId="7D5B210E" w14:textId="77777777" w:rsidR="00C41BFB" w:rsidRDefault="00D71E35">
      <w:pPr>
        <w:ind w:firstLine="709"/>
        <w:jc w:val="both"/>
      </w:pPr>
      <w:r>
        <w:t>În privinţa excepţiei inadmisibilităţii, în mod corect prima instanţă a respins această excepţie, în mod corect, reţinând că dispoziţiile art. 18 alin. 1 din Legea nr. 554/2004 instituie o plenitudine de jurisdicţie a instanţei de contencios administrativ, care, între altele, în cazul unui refuz nejustificat, poate obliga autoritatea pârâtă să emită un act administrativ sau să efectueze o operaţiune administrativă. Litigiul de faţă nu pune problema oportunităţii de a emite sau nu un act administrativ, aspect în marja unei autorităţi administrative, ci a unui posibil refuz nejustificat, aspect ce ţine de legalitatea refuzului, aspect de competenţa de analiză a instanţei.</w:t>
      </w:r>
    </w:p>
    <w:p w14:paraId="2C1021AE" w14:textId="77777777" w:rsidR="00C41BFB" w:rsidRDefault="00C41BFB">
      <w:pPr>
        <w:ind w:firstLine="709"/>
        <w:jc w:val="both"/>
      </w:pPr>
    </w:p>
    <w:p w14:paraId="01E8D2FA" w14:textId="40D1B7F6" w:rsidR="00C41BFB" w:rsidRDefault="00D71E35">
      <w:pPr>
        <w:ind w:firstLine="709"/>
        <w:jc w:val="both"/>
      </w:pPr>
      <w:r>
        <w:t xml:space="preserve">În ceea ce priveşte criticile </w:t>
      </w:r>
      <w:r>
        <w:rPr>
          <w:rStyle w:val="Fontdeparagrafimplicit1"/>
          <w:i/>
        </w:rPr>
        <w:t>recurentei pârâte</w:t>
      </w:r>
      <w:r>
        <w:rPr>
          <w:rStyle w:val="Fontdeparagrafimplicit1"/>
          <w:b/>
        </w:rPr>
        <w:t xml:space="preserve"> </w:t>
      </w:r>
      <w:r>
        <w:t xml:space="preserve">PRIMĂRIA MUNICIPIULUI </w:t>
      </w:r>
      <w:r w:rsidR="00470C22">
        <w:t>X</w:t>
      </w:r>
      <w:r>
        <w:t xml:space="preserve"> în privinţa soluţiei pronunţate prin </w:t>
      </w:r>
      <w:r>
        <w:rPr>
          <w:rStyle w:val="Fontdeparagrafimplicit1"/>
          <w:i/>
        </w:rPr>
        <w:t>sentinţa recurată</w:t>
      </w:r>
      <w:r>
        <w:t>, Curtea reţine următoarele:</w:t>
      </w:r>
    </w:p>
    <w:p w14:paraId="5BF26E3A" w14:textId="61B2CC37" w:rsidR="00C41BFB" w:rsidRDefault="00D71E35">
      <w:pPr>
        <w:pStyle w:val="Stil1"/>
        <w:ind w:firstLine="708"/>
      </w:pPr>
      <w:r>
        <w:t xml:space="preserve">Motivul de casare prevăzut de art. 488 alin. 1 pct. 5 Cpc nu este întemeiat, neputându-se invoca încălcarea principiului disponibilităţii. Instanţa de fond a fost sesizată cu cererea părţii reclamante obligarea pârâtei la </w:t>
      </w:r>
      <w:r>
        <w:rPr>
          <w:rStyle w:val="Fontdeparagrafimplicit1"/>
          <w:i/>
        </w:rPr>
        <w:t>emiterea avizelor de specialitate privind intervenție asupra arborilor și arbuștilor în sensul defrișării</w:t>
      </w:r>
      <w:r>
        <w:t xml:space="preserve"> acestora, pentru cererile menționate în </w:t>
      </w:r>
      <w:r>
        <w:lastRenderedPageBreak/>
        <w:t xml:space="preserve">anexa 1 la cerere, obligarea pârâtei la comunicarea avizelor de defrișare ce au fost întocmite conform adreselor nr. </w:t>
      </w:r>
      <w:r w:rsidR="00470C22">
        <w:t>...</w:t>
      </w:r>
      <w:r>
        <w:t xml:space="preserve">/31.05.2022, </w:t>
      </w:r>
      <w:r w:rsidR="00470C22">
        <w:t>...</w:t>
      </w:r>
      <w:r>
        <w:t xml:space="preserve">/14.06.2022 și </w:t>
      </w:r>
      <w:r w:rsidR="00470C22">
        <w:t>...</w:t>
      </w:r>
      <w:r>
        <w:t xml:space="preserve">/14.06.2022 (anexa 2), obligarea pârâtei la </w:t>
      </w:r>
      <w:r>
        <w:rPr>
          <w:rStyle w:val="Fontdeparagrafimplicit1"/>
          <w:i/>
        </w:rPr>
        <w:t>emiterea avizelor de specialitate privind intervenție asupra arborilor și arbuștilor în sensul toaletării acestora</w:t>
      </w:r>
      <w:r>
        <w:t xml:space="preserve">, pentru cererile menționate la anexa 3, obligarea pârâtei la comunicarea avizelor de toaletare ce au fost întocmite conform adreselor nr. </w:t>
      </w:r>
      <w:r w:rsidR="00470C22">
        <w:t>...</w:t>
      </w:r>
      <w:r>
        <w:t xml:space="preserve">/04.05.2022, </w:t>
      </w:r>
      <w:r w:rsidR="00470C22">
        <w:t>...</w:t>
      </w:r>
      <w:r>
        <w:t xml:space="preserve">/09.05.2022 și </w:t>
      </w:r>
      <w:r w:rsidR="00470C22">
        <w:t>...</w:t>
      </w:r>
      <w:r>
        <w:t xml:space="preserve">/09.06.2022 (anexa 4), obligarea pârâtei la </w:t>
      </w:r>
      <w:r>
        <w:rPr>
          <w:rStyle w:val="Fontdeparagrafimplicit1"/>
          <w:i/>
        </w:rPr>
        <w:t>emiterea unui punct de vedere și emiterea avizului de specialitate de toaletare</w:t>
      </w:r>
      <w:r>
        <w:t xml:space="preserve"> a arborelui, pentru cererile menționate în anexa 5. Instanţa a pronunţat prin sentinţa recurată soluţia prin care a </w:t>
      </w:r>
      <w:r>
        <w:rPr>
          <w:rStyle w:val="Fontdeparagrafimplicit1"/>
          <w:i/>
        </w:rPr>
        <w:t>obligat pârâta să soluționeze cererile privind emiterea avizelor de specialitate pentru defrișarea arborilor</w:t>
      </w:r>
      <w:r>
        <w:t xml:space="preserve"> menționați în cele 77 adrese din anexa 1 a acțiunii și </w:t>
      </w:r>
      <w:r>
        <w:rPr>
          <w:rStyle w:val="Fontdeparagrafimplicit1"/>
          <w:i/>
        </w:rPr>
        <w:t>avizele de specialitate în vederea toaletării</w:t>
      </w:r>
      <w:r>
        <w:t xml:space="preserve"> a 214 arbori menționați în anexa 3 a acțiunii, a obligat pârâta la emiterea </w:t>
      </w:r>
      <w:r>
        <w:rPr>
          <w:rStyle w:val="Fontdeparagrafimplicit1"/>
          <w:i/>
        </w:rPr>
        <w:t>avizelor de specialitate</w:t>
      </w:r>
      <w:r>
        <w:t xml:space="preserve"> care fac obiectul cererilor înregistrate sub nr. </w:t>
      </w:r>
      <w:r w:rsidR="00470C22">
        <w:t>...</w:t>
      </w:r>
      <w:r>
        <w:t xml:space="preserve">/31.05.2022, </w:t>
      </w:r>
      <w:r w:rsidR="00470C22">
        <w:t>...</w:t>
      </w:r>
      <w:r>
        <w:t xml:space="preserve">/14.06.2022 și </w:t>
      </w:r>
      <w:r w:rsidR="00470C22">
        <w:t>...</w:t>
      </w:r>
      <w:r>
        <w:t xml:space="preserve">/14.06.2022, pentru defrișare, și sub nr. </w:t>
      </w:r>
      <w:r w:rsidR="00470C22">
        <w:t>...</w:t>
      </w:r>
      <w:r>
        <w:t xml:space="preserve">/04.05.2022, </w:t>
      </w:r>
      <w:r w:rsidR="00470C22">
        <w:t>...</w:t>
      </w:r>
      <w:r>
        <w:t xml:space="preserve">/09.05.2022 și </w:t>
      </w:r>
      <w:r w:rsidR="00470C22">
        <w:t>...</w:t>
      </w:r>
      <w:r>
        <w:t>/09.06.2022, pentru toaletare.</w:t>
      </w:r>
    </w:p>
    <w:p w14:paraId="7E7B83C1" w14:textId="77777777" w:rsidR="00C41BFB" w:rsidRDefault="00D71E35">
      <w:pPr>
        <w:pStyle w:val="Stil1"/>
        <w:ind w:firstLine="360"/>
      </w:pPr>
      <w:r>
        <w:tab/>
        <w:t xml:space="preserve">Prin urmare, se poate observa, din analiza comparativă a obiectului cererii cu acela al dispozitivului că instanţa a respectat principiul disponibilităţii, neacordând mai mult decât s-a solicitat. În plus, Curtea remarcă faptul că în susţinerea acestui motiv de casare, recurenta parată invocă de fapt motive care ţin de nelegalitatea sentinţei prin prisma refuzului, recurenta susţinând inexistenţa unui refuz administrativ, aspect care se circumscrie motivului de casare prevăzut de art. 488 alin. 1 pct. 8 Cpc. </w:t>
      </w:r>
    </w:p>
    <w:p w14:paraId="637A8E67" w14:textId="77777777" w:rsidR="00C41BFB" w:rsidRDefault="00D71E35">
      <w:pPr>
        <w:pStyle w:val="Stil1"/>
        <w:ind w:firstLine="708"/>
      </w:pPr>
      <w:r>
        <w:t>În privinţa motivului de casare prevăzut de art. 488 alin. 1 pct. 6 Cpc referitor la nemotivarea sau motivarea insuficientă a sentinţei, recurenta pârâtă invocă, de fapt, eronata reţinere a situaţiei de fapt, întrucât nu există un refuz nejustificat. Curtea observă, astfel, că argumentele prezentate de recurenta pârâtă se circumscriu şi motivului de casare prevăzut de art. 488 alin. 1 pct. 8 Cpc referitor la interpretarea şi aplicarea greşită a dispoziţiilor de drept material. Eventuala netemeinicie a constatărilor instanţei ţine de motivul de casare prevăzut de art. 488 alin. 1 pct. 8 Cpc.</w:t>
      </w:r>
    </w:p>
    <w:p w14:paraId="6FB5F908" w14:textId="77777777" w:rsidR="00C41BFB" w:rsidRDefault="00D71E35">
      <w:pPr>
        <w:pStyle w:val="Stil1"/>
        <w:ind w:firstLine="360"/>
      </w:pPr>
      <w:r>
        <w:t xml:space="preserve"> </w:t>
      </w:r>
      <w:r>
        <w:tab/>
        <w:t>În privinţa motivului de casare prevăzut de art. 488 alin. 1 pct. 8 Cpc referitor la interpretarea şi aplicarea greşită a dispoziţiilor de drept material, Curtea reţine următoarele:</w:t>
      </w:r>
    </w:p>
    <w:p w14:paraId="331F8C29" w14:textId="6B469BDF" w:rsidR="00C41BFB" w:rsidRDefault="00D71E35">
      <w:pPr>
        <w:pStyle w:val="Stil1"/>
        <w:ind w:firstLine="708"/>
      </w:pPr>
      <w:r>
        <w:t xml:space="preserve">Astfel cum rezultă din prezentarea situaţiei de fapt, prin cererea formulată reclamantul </w:t>
      </w:r>
      <w:r w:rsidR="00470C22">
        <w:t>ABC</w:t>
      </w:r>
      <w:r>
        <w:t xml:space="preserve"> a solicitat obligarea pârâtei</w:t>
      </w:r>
      <w:r w:rsidR="00470C22">
        <w:t xml:space="preserve"> PMX</w:t>
      </w:r>
      <w:r>
        <w:t xml:space="preserve"> la emiterea avizelor privind defrișarea unui număr de 77 arbori aflați pe teritoriul </w:t>
      </w:r>
      <w:r w:rsidR="00470C22">
        <w:t>ABC</w:t>
      </w:r>
      <w:r>
        <w:t xml:space="preserve"> al Municipiului </w:t>
      </w:r>
      <w:r w:rsidR="00470C22">
        <w:t>X</w:t>
      </w:r>
      <w:r>
        <w:t>, pentru care pârâta nu a soluționat cererile formulate (anexa 1 – f 33 vol I) și la emiterea avizelor privind toaletarea unui număr de 214 arbori (anexa 3 – f 142 vol I).</w:t>
      </w:r>
    </w:p>
    <w:p w14:paraId="5C50DC3B" w14:textId="5B3A69C3" w:rsidR="00C41BFB" w:rsidRDefault="00D71E35">
      <w:pPr>
        <w:pStyle w:val="Stil1"/>
        <w:ind w:firstLine="708"/>
        <w:rPr>
          <w:rStyle w:val="Fontdeparagrafimplicit1"/>
          <w:i/>
        </w:rPr>
      </w:pPr>
      <w:r>
        <w:t xml:space="preserve">Tribunalul reţine că potrivit adreselor nr. </w:t>
      </w:r>
      <w:r w:rsidR="00470C22">
        <w:t>...</w:t>
      </w:r>
      <w:r>
        <w:t xml:space="preserve">/31.05.2022, </w:t>
      </w:r>
      <w:r w:rsidR="00470C22">
        <w:t>...</w:t>
      </w:r>
      <w:r>
        <w:t xml:space="preserve">/14.06.2022 și </w:t>
      </w:r>
      <w:r w:rsidR="00470C22">
        <w:t>...</w:t>
      </w:r>
      <w:r>
        <w:t xml:space="preserve">/14.06.2022 (f. 138 şi urm vol. 1 dosar) cererile privind emiterea avizului de defrișare a arborilor înregistrate sub aceste numere au fost aprobate de către pârâtă, urmând a fi comunicate avizele astfel emise. </w:t>
      </w:r>
      <w:bookmarkStart w:id="5" w:name="_Hlk181815972"/>
      <w:r>
        <w:t xml:space="preserve">Curtea subliniază că această constatare a tribunalului nu este riguroasă, întrucât adresa subliniază că avizul se află pe circuitul intern, el nefiind încă emis efectiv avizul, în concret din adresele respective rezultând că </w:t>
      </w:r>
      <w:r>
        <w:rPr>
          <w:rStyle w:val="Fontdeparagrafimplicit1"/>
          <w:i/>
        </w:rPr>
        <w:t>pentru aceste cereri enumerate anterior</w:t>
      </w:r>
      <w:r w:rsidR="00470C22">
        <w:rPr>
          <w:rStyle w:val="Fontdeparagrafimplicit1"/>
          <w:i/>
        </w:rPr>
        <w:t xml:space="preserve"> PMX</w:t>
      </w:r>
      <w:r>
        <w:rPr>
          <w:rStyle w:val="Fontdeparagrafimplicit1"/>
          <w:i/>
        </w:rPr>
        <w:t xml:space="preserve"> Direcţia de mediu a comunicat reclamantei că a emis avizul de specialitate pentru defrişare şi că avizul se află pe fluxul de avizare/aprobare conform procedurii interne de lucru. </w:t>
      </w:r>
    </w:p>
    <w:bookmarkEnd w:id="5"/>
    <w:p w14:paraId="251DAD62" w14:textId="15973192" w:rsidR="00C41BFB" w:rsidRDefault="00D71E35">
      <w:pPr>
        <w:pStyle w:val="Stil1"/>
        <w:ind w:firstLine="708"/>
        <w:rPr>
          <w:rStyle w:val="Fontdeparagrafimplicit1"/>
          <w:i/>
        </w:rPr>
      </w:pPr>
      <w:r>
        <w:t xml:space="preserve">Tribunalul mai reţine că potrivit adreselor nr. </w:t>
      </w:r>
      <w:r w:rsidR="00470C22">
        <w:t>...</w:t>
      </w:r>
      <w:r>
        <w:t xml:space="preserve">/04.05.2022 (f. 151), </w:t>
      </w:r>
      <w:r w:rsidR="00470C22">
        <w:t>...</w:t>
      </w:r>
      <w:r>
        <w:t xml:space="preserve">/09.05.2022 (f. 190 vol. 1) și </w:t>
      </w:r>
      <w:r w:rsidR="00470C22">
        <w:t>...</w:t>
      </w:r>
      <w:r>
        <w:t xml:space="preserve">/09.06.2022 (f. 97 vol. 3 dosar) cererile privind emiterea avizului de toaletare a arborilor înregistrate sub aceste numere au fost aprobate de către pârâtă, urmând a fi comunicate avizele astfel emise. Curtea subliniază că nici această constatare a tribunalului nu este riguroasă, întrucât adresa subliniază că avizul se află pe circuitul intern, el nefiind încă emis efectiv, în concret din adresele respective rezultând că </w:t>
      </w:r>
      <w:r>
        <w:rPr>
          <w:rStyle w:val="Fontdeparagrafimplicit1"/>
          <w:i/>
        </w:rPr>
        <w:t>pentru aceste cereri enumerate anterior</w:t>
      </w:r>
      <w:r w:rsidR="00470C22">
        <w:rPr>
          <w:rStyle w:val="Fontdeparagrafimplicit1"/>
          <w:i/>
        </w:rPr>
        <w:t xml:space="preserve"> PMX</w:t>
      </w:r>
      <w:r>
        <w:rPr>
          <w:rStyle w:val="Fontdeparagrafimplicit1"/>
          <w:i/>
        </w:rPr>
        <w:t xml:space="preserve"> Direcţia de mediu a comunicat reclamantei că a emis avizul de specialitate </w:t>
      </w:r>
      <w:r>
        <w:rPr>
          <w:rStyle w:val="Fontdeparagrafimplicit1"/>
          <w:i/>
        </w:rPr>
        <w:lastRenderedPageBreak/>
        <w:t xml:space="preserve">pentru defrişare şi că avizul se află pe fluxul de avizare/aprobare conform procedurii interne de lucru. </w:t>
      </w:r>
    </w:p>
    <w:p w14:paraId="7E915C4B" w14:textId="0941D6E4" w:rsidR="00C41BFB" w:rsidRDefault="00D71E35">
      <w:pPr>
        <w:pStyle w:val="Stil1"/>
        <w:ind w:firstLine="708"/>
      </w:pPr>
      <w:r>
        <w:t xml:space="preserve">Tribunalul a obligat pârâta la emiterea avizelor de specialitate care fac obiectul cererilor înregistrate sub nr. </w:t>
      </w:r>
      <w:r w:rsidR="00470C22">
        <w:t>...</w:t>
      </w:r>
      <w:r>
        <w:t xml:space="preserve">/31.05.2022, </w:t>
      </w:r>
      <w:r w:rsidR="00470C22">
        <w:t>...</w:t>
      </w:r>
      <w:r>
        <w:t xml:space="preserve">/14.06.2022 și </w:t>
      </w:r>
      <w:r w:rsidR="00470C22">
        <w:t>...</w:t>
      </w:r>
      <w:r>
        <w:t xml:space="preserve">/14.06.2022, pentru defrișare, și sub nr. </w:t>
      </w:r>
      <w:r w:rsidR="00470C22">
        <w:t>...</w:t>
      </w:r>
      <w:r>
        <w:t xml:space="preserve">/04.05.2022, </w:t>
      </w:r>
      <w:r w:rsidR="00470C22">
        <w:t>...</w:t>
      </w:r>
      <w:r>
        <w:t xml:space="preserve">/09.05.2022 și </w:t>
      </w:r>
      <w:r w:rsidR="00470C22">
        <w:t>...</w:t>
      </w:r>
      <w:r>
        <w:t>/09.06.2022, pentru toaletare.</w:t>
      </w:r>
    </w:p>
    <w:p w14:paraId="298EA554" w14:textId="7A941B8F" w:rsidR="00C41BFB" w:rsidRDefault="00D71E35">
      <w:pPr>
        <w:pStyle w:val="Stil1"/>
        <w:ind w:firstLine="708"/>
      </w:pPr>
      <w:r>
        <w:t xml:space="preserve">Curtea observă că, până în prezent pârâta nu a soluţionat cererile înregistrate sub nr. </w:t>
      </w:r>
      <w:r w:rsidR="00470C22">
        <w:t>...</w:t>
      </w:r>
      <w:r>
        <w:t xml:space="preserve">/31.05.2022, </w:t>
      </w:r>
      <w:r w:rsidR="00470C22">
        <w:t>...</w:t>
      </w:r>
      <w:r>
        <w:t xml:space="preserve">/14.06.2022 și </w:t>
      </w:r>
      <w:r w:rsidR="00470C22">
        <w:t>...</w:t>
      </w:r>
      <w:r>
        <w:t xml:space="preserve">/14.06.2022, pentru defrișare, și sub nr. </w:t>
      </w:r>
      <w:r w:rsidR="00470C22">
        <w:t>...</w:t>
      </w:r>
      <w:r>
        <w:t xml:space="preserve">/04.05.2022, </w:t>
      </w:r>
      <w:r w:rsidR="00470C22">
        <w:t>...</w:t>
      </w:r>
      <w:r>
        <w:t xml:space="preserve">/09.05.2022 și </w:t>
      </w:r>
      <w:r w:rsidR="00470C22">
        <w:t>...</w:t>
      </w:r>
      <w:r>
        <w:t>/09.06.2022, pentru toaletare, întrucât cererile nu au parcurs întreaga procedură internă privind emiterea avizului, iar actele dosarului nu permit o concluzie cu privire la stadiul actual al procedurii. În acest context, în mod eronat tribunalul a obligat pârâta la emiterea avizelor de specialitate, prezumând că avizele au fost deja emise prin parcurgerea completă a procedurii interne a pârâtei. Altfel spus, câtă vreme pârâta nu s-a pronunţat încă în finalul procedurii administrative dacă va emite sau nu avizele respective, proiectele de avize fiind încă pe circuitul intern de aprobare (deci putând fi şi respinse), rezultă că instanţa trebuia să analizeze legalitatea răspunsului pârâtei exprimat prin adresele menţionate,  anume trebuia să analizeze dacă autoritatea pârâtă trebuia să mai parcurgă o procedură internă de aprobare/avizare a  proiectului de aviz sau dacă în mod concret fuseseră deja emise avize  (dar necomunicate încă reclamantei) şi care nu mai necesitau parcurgerea unei proceduri suplimentare (de aprobare internă). În acest context, tribunalul ar fi trebuit să analizeze dacă pârâta putea fi obligată să soluţioneze cererile respective, în sensul ca aceasta să fie obligată să parcurgă procedura internă şi să se pronunţe dacă va emite sau nu avizele solicitate sau dacă pârâta nu mai avea de parcurs o procedură internă şi că ar fi trebuit să fie obligată la emiterea/comunicarea avizului (în cazul refuzului nejustificat). Aceasta ar fi trebuit să rezulte din stabilirea, mai întâi, a stadiului efectiv în care se află cererile respective, aspect neclarificat de tribunal.</w:t>
      </w:r>
    </w:p>
    <w:p w14:paraId="6069598F" w14:textId="77777777" w:rsidR="00C41BFB" w:rsidRDefault="00C41BFB">
      <w:pPr>
        <w:pStyle w:val="Stil1"/>
        <w:ind w:firstLine="708"/>
      </w:pPr>
    </w:p>
    <w:p w14:paraId="449DBF2E" w14:textId="77777777" w:rsidR="00C41BFB" w:rsidRDefault="00D71E35">
      <w:pPr>
        <w:pStyle w:val="Stil1"/>
        <w:ind w:firstLine="708"/>
      </w:pPr>
      <w:r>
        <w:t xml:space="preserve">Cu privire la celelalte capete de cerere admise prin sentinţa recurată, referitoare la </w:t>
      </w:r>
      <w:r>
        <w:rPr>
          <w:rStyle w:val="Fontdeparagrafimplicit1"/>
          <w:i/>
        </w:rPr>
        <w:t>obligarea pârâtei să soluționeze cererile privind emiterea avizelor de specialitate pentru defrișarea arborilor menționați în cele 77 adrese din anexa 1 a acțiunii și avizele de specialitate în vederea toaletării a 214 arbori menționați în anexa 3 a acțiunii,</w:t>
      </w:r>
      <w:r>
        <w:t xml:space="preserve"> Curtea va analiza recursul recurentei reclamante, întrucât mai întâi trebuie să dezlege aspectul invocat de aceasta, anume că nu se impunea obligarea pârâtei la soluţionare, întrucât aceasta deja a emis un refuz nejustificat şi trebuia ca instanţa să oblige pârâta la emiterea avizelor.</w:t>
      </w:r>
    </w:p>
    <w:p w14:paraId="72BC27B1" w14:textId="29FE79D0" w:rsidR="00C41BFB" w:rsidRDefault="00D71E35">
      <w:pPr>
        <w:pStyle w:val="Stil1"/>
        <w:ind w:firstLine="708"/>
      </w:pPr>
      <w:r>
        <w:t xml:space="preserve">Aşa cum în mod corect a constatat tribunalul, conform art. 6 din Anexa 1 la </w:t>
      </w:r>
      <w:r w:rsidR="000749F7">
        <w:t>HC</w:t>
      </w:r>
      <w:r w:rsidR="00470C22">
        <w:t xml:space="preserve"> X</w:t>
      </w:r>
      <w:r>
        <w:t xml:space="preserve"> nr. 304/2009 avizele de specialitate (toaletare, defrișare) se emit de către Primăria Municipiului </w:t>
      </w:r>
      <w:r w:rsidR="00470C22">
        <w:t>X</w:t>
      </w:r>
      <w:r>
        <w:t xml:space="preserve"> prin Direcția Protecția Mediului și Educației Eco-civică pentru vegetația situată pe domeniul public și privat al statului, al Municipiului </w:t>
      </w:r>
      <w:r w:rsidR="00470C22">
        <w:t>X</w:t>
      </w:r>
      <w:r>
        <w:t xml:space="preserve">, precum și pe terenurile proprietate privată a persoanelor fizice/juridice situate pe raza Municipiului </w:t>
      </w:r>
      <w:r w:rsidR="00470C22">
        <w:t>X</w:t>
      </w:r>
      <w:r>
        <w:t xml:space="preserve"> pentru arborii, arbuștii și subarbuștii (inclusiv trandafiri, liane) din speciile ornamentale, inclusiv duzi și corcoduși. Prin urmare, atribuțiile privind emiterea avizelor care fac obiectul cererii reclamantei sunt în sarcina pârâtei.</w:t>
      </w:r>
    </w:p>
    <w:p w14:paraId="374BA54A" w14:textId="77777777" w:rsidR="00C41BFB" w:rsidRDefault="00D71E35">
      <w:pPr>
        <w:pStyle w:val="Stil1"/>
        <w:ind w:firstLine="708"/>
      </w:pPr>
      <w:r>
        <w:t xml:space="preserve">Curtea observă că trebuie distins între refuzul nejustificat – tăcerea administrativă, respectiv nesoluţionarea unei cereri în termenul legal şi refuzul nejustificat sub forma refuzului explicit de a da curs unei cereri (respingerea cererii). Tribunalul a obligat pârâta </w:t>
      </w:r>
      <w:r>
        <w:rPr>
          <w:rStyle w:val="Fontdeparagrafimplicit1"/>
          <w:i/>
        </w:rPr>
        <w:t xml:space="preserve">să soluționeze cererile privind emiterea avizelor de specialitate pentru defrișarea arborilor menționați în cele 77 adrese din anexa 1 a acțiunii și avizele de specialitate în vederea toaletării a 214 arbori menționați în anexa 3 a acțiunii, </w:t>
      </w:r>
      <w:r>
        <w:t xml:space="preserve">ceea ce ar conduce la concluzia că tribunalul ar fi reţinut o nesoluţionare a cererii reclamantului în termenul legal. Deşi tribunalul a reţinut în finalul motivării sentinţei că </w:t>
      </w:r>
      <w:r>
        <w:rPr>
          <w:rStyle w:val="Fontdeparagrafimplicit1"/>
          <w:i/>
        </w:rPr>
        <w:t>pârâta nu şi-a exprimat poziția de admitere sau respingere a cererilor reclamantului</w:t>
      </w:r>
      <w:r>
        <w:t xml:space="preserve">, tribunalul a omis să cerceteze adresele de </w:t>
      </w:r>
      <w:r>
        <w:lastRenderedPageBreak/>
        <w:t xml:space="preserve">răspuns ale pârâtei.  Astfel, pârâta a emis adrese de răspuns către reclamant prin care i-a pus în vedere </w:t>
      </w:r>
      <w:r>
        <w:rPr>
          <w:rStyle w:val="Fontdeparagrafimplicit1"/>
          <w:i/>
        </w:rPr>
        <w:t>să îndeplinească anumite obligaţii</w:t>
      </w:r>
      <w:r>
        <w:t xml:space="preserve"> în vederea facilitării identificării arborilor afectaţi, obligaţii pe care primăria susţine că reclamanta fie nu le-a îndeplinit, fie le-a îndeplinit în mod defectuos. În acest context, concluzia tribunalului conform căreia pârâta </w:t>
      </w:r>
      <w:r>
        <w:rPr>
          <w:rStyle w:val="Fontdeparagrafimplicit1"/>
          <w:i/>
        </w:rPr>
        <w:t>nu a exprimat</w:t>
      </w:r>
      <w:r>
        <w:t xml:space="preserve"> opinia asupra cererii reclamantei nu se susţine. Este adevărat că pârâta nu a exprimat un punct de vedere final cu privire la avizare, dar aceasta se datorează faptului că pârâta a impus o serie de obligaţii reclamantei şi susţine că reclamanta nu le-a îndeplinit sau le-a îndeplinit în mod defectuos. În acest context, tribunalul ar fi trebuit să analizeze pe fond legalitatea şi temeinicia refuzului pârâtei de a urma procedura de avizare, exprimat prin adresele aflate la dosar, refuz care constă în impunerea unor obligaţii suplimentare de îndeplinit de către reclamantă, analiza trebuind să se facă în raport cu dispoziţiile legale aplicabile şi cu probele aflate la dosar. De altfel, reclamanta în acţiune (respectiv în recurs) a formulat apărări pe fondul fiecărui tip de refuz exprimat, susţinând, în esenţă, că emiterea avizelor a fost condiţionată de îndeplinirea unor obligaţii (operaţiuni administrative) care nu sunt reglementate, precum şi de operaţiuni administrative ce trebuiau realizate ulterior obţinerii avizelor. </w:t>
      </w:r>
    </w:p>
    <w:p w14:paraId="6C10E89D" w14:textId="77777777" w:rsidR="00C41BFB" w:rsidRDefault="00D71E35">
      <w:pPr>
        <w:pStyle w:val="Stil1"/>
        <w:ind w:firstLine="708"/>
      </w:pPr>
      <w:r>
        <w:t xml:space="preserve">Or, în condiţiile în care tribunalul a considerat eronat că pârâta nu a furnizat răspuns cererilor reclamantei de avizare, tribunalul a considerat în mod eronat că sunt aplicabile dispoziţiile art. 2 alin. 1 lit. h) din Legea nr. 554/2004 privind nesoluţionarea în termen a cererii. Astfel, au fost nesocotite dispoziţiile art. 2 alin. 1 lit. i) din Legea nr. 554/2004, aplicabile în speţă, conform cărora refuz nejustificat de a soluţiona o cerere - exprimarea explicită, cu exces de putere, a voinţei de a nu rezolva cererea unei persoane, în raport cu care tribunalul trebuia să facă o analiză pe fond a răspunsurilor pârâtei furnizat prin adresele de răspuns vizând un număr total de 291 arbori – 77 pentru defrișare și 214 pentru toaletare. </w:t>
      </w:r>
    </w:p>
    <w:p w14:paraId="5FB8BBFB" w14:textId="77777777" w:rsidR="00C41BFB" w:rsidRDefault="00D71E35">
      <w:pPr>
        <w:pStyle w:val="Stil1"/>
        <w:ind w:firstLine="708"/>
      </w:pPr>
      <w:r>
        <w:t>Pentru aceste motive, Curtea va respinge ca nefondată excepţia lipsei interesului recurentei-reclamante, va respinge ca nefondat recursul recurentei pârâte formulat împotriva încheierii de şedinţă din data de 12.06.2023.</w:t>
      </w:r>
    </w:p>
    <w:p w14:paraId="4D106A38" w14:textId="32CCB6DF" w:rsidR="00C41BFB" w:rsidRDefault="00D71E35">
      <w:pPr>
        <w:pStyle w:val="Stil1"/>
        <w:ind w:firstLine="708"/>
      </w:pPr>
      <w:r>
        <w:t xml:space="preserve">În baza art. 496 Cpc, Curtea va admite recursurile recurentei reclamante şi recurentei pârâte formulate împotriva sentinţei nr. </w:t>
      </w:r>
      <w:r w:rsidR="00470C22">
        <w:t>...</w:t>
      </w:r>
      <w:r>
        <w:t>/2023, va casa sentinţa recurată şi, în baza art. 498 alin. 2 Cpc va trimite cauza spre rejudecare la aceeaşi instanţă. Soluţia de casare se impune întrucât tribunalul nu a analizat fondul litigiului prin prisma art. 2 alin. 1 lit. i) din Legea nr. 554/2004, ceea ce echivalează cu soluţionarea procesului fără a intra în judecata fondului.</w:t>
      </w:r>
    </w:p>
    <w:p w14:paraId="09C7BE9D" w14:textId="77777777" w:rsidR="00C41BFB" w:rsidRDefault="00D71E35">
      <w:pPr>
        <w:pStyle w:val="Stil1"/>
        <w:ind w:firstLine="708"/>
      </w:pPr>
      <w:r>
        <w:t xml:space="preserve">Soluţia pronunţată face imposibilă analiza celorlalte motive şi argumente prezentate în recursurile formulate. </w:t>
      </w:r>
    </w:p>
    <w:p w14:paraId="4EE83F76" w14:textId="77777777" w:rsidR="00C41BFB" w:rsidRDefault="00C41BFB">
      <w:pPr>
        <w:widowControl w:val="0"/>
        <w:ind w:firstLine="709"/>
        <w:jc w:val="both"/>
      </w:pPr>
    </w:p>
    <w:p w14:paraId="3ED77513" w14:textId="77777777" w:rsidR="00C41BFB" w:rsidRDefault="00D71E35">
      <w:pPr>
        <w:ind w:firstLine="709"/>
        <w:jc w:val="center"/>
        <w:rPr>
          <w:rStyle w:val="Fontdeparagrafimplicit1"/>
          <w:b/>
        </w:rPr>
      </w:pPr>
      <w:r>
        <w:rPr>
          <w:rStyle w:val="Fontdeparagrafimplicit1"/>
          <w:b/>
        </w:rPr>
        <w:t>PENTRU ACESTE MOTIVE,</w:t>
      </w:r>
    </w:p>
    <w:p w14:paraId="6AB32042" w14:textId="77777777" w:rsidR="00C41BFB" w:rsidRDefault="00D71E35">
      <w:pPr>
        <w:ind w:firstLine="709"/>
        <w:jc w:val="center"/>
        <w:rPr>
          <w:rStyle w:val="Fontdeparagrafimplicit1"/>
          <w:b/>
        </w:rPr>
      </w:pPr>
      <w:r>
        <w:rPr>
          <w:rStyle w:val="Fontdeparagrafimplicit1"/>
          <w:b/>
        </w:rPr>
        <w:t>ÎN NUMELE LEGII</w:t>
      </w:r>
    </w:p>
    <w:p w14:paraId="74E97351" w14:textId="77777777" w:rsidR="00C41BFB" w:rsidRDefault="00D71E35">
      <w:pPr>
        <w:ind w:firstLine="709"/>
        <w:jc w:val="center"/>
        <w:rPr>
          <w:rStyle w:val="Fontdeparagrafimplicit1"/>
          <w:b/>
        </w:rPr>
      </w:pPr>
      <w:r>
        <w:rPr>
          <w:rStyle w:val="Fontdeparagrafimplicit1"/>
          <w:b/>
        </w:rPr>
        <w:t>D E C I D E :</w:t>
      </w:r>
    </w:p>
    <w:p w14:paraId="3AF9E77B" w14:textId="77777777" w:rsidR="00C41BFB" w:rsidRDefault="00C41BFB">
      <w:pPr>
        <w:ind w:firstLine="709"/>
        <w:jc w:val="both"/>
        <w:rPr>
          <w:rStyle w:val="Fontdeparagrafimplicit1"/>
        </w:rPr>
      </w:pPr>
    </w:p>
    <w:p w14:paraId="203239AB" w14:textId="77777777" w:rsidR="00C41BFB" w:rsidRDefault="00D71E35">
      <w:pPr>
        <w:ind w:firstLine="709"/>
        <w:jc w:val="both"/>
      </w:pPr>
      <w:r>
        <w:t>Respinge ca nefondată excepţia lipsei interesului recurentei reclamante.</w:t>
      </w:r>
    </w:p>
    <w:p w14:paraId="41DB22BF" w14:textId="58AC6BCD" w:rsidR="00C41BFB" w:rsidRDefault="00D71E35">
      <w:pPr>
        <w:ind w:firstLine="709"/>
        <w:jc w:val="both"/>
      </w:pPr>
      <w:r>
        <w:t xml:space="preserve">Respinge ca nefondat recursul recurentei pârâte formulat împotriva încheierii de şedinţă din data de </w:t>
      </w:r>
      <w:r w:rsidR="00470C22">
        <w:t>....</w:t>
      </w:r>
      <w:r>
        <w:t>.2023.</w:t>
      </w:r>
    </w:p>
    <w:p w14:paraId="0ED0DA1F" w14:textId="334477D3" w:rsidR="00C41BFB" w:rsidRDefault="00D71E35">
      <w:pPr>
        <w:ind w:firstLine="709"/>
        <w:jc w:val="both"/>
      </w:pPr>
      <w:r>
        <w:t xml:space="preserve">Admite recursurile formulate de formulate de recurentul-reclamant </w:t>
      </w:r>
      <w:r w:rsidR="00470C22">
        <w:rPr>
          <w:rStyle w:val="Fontdeparagrafimplicit1"/>
          <w:b/>
        </w:rPr>
        <w:t>ABC</w:t>
      </w:r>
      <w:r>
        <w:rPr>
          <w:rStyle w:val="Fontdeparagrafimplicit1"/>
          <w:b/>
        </w:rPr>
        <w:t xml:space="preserve"> AL MUNICIPIULUI </w:t>
      </w:r>
      <w:r w:rsidR="00470C22">
        <w:rPr>
          <w:rStyle w:val="Fontdeparagrafimplicit1"/>
          <w:b/>
        </w:rPr>
        <w:t>X</w:t>
      </w:r>
      <w:r>
        <w:rPr>
          <w:rStyle w:val="Fontdeparagrafimplicit1"/>
          <w:b/>
        </w:rPr>
        <w:t xml:space="preserve">, </w:t>
      </w:r>
      <w:r>
        <w:t>cu sediul procesual ales</w:t>
      </w:r>
      <w:r>
        <w:rPr>
          <w:rStyle w:val="Fontdeparagrafimplicit1"/>
          <w:b/>
        </w:rPr>
        <w:t xml:space="preserve"> </w:t>
      </w:r>
      <w:r>
        <w:t xml:space="preserve">la SCA </w:t>
      </w:r>
      <w:r w:rsidR="00470C22">
        <w:t>..</w:t>
      </w:r>
      <w:r>
        <w:t xml:space="preserve"> şi </w:t>
      </w:r>
      <w:r w:rsidR="00470C22">
        <w:t>..</w:t>
      </w:r>
      <w:r>
        <w:t xml:space="preserve"> în Str. </w:t>
      </w:r>
      <w:r w:rsidR="00470C22">
        <w:t>...</w:t>
      </w:r>
      <w:r>
        <w:t xml:space="preserve"> nr. </w:t>
      </w:r>
      <w:r w:rsidR="00470C22">
        <w:t>..</w:t>
      </w:r>
      <w:r>
        <w:t xml:space="preserve">, </w:t>
      </w:r>
      <w:r w:rsidR="00470C22">
        <w:t>...</w:t>
      </w:r>
      <w:r>
        <w:t xml:space="preserve">, </w:t>
      </w:r>
      <w:r w:rsidR="00470C22">
        <w:t>X</w:t>
      </w:r>
      <w:r>
        <w:t xml:space="preserve"> şi de recurenta-pârâtă </w:t>
      </w:r>
      <w:r>
        <w:rPr>
          <w:rStyle w:val="Fontdeparagrafimplicit1"/>
          <w:b/>
        </w:rPr>
        <w:t xml:space="preserve">PRIMĂRIA  MUNICPIULUI  </w:t>
      </w:r>
      <w:r w:rsidR="00470C22">
        <w:rPr>
          <w:rStyle w:val="Fontdeparagrafimplicit1"/>
          <w:b/>
        </w:rPr>
        <w:t>X</w:t>
      </w:r>
      <w:r>
        <w:rPr>
          <w:rStyle w:val="Fontdeparagrafimplicit1"/>
          <w:b/>
        </w:rPr>
        <w:t xml:space="preserve"> PRIN  DIRECŢIA PROTECŢIA MEDIULUI ŞI  EDUCAŢIEI ECO  CIVICA, </w:t>
      </w:r>
      <w:r>
        <w:t xml:space="preserve">cu sediul procesual ales la SCPA </w:t>
      </w:r>
      <w:r w:rsidR="00470C22">
        <w:t>..</w:t>
      </w:r>
      <w:r>
        <w:t xml:space="preserve"> </w:t>
      </w:r>
      <w:r w:rsidR="00470C22">
        <w:t>...</w:t>
      </w:r>
      <w:r>
        <w:t xml:space="preserve"> în Str. </w:t>
      </w:r>
      <w:r w:rsidR="00470C22">
        <w:t>...</w:t>
      </w:r>
      <w:r>
        <w:t xml:space="preserve"> nr. </w:t>
      </w:r>
      <w:r w:rsidR="00470C22">
        <w:t>...</w:t>
      </w:r>
      <w:r>
        <w:t xml:space="preserve">, </w:t>
      </w:r>
      <w:r w:rsidR="00470C22">
        <w:t>...</w:t>
      </w:r>
      <w:r>
        <w:t xml:space="preserve">, et. </w:t>
      </w:r>
      <w:r w:rsidR="00470C22">
        <w:t>..</w:t>
      </w:r>
      <w:r>
        <w:t xml:space="preserve">, </w:t>
      </w:r>
      <w:r w:rsidR="00470C22">
        <w:t>..</w:t>
      </w:r>
      <w:r>
        <w:t xml:space="preserve">, </w:t>
      </w:r>
      <w:r w:rsidR="00470C22">
        <w:t>X</w:t>
      </w:r>
      <w:r>
        <w:t xml:space="preserve"> împotriva sentinţei civile nr. </w:t>
      </w:r>
      <w:r w:rsidR="00470C22">
        <w:t>...</w:t>
      </w:r>
      <w:r>
        <w:t xml:space="preserve">.2023 pronunţate de Tribunalul </w:t>
      </w:r>
      <w:r w:rsidR="00470C22">
        <w:t>X</w:t>
      </w:r>
      <w:r>
        <w:t xml:space="preserve"> Secţia </w:t>
      </w:r>
      <w:r w:rsidR="00470C22">
        <w:t>...</w:t>
      </w:r>
      <w:r>
        <w:t xml:space="preserve"> contencios administrativ şi fiscal în dosarul nr. </w:t>
      </w:r>
      <w:r w:rsidR="00470C22">
        <w:t>...</w:t>
      </w:r>
      <w:r>
        <w:t>.</w:t>
      </w:r>
    </w:p>
    <w:p w14:paraId="7D4C9DD7" w14:textId="77777777" w:rsidR="00C41BFB" w:rsidRDefault="00D71E35">
      <w:pPr>
        <w:ind w:firstLine="709"/>
        <w:jc w:val="both"/>
      </w:pPr>
      <w:r>
        <w:t xml:space="preserve">Casează sentinţa recurată şi trimite cauza spre rejudecare la aceeaşi instanţă. </w:t>
      </w:r>
    </w:p>
    <w:p w14:paraId="7F50455A" w14:textId="77777777" w:rsidR="00C41BFB" w:rsidRDefault="00D71E35">
      <w:pPr>
        <w:ind w:firstLine="709"/>
        <w:jc w:val="both"/>
      </w:pPr>
      <w:r>
        <w:t>Definitivă.</w:t>
      </w:r>
    </w:p>
    <w:p w14:paraId="45817E76" w14:textId="61513122" w:rsidR="00C41BFB" w:rsidRDefault="00D71E35">
      <w:pPr>
        <w:ind w:firstLine="709"/>
        <w:jc w:val="both"/>
      </w:pPr>
      <w:r>
        <w:lastRenderedPageBreak/>
        <w:t xml:space="preserve">Pronunţată azi, </w:t>
      </w:r>
      <w:r w:rsidR="00470C22">
        <w:t>...</w:t>
      </w:r>
      <w:r>
        <w:t xml:space="preserve">2024, prin punerea soluţiei la dispoziţia părţilor de către grefa instanţei. </w:t>
      </w:r>
    </w:p>
    <w:p w14:paraId="13DD5CF2" w14:textId="77777777" w:rsidR="00C41BFB" w:rsidRDefault="00C41BFB">
      <w:pPr>
        <w:ind w:right="-1"/>
        <w:jc w:val="both"/>
      </w:pPr>
    </w:p>
    <w:p w14:paraId="2E436EDB" w14:textId="77777777" w:rsidR="00C41BFB" w:rsidRDefault="00D71E35">
      <w:pPr>
        <w:ind w:right="-1"/>
        <w:jc w:val="both"/>
      </w:pPr>
      <w:r>
        <w:rPr>
          <w:rStyle w:val="Fontdeparagrafimplicit1"/>
          <w:b/>
        </w:rPr>
        <w:t xml:space="preserve">       Preşedinte</w:t>
      </w:r>
      <w:r>
        <w:t xml:space="preserve">, </w:t>
      </w:r>
      <w:r>
        <w:rPr>
          <w:rStyle w:val="Fontdeparagrafimplicit1"/>
          <w:b/>
        </w:rPr>
        <w:t xml:space="preserve">                                     Judecător</w:t>
      </w:r>
      <w:r>
        <w:t>,</w:t>
      </w:r>
      <w:r>
        <w:tab/>
      </w:r>
      <w:r>
        <w:rPr>
          <w:rStyle w:val="Fontdeparagrafimplicit1"/>
          <w:b/>
        </w:rPr>
        <w:t xml:space="preserve">                                      Judecător</w:t>
      </w:r>
      <w:r>
        <w:t>,</w:t>
      </w:r>
    </w:p>
    <w:p w14:paraId="6C009136" w14:textId="61605A6E" w:rsidR="00C41BFB" w:rsidRDefault="00D71E35">
      <w:pPr>
        <w:ind w:right="-1"/>
        <w:jc w:val="both"/>
      </w:pPr>
      <w:r>
        <w:rPr>
          <w:rStyle w:val="Fontdeparagrafimplicit1"/>
          <w:b/>
        </w:rPr>
        <w:t xml:space="preserve">                </w:t>
      </w:r>
      <w:r>
        <w:t>A0017</w:t>
      </w:r>
      <w:r>
        <w:tab/>
        <w:t xml:space="preserve">                                           ...                                              ... </w:t>
      </w:r>
    </w:p>
    <w:p w14:paraId="6CCFB3A9" w14:textId="77777777" w:rsidR="00C41BFB" w:rsidRDefault="00C41BFB">
      <w:pPr>
        <w:ind w:right="-1" w:firstLine="709"/>
        <w:jc w:val="both"/>
        <w:rPr>
          <w:rStyle w:val="Fontdeparagrafimplicit1"/>
          <w:b/>
        </w:rPr>
      </w:pPr>
    </w:p>
    <w:p w14:paraId="772C3BB9" w14:textId="77777777" w:rsidR="00C41BFB" w:rsidRDefault="00C41BFB">
      <w:pPr>
        <w:ind w:right="-1" w:firstLine="709"/>
        <w:jc w:val="both"/>
        <w:rPr>
          <w:rStyle w:val="Fontdeparagrafimplicit1"/>
          <w:b/>
        </w:rPr>
      </w:pPr>
    </w:p>
    <w:p w14:paraId="76FC269C" w14:textId="77777777" w:rsidR="00C41BFB" w:rsidRDefault="00D71E35">
      <w:pPr>
        <w:ind w:right="-1" w:firstLine="709"/>
        <w:rPr>
          <w:rStyle w:val="Fontdeparagrafimplicit1"/>
          <w:b/>
        </w:rPr>
      </w:pPr>
      <w:r>
        <w:rPr>
          <w:rStyle w:val="Fontdeparagrafimplicit1"/>
          <w:b/>
        </w:rPr>
        <w:t xml:space="preserve">   </w:t>
      </w:r>
    </w:p>
    <w:p w14:paraId="426218FF" w14:textId="77777777" w:rsidR="00C41BFB" w:rsidRDefault="00C41BFB">
      <w:pPr>
        <w:ind w:right="-1" w:firstLine="709"/>
        <w:rPr>
          <w:rStyle w:val="Fontdeparagrafimplicit1"/>
          <w:b/>
        </w:rPr>
      </w:pPr>
    </w:p>
    <w:p w14:paraId="4865BEE2" w14:textId="77777777" w:rsidR="00C41BFB" w:rsidRDefault="00D71E35">
      <w:pPr>
        <w:ind w:right="-1" w:firstLine="709"/>
        <w:jc w:val="center"/>
      </w:pPr>
      <w:r>
        <w:rPr>
          <w:rStyle w:val="Fontdeparagrafimplicit1"/>
          <w:b/>
        </w:rPr>
        <w:t xml:space="preserve">                                                                                    Grefier</w:t>
      </w:r>
      <w:r>
        <w:t>,</w:t>
      </w:r>
    </w:p>
    <w:p w14:paraId="0258D28D" w14:textId="54EC4BAF" w:rsidR="00C41BFB" w:rsidRDefault="00D71E35">
      <w:pPr>
        <w:ind w:right="-1" w:firstLine="709"/>
        <w:jc w:val="right"/>
      </w:pPr>
      <w:r>
        <w:t>...</w:t>
      </w:r>
    </w:p>
    <w:p w14:paraId="249214A9" w14:textId="77777777" w:rsidR="00C41BFB" w:rsidRDefault="00C41BFB">
      <w:pPr>
        <w:ind w:right="-1" w:firstLine="709"/>
        <w:jc w:val="right"/>
        <w:rPr>
          <w:rStyle w:val="Fontdeparagrafimplicit1"/>
          <w:b/>
        </w:rPr>
      </w:pPr>
    </w:p>
    <w:p w14:paraId="132F5C09" w14:textId="77777777" w:rsidR="00C41BFB" w:rsidRDefault="00C41BFB">
      <w:pPr>
        <w:ind w:right="-1"/>
        <w:rPr>
          <w:rStyle w:val="Fontdeparagrafimplicit1"/>
          <w:b/>
        </w:rPr>
      </w:pPr>
    </w:p>
    <w:p w14:paraId="1AEA7813" w14:textId="77777777" w:rsidR="00C41BFB" w:rsidRDefault="00C41BFB">
      <w:pPr>
        <w:ind w:right="-1" w:firstLine="851"/>
        <w:jc w:val="right"/>
        <w:rPr>
          <w:rStyle w:val="Fontdeparagrafimplicit1"/>
          <w:b/>
        </w:rPr>
      </w:pPr>
    </w:p>
    <w:p w14:paraId="300D2A39" w14:textId="4F5EEC1E" w:rsidR="00C41BFB" w:rsidRDefault="00D71E35">
      <w:pPr>
        <w:rPr>
          <w:rStyle w:val="Fontdeparagrafimplicit1"/>
          <w:i/>
          <w:sz w:val="22"/>
        </w:rPr>
      </w:pPr>
      <w:r>
        <w:rPr>
          <w:rStyle w:val="Fontdeparagrafimplicit1"/>
          <w:i/>
          <w:sz w:val="22"/>
        </w:rPr>
        <w:t>Red./Thred./</w:t>
      </w:r>
      <w:r w:rsidR="00470C22">
        <w:rPr>
          <w:rStyle w:val="Fontdeparagrafimplicit1"/>
          <w:i/>
          <w:sz w:val="22"/>
        </w:rPr>
        <w:t>A0017</w:t>
      </w:r>
      <w:r>
        <w:rPr>
          <w:rStyle w:val="Fontdeparagrafimplicit1"/>
          <w:i/>
          <w:sz w:val="22"/>
        </w:rPr>
        <w:t>./ 4 ex./</w:t>
      </w:r>
    </w:p>
    <w:p w14:paraId="0419A4D4" w14:textId="77777777" w:rsidR="00C41BFB" w:rsidRDefault="00D71E35">
      <w:pPr>
        <w:rPr>
          <w:rStyle w:val="Fontdeparagrafimplicit1"/>
          <w:i/>
          <w:sz w:val="22"/>
        </w:rPr>
      </w:pPr>
      <w:r>
        <w:rPr>
          <w:rStyle w:val="Fontdeparagrafimplicit1"/>
          <w:i/>
          <w:sz w:val="22"/>
        </w:rPr>
        <w:t>Com. 2 ex./</w:t>
      </w:r>
    </w:p>
    <w:p w14:paraId="66D4FD81" w14:textId="2C976829" w:rsidR="00C41BFB" w:rsidRDefault="00D71E35">
      <w:pPr>
        <w:jc w:val="both"/>
        <w:rPr>
          <w:rStyle w:val="Fontdeparagrafimplicit1"/>
          <w:i/>
          <w:sz w:val="22"/>
        </w:rPr>
      </w:pPr>
      <w:r>
        <w:rPr>
          <w:rStyle w:val="Fontdeparagrafimplicit1"/>
          <w:i/>
          <w:sz w:val="22"/>
        </w:rPr>
        <w:t xml:space="preserve">Jud. fond: </w:t>
      </w:r>
      <w:r w:rsidR="00470C22">
        <w:rPr>
          <w:rStyle w:val="Fontdeparagrafimplicit1"/>
          <w:i/>
          <w:sz w:val="22"/>
        </w:rPr>
        <w:t>....</w:t>
      </w:r>
      <w:r>
        <w:rPr>
          <w:rStyle w:val="Fontdeparagrafimplicit1"/>
          <w:i/>
          <w:sz w:val="22"/>
        </w:rPr>
        <w:t xml:space="preserve"> – Tribunalul </w:t>
      </w:r>
      <w:r w:rsidR="00470C22">
        <w:rPr>
          <w:rStyle w:val="Fontdeparagrafimplicit1"/>
          <w:i/>
          <w:sz w:val="22"/>
        </w:rPr>
        <w:t>X</w:t>
      </w:r>
      <w:r>
        <w:rPr>
          <w:rStyle w:val="Fontdeparagrafimplicit1"/>
          <w:i/>
          <w:sz w:val="22"/>
        </w:rPr>
        <w:t xml:space="preserve"> Secţia </w:t>
      </w:r>
      <w:r w:rsidR="00470C22">
        <w:rPr>
          <w:rStyle w:val="Fontdeparagrafimplicit1"/>
          <w:i/>
          <w:sz w:val="22"/>
        </w:rPr>
        <w:t>...</w:t>
      </w:r>
      <w:r>
        <w:rPr>
          <w:rStyle w:val="Fontdeparagrafimplicit1"/>
          <w:i/>
          <w:sz w:val="22"/>
        </w:rPr>
        <w:t xml:space="preserve"> contencios administrativ şi fiscal</w:t>
      </w:r>
    </w:p>
    <w:p w14:paraId="140E2950" w14:textId="77777777" w:rsidR="00C41BFB" w:rsidRDefault="00C41BFB">
      <w:pPr>
        <w:rPr>
          <w:rStyle w:val="Fontdeparagrafimplicit1"/>
        </w:rPr>
      </w:pPr>
    </w:p>
    <w:p w14:paraId="7E53A7AB" w14:textId="77777777" w:rsidR="00C41BFB" w:rsidRDefault="00C41BFB">
      <w:pPr>
        <w:rPr>
          <w:rStyle w:val="Fontdeparagrafimplicit1"/>
        </w:rPr>
      </w:pPr>
    </w:p>
    <w:sectPr w:rsidR="00C41BFB">
      <w:footerReference w:type="default" r:id="rId7"/>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80A3F" w14:textId="77777777" w:rsidR="00190070" w:rsidRDefault="00190070">
      <w:r>
        <w:separator/>
      </w:r>
    </w:p>
  </w:endnote>
  <w:endnote w:type="continuationSeparator" w:id="0">
    <w:p w14:paraId="6BD30BB4" w14:textId="77777777" w:rsidR="00190070" w:rsidRDefault="0019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46EB9" w14:textId="77777777" w:rsidR="00C41BFB" w:rsidRDefault="00D71E35">
    <w:pPr>
      <w:pStyle w:val="Subsol1"/>
      <w:jc w:val="center"/>
    </w:pPr>
    <w:r>
      <w:fldChar w:fldCharType="begin"/>
    </w:r>
    <w:r>
      <w:instrText>PAGE   \* MERGEFORMAT</w:instrText>
    </w:r>
    <w:r>
      <w:fldChar w:fldCharType="separate"/>
    </w:r>
    <w:r>
      <w:t>#</w:t>
    </w:r>
    <w:r>
      <w:fldChar w:fldCharType="end"/>
    </w:r>
  </w:p>
  <w:p w14:paraId="7A187D6E" w14:textId="77777777" w:rsidR="00C41BFB" w:rsidRDefault="00C41BFB">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712FB" w14:textId="77777777" w:rsidR="00190070" w:rsidRDefault="00190070">
      <w:r>
        <w:separator/>
      </w:r>
    </w:p>
  </w:footnote>
  <w:footnote w:type="continuationSeparator" w:id="0">
    <w:p w14:paraId="2252966A" w14:textId="77777777" w:rsidR="00190070" w:rsidRDefault="00190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D4BD5"/>
    <w:multiLevelType w:val="hybridMultilevel"/>
    <w:tmpl w:val="E6C0FB16"/>
    <w:lvl w:ilvl="0" w:tplc="33E097DA">
      <w:start w:val="6"/>
      <w:numFmt w:val="bullet"/>
      <w:lvlText w:val="-"/>
      <w:lvlJc w:val="left"/>
      <w:pPr>
        <w:ind w:left="720" w:hanging="360"/>
      </w:pPr>
      <w:rPr>
        <w:rFonts w:ascii="Times New Roman" w:hAnsi="Times New Roman"/>
      </w:rPr>
    </w:lvl>
    <w:lvl w:ilvl="1" w:tplc="EA765C0E">
      <w:start w:val="1"/>
      <w:numFmt w:val="bullet"/>
      <w:lvlText w:val="o"/>
      <w:lvlJc w:val="left"/>
      <w:pPr>
        <w:ind w:left="1440" w:hanging="360"/>
      </w:pPr>
      <w:rPr>
        <w:rFonts w:ascii="Courier New" w:hAnsi="Courier New"/>
      </w:rPr>
    </w:lvl>
    <w:lvl w:ilvl="2" w:tplc="17100E48">
      <w:start w:val="1"/>
      <w:numFmt w:val="bullet"/>
      <w:lvlText w:val=""/>
      <w:lvlJc w:val="left"/>
      <w:pPr>
        <w:ind w:left="2160" w:hanging="360"/>
      </w:pPr>
      <w:rPr>
        <w:rFonts w:ascii="Wingdings" w:hAnsi="Wingdings"/>
      </w:rPr>
    </w:lvl>
    <w:lvl w:ilvl="3" w:tplc="2068837A">
      <w:start w:val="1"/>
      <w:numFmt w:val="bullet"/>
      <w:lvlText w:val=""/>
      <w:lvlJc w:val="left"/>
      <w:pPr>
        <w:ind w:left="2880" w:hanging="360"/>
      </w:pPr>
      <w:rPr>
        <w:rFonts w:ascii="Symbol" w:hAnsi="Symbol"/>
      </w:rPr>
    </w:lvl>
    <w:lvl w:ilvl="4" w:tplc="3CDE6130">
      <w:start w:val="1"/>
      <w:numFmt w:val="bullet"/>
      <w:lvlText w:val="o"/>
      <w:lvlJc w:val="left"/>
      <w:pPr>
        <w:ind w:left="3600" w:hanging="360"/>
      </w:pPr>
      <w:rPr>
        <w:rFonts w:ascii="Courier New" w:hAnsi="Courier New"/>
      </w:rPr>
    </w:lvl>
    <w:lvl w:ilvl="5" w:tplc="DB98FDF0">
      <w:start w:val="1"/>
      <w:numFmt w:val="bullet"/>
      <w:lvlText w:val=""/>
      <w:lvlJc w:val="left"/>
      <w:pPr>
        <w:ind w:left="4320" w:hanging="360"/>
      </w:pPr>
      <w:rPr>
        <w:rFonts w:ascii="Wingdings" w:hAnsi="Wingdings"/>
      </w:rPr>
    </w:lvl>
    <w:lvl w:ilvl="6" w:tplc="AD422832">
      <w:start w:val="1"/>
      <w:numFmt w:val="bullet"/>
      <w:lvlText w:val=""/>
      <w:lvlJc w:val="left"/>
      <w:pPr>
        <w:ind w:left="5040" w:hanging="360"/>
      </w:pPr>
      <w:rPr>
        <w:rFonts w:ascii="Symbol" w:hAnsi="Symbol"/>
      </w:rPr>
    </w:lvl>
    <w:lvl w:ilvl="7" w:tplc="7876DA4A">
      <w:start w:val="1"/>
      <w:numFmt w:val="bullet"/>
      <w:lvlText w:val="o"/>
      <w:lvlJc w:val="left"/>
      <w:pPr>
        <w:ind w:left="5760" w:hanging="360"/>
      </w:pPr>
      <w:rPr>
        <w:rFonts w:ascii="Courier New" w:hAnsi="Courier New"/>
      </w:rPr>
    </w:lvl>
    <w:lvl w:ilvl="8" w:tplc="E6222B58">
      <w:start w:val="1"/>
      <w:numFmt w:val="bullet"/>
      <w:lvlText w:val=""/>
      <w:lvlJc w:val="left"/>
      <w:pPr>
        <w:ind w:left="6480" w:hanging="360"/>
      </w:pPr>
      <w:rPr>
        <w:rFonts w:ascii="Wingdings" w:hAnsi="Wingdings"/>
      </w:rPr>
    </w:lvl>
  </w:abstractNum>
  <w:num w:numId="1" w16cid:durableId="365374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184562&amp;id_departament=54&amp;id_sesiune=5842522&amp;id_user=1406&amp;id_institutie=2&amp;actiune=modifica"/>
  </w:docVars>
  <w:rsids>
    <w:rsidRoot w:val="00C41BFB"/>
    <w:rsid w:val="000749F7"/>
    <w:rsid w:val="00190070"/>
    <w:rsid w:val="002B0E6F"/>
    <w:rsid w:val="00470C22"/>
    <w:rsid w:val="004E127C"/>
    <w:rsid w:val="00653C4B"/>
    <w:rsid w:val="00945369"/>
    <w:rsid w:val="00C41BFB"/>
    <w:rsid w:val="00C96ADE"/>
    <w:rsid w:val="00D45AAC"/>
    <w:rsid w:val="00D71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40930"/>
  <w15:docId w15:val="{48DD4C48-DE67-4088-ABDD-6DA409A7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1">
    <w:name w:val="Fără spațiere1"/>
    <w:qFormat/>
    <w:rPr>
      <w:sz w:val="24"/>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13"/>
        <w:tab w:val="right" w:pos="9026"/>
      </w:tabs>
    </w:pPr>
    <w:rPr>
      <w:rFonts w:ascii="Calibri" w:hAnsi="Calibri"/>
      <w:sz w:val="22"/>
    </w:rPr>
  </w:style>
  <w:style w:type="paragraph" w:customStyle="1" w:styleId="Stil1">
    <w:name w:val="Stil1"/>
    <w:basedOn w:val="Frspaiere1"/>
    <w:link w:val="Stil1Caracter"/>
    <w:qFormat/>
    <w:pPr>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character" w:customStyle="1" w:styleId="Stil1Caracter">
    <w:name w:val="Stil1 Caracter"/>
    <w:link w:val="Sti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5272</Words>
  <Characters>30054</Characters>
  <Application>Microsoft Office Word</Application>
  <DocSecurity>0</DocSecurity>
  <Lines>250</Lines>
  <Paragraphs>70</Paragraphs>
  <ScaleCrop>false</ScaleCrop>
  <Manager/>
  <Company/>
  <LinksUpToDate>false</LinksUpToDate>
  <CharactersWithSpaces>35256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cp:revision>
  <dcterms:created xsi:type="dcterms:W3CDTF">2026-09-03T08:25:00Z</dcterms:created>
  <dcterms:modified xsi:type="dcterms:W3CDTF">2026-09-13T11:20:00Z</dcterms:modified>
  <cp:category/>
  <dc:identifier/>
  <cp:contentStatus/>
  <dc:language/>
  <cp:version/>
</cp:coreProperties>
</file>