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color w:val="BFBFBF"/>
          <w:sz w:val="20"/>
        </w:rPr>
      </w:pPr>
      <w:r>
        <w:rPr>
          <w:color w:val="BFBFBF"/>
          <w:sz w:val="20"/>
        </w:rPr>
        <w:t>Document finalizat</w:t>
      </w:r>
    </w:p>
    <w:p>
      <w:pPr>
        <w:pStyle w:val="Normal"/>
        <w:rPr/>
      </w:pPr>
      <w:r>
        <w:rPr/>
        <w:t>Hot. 23</w:t>
      </w:r>
    </w:p>
    <w:p>
      <w:pPr>
        <w:pStyle w:val="Normal"/>
        <w:rPr>
          <w:b/>
        </w:rPr>
      </w:pPr>
      <w:r>
        <w:rPr>
          <w:b/>
        </w:rPr>
        <w:t>Dosar nr. D1/a1.6</w:t>
      </w:r>
    </w:p>
    <w:p>
      <w:pPr>
        <w:pStyle w:val="Normal"/>
        <w:rPr/>
      </w:pPr>
      <w:r>
        <w:rPr/>
      </w:r>
    </w:p>
    <w:p>
      <w:pPr>
        <w:pStyle w:val="Heading3"/>
        <w:rPr>
          <w:rFonts w:ascii="Times New Roman" w:hAnsi="Times New Roman"/>
          <w:b/>
          <w:sz w:val="24"/>
        </w:rPr>
      </w:pPr>
      <w:r>
        <w:rPr>
          <w:rFonts w:ascii="Times New Roman" w:hAnsi="Times New Roman"/>
          <w:b/>
          <w:sz w:val="24"/>
        </w:rPr>
        <w:t>R O M Â N I A</w:t>
      </w:r>
    </w:p>
    <w:p>
      <w:pPr>
        <w:pStyle w:val="Normal"/>
        <w:jc w:val="center"/>
        <w:rPr>
          <w:b/>
        </w:rPr>
      </w:pPr>
      <w:r>
        <w:rPr>
          <w:b/>
        </w:rPr>
      </w:r>
    </w:p>
    <w:p>
      <w:pPr>
        <w:pStyle w:val="Normal"/>
        <w:jc w:val="center"/>
        <w:rPr>
          <w:b/>
        </w:rPr>
      </w:pPr>
      <w:r>
        <w:rPr>
          <w:b/>
        </w:rPr>
        <w:t>CURTEA DE APEL ..</w:t>
      </w:r>
    </w:p>
    <w:p>
      <w:pPr>
        <w:pStyle w:val="Normal"/>
        <w:jc w:val="center"/>
        <w:rPr>
          <w:b/>
        </w:rPr>
      </w:pPr>
      <w:r>
        <w:rPr>
          <w:b/>
        </w:rPr>
        <w:t>SECŢIA ... - NCPP – CPC</w:t>
      </w:r>
    </w:p>
    <w:p>
      <w:pPr>
        <w:pStyle w:val="Normal"/>
        <w:jc w:val="center"/>
        <w:rPr>
          <w:lang w:val="en-US"/>
        </w:rPr>
      </w:pPr>
      <w:r>
        <w:rPr>
          <w:lang w:val="en-US"/>
        </w:rPr>
      </w:r>
    </w:p>
    <w:p>
      <w:pPr>
        <w:pStyle w:val="Heading2"/>
        <w:tabs>
          <w:tab w:val="clear" w:pos="720"/>
          <w:tab w:val="left" w:leader="none" w:pos="3780"/>
          <w:tab w:val="center" w:leader="none" w:pos="4535"/>
        </w:tabs>
        <w:rPr>
          <w:rFonts w:ascii="Times New Roman" w:hAnsi="Times New Roman"/>
        </w:rPr>
      </w:pPr>
      <w:r>
        <w:rPr>
          <w:rFonts w:ascii="Times New Roman" w:hAnsi="Times New Roman"/>
        </w:rPr>
        <w:t>ÎNCHEIERE NR...</w:t>
      </w:r>
    </w:p>
    <w:p>
      <w:pPr>
        <w:pStyle w:val="Normal"/>
        <w:rPr/>
      </w:pPr>
      <w:r>
        <w:rPr/>
      </w:r>
    </w:p>
    <w:p>
      <w:pPr>
        <w:pStyle w:val="Normal"/>
        <w:jc w:val="center"/>
        <w:rPr>
          <w:b/>
        </w:rPr>
      </w:pPr>
      <w:r>
        <w:rPr>
          <w:b/>
        </w:rPr>
        <w:t xml:space="preserve">Şedinţa din Camera de consiliu din ... </w:t>
      </w:r>
    </w:p>
    <w:p>
      <w:pPr>
        <w:pStyle w:val="Normal"/>
        <w:jc w:val="center"/>
        <w:rPr>
          <w:b/>
        </w:rPr>
      </w:pPr>
      <w:r>
        <w:rPr>
          <w:b/>
        </w:rPr>
      </w:r>
    </w:p>
    <w:p>
      <w:pPr>
        <w:pStyle w:val="Normal"/>
        <w:jc w:val="center"/>
        <w:rPr/>
      </w:pPr>
      <w:r>
        <w:rPr/>
        <w:t>Curtea constituită din:</w:t>
      </w:r>
    </w:p>
    <w:p>
      <w:pPr>
        <w:pStyle w:val="Normal"/>
        <w:jc w:val="center"/>
        <w:rPr/>
      </w:pPr>
      <w:r>
        <w:rPr>
          <w:b/>
        </w:rPr>
        <w:t>Judecător de cameră preliminară</w:t>
      </w:r>
      <w:r>
        <w:rPr/>
        <w:t xml:space="preserve"> </w:t>
      </w:r>
      <w:r>
        <w:rPr>
          <w:b/>
        </w:rPr>
        <w:t>A0013</w:t>
      </w:r>
    </w:p>
    <w:p>
      <w:pPr>
        <w:pStyle w:val="Normal"/>
        <w:jc w:val="center"/>
        <w:rPr>
          <w:b/>
        </w:rPr>
      </w:pPr>
      <w:r>
        <w:rPr>
          <w:b/>
        </w:rPr>
        <w:t>Grefier ...</w:t>
      </w:r>
    </w:p>
    <w:p>
      <w:pPr>
        <w:pStyle w:val="Normal"/>
        <w:jc w:val="center"/>
        <w:rPr/>
      </w:pPr>
      <w:r>
        <w:rPr/>
      </w:r>
    </w:p>
    <w:p>
      <w:pPr>
        <w:pStyle w:val="Normal"/>
        <w:jc w:val="center"/>
        <w:rPr>
          <w:b/>
        </w:rPr>
      </w:pPr>
      <w:r>
        <w:rPr>
          <w:b/>
        </w:rPr>
        <w:t xml:space="preserve">Ministerul Public – Parchetul de pe lângă Curtea de Apel ...– reprezentat de procuror </w:t>
      </w:r>
    </w:p>
    <w:p>
      <w:pPr>
        <w:pStyle w:val="Normal"/>
        <w:jc w:val="center"/>
        <w:rPr>
          <w:b/>
        </w:rPr>
      </w:pPr>
      <w:r>
        <w:rPr>
          <w:b/>
        </w:rPr>
        <w:t>...</w:t>
      </w:r>
    </w:p>
    <w:p>
      <w:pPr>
        <w:pStyle w:val="Normal"/>
        <w:jc w:val="center"/>
        <w:rPr/>
      </w:pPr>
      <w:r>
        <w:rPr/>
      </w:r>
    </w:p>
    <w:p>
      <w:pPr>
        <w:pStyle w:val="Normal"/>
        <w:jc w:val="center"/>
        <w:rPr/>
      </w:pPr>
      <w:r>
        <w:rPr/>
      </w:r>
    </w:p>
    <w:p>
      <w:pPr>
        <w:pStyle w:val="Normal"/>
        <w:jc w:val="both"/>
        <w:rPr>
          <w:b/>
        </w:rPr>
      </w:pPr>
      <w:r>
        <w:rPr/>
        <w:tab/>
        <w:tab/>
        <w:t xml:space="preserve">Pe rol se află soluţionarea </w:t>
      </w:r>
      <w:r>
        <w:rPr>
          <w:b/>
        </w:rPr>
        <w:t>contestaţiilor</w:t>
      </w:r>
      <w:r>
        <w:rPr/>
        <w:t xml:space="preserve"> formulate de inculpaţii </w:t>
      </w:r>
      <w:r>
        <w:rPr>
          <w:b/>
        </w:rPr>
        <w:t>R1</w:t>
      </w:r>
      <w:r>
        <w:rPr/>
        <w:t xml:space="preserve"> şi </w:t>
      </w:r>
      <w:r>
        <w:rPr>
          <w:b/>
        </w:rPr>
        <w:t xml:space="preserve">R2, </w:t>
      </w:r>
      <w:r>
        <w:rPr/>
        <w:t xml:space="preserve">împotriva </w:t>
      </w:r>
      <w:r>
        <w:rPr>
          <w:b/>
        </w:rPr>
        <w:t>Încheierii penale din data de IP1</w:t>
      </w:r>
      <w:r>
        <w:rPr/>
        <w:t xml:space="preserve">, pronunţată de </w:t>
      </w:r>
      <w:r>
        <w:rPr>
          <w:b/>
        </w:rPr>
        <w:t>judecătorul de cameră preliminară de la Tribunalul ...</w:t>
      </w:r>
      <w:r>
        <w:rPr/>
        <w:t xml:space="preserve">, în </w:t>
      </w:r>
      <w:r>
        <w:rPr>
          <w:b/>
        </w:rPr>
        <w:t>dosarul nr. D1/a1.6.</w:t>
      </w:r>
    </w:p>
    <w:p>
      <w:pPr>
        <w:pStyle w:val="Normal"/>
        <w:ind w:firstLine="1134"/>
        <w:jc w:val="both"/>
        <w:rPr>
          <w:b/>
        </w:rPr>
      </w:pPr>
      <w:r>
        <w:rPr/>
        <w:t xml:space="preserve">La apelul nominal, </w:t>
      </w:r>
      <w:r>
        <w:rPr>
          <w:b/>
        </w:rPr>
        <w:t>făcut în şedinţă</w:t>
      </w:r>
      <w:r>
        <w:rPr/>
        <w:t xml:space="preserve"> </w:t>
      </w:r>
      <w:bookmarkStart w:name="tip_sedinta_copie_1" w:id="0"/>
      <w:r>
        <w:rPr>
          <w:b/>
        </w:rPr>
        <w:t>publică</w:t>
      </w:r>
      <w:bookmarkEnd w:id="0"/>
      <w:r>
        <w:rPr/>
        <w:t>, se prezintă inculpaţii contestatori R1, asistat de apărător desemnat din oficiu, avocat Av1, şi R2, asistat de apărător desemnat din oficiu, avocat Av2.</w:t>
      </w:r>
    </w:p>
    <w:p>
      <w:pPr>
        <w:pStyle w:val="Normal"/>
        <w:ind w:firstLine="1134"/>
        <w:jc w:val="both"/>
        <w:rPr>
          <w:b/>
        </w:rPr>
      </w:pPr>
      <w:r>
        <w:rPr/>
        <w:t>Procedura de citare este legal îndeplinită.</w:t>
      </w:r>
    </w:p>
    <w:p>
      <w:pPr>
        <w:pStyle w:val="Normal"/>
        <w:ind w:firstLine="1134"/>
        <w:jc w:val="both"/>
        <w:rPr>
          <w:b/>
        </w:rPr>
      </w:pPr>
      <w:r>
        <w:rPr/>
        <w:t>S-a făcut referatul cauzei de către  grefierul de şedinţă privind prezenţa părţilor şi îndeplinirea procedurii de  citare.</w:t>
      </w:r>
    </w:p>
    <w:p>
      <w:pPr>
        <w:pStyle w:val="Normal"/>
        <w:ind w:firstLine="1134"/>
        <w:jc w:val="both"/>
        <w:rPr>
          <w:b/>
        </w:rPr>
      </w:pPr>
      <w:r>
        <w:rPr/>
        <w:t>Judecătorul de cameră preliminară permite apărătorilor desemnaţi din oficiu să ia legătura cu inculpaţii contestatori.</w:t>
      </w:r>
    </w:p>
    <w:p>
      <w:pPr>
        <w:pStyle w:val="Normal"/>
        <w:ind w:firstLine="1134"/>
        <w:jc w:val="both"/>
        <w:rPr>
          <w:b/>
        </w:rPr>
      </w:pPr>
      <w:r>
        <w:rPr/>
        <w:t>Judecătorul de cameră preliminară înştiinţează inculpaţii cu privire la faptul că    s-a procedat la încunoștințarea apărătorilor aleşi, av. Av3 şi av. Av4, care au precizat nu pot fi prezenţi la acest termen şi s-a procedat la desemnarea unor apărători din oficiu.</w:t>
      </w:r>
    </w:p>
    <w:p>
      <w:pPr>
        <w:pStyle w:val="Normal"/>
        <w:ind w:firstLine="1134"/>
        <w:jc w:val="both"/>
        <w:rPr>
          <w:b/>
        </w:rPr>
      </w:pPr>
      <w:r>
        <w:rPr/>
        <w:t>Întrebaţi fiind de judecătorul de cameră preliminară dacă sunt de acord să fie asistați de apărătorii desemnaţi din oficiu, inculpaţii contestatori răspund afirmativ.</w:t>
      </w:r>
    </w:p>
    <w:p>
      <w:pPr>
        <w:pStyle w:val="Normal"/>
        <w:ind w:firstLine="1134"/>
        <w:jc w:val="both"/>
        <w:rPr>
          <w:b/>
        </w:rPr>
      </w:pPr>
      <w:r>
        <w:rPr>
          <w:b/>
          <w:i/>
        </w:rPr>
        <w:t>Nefiind alte solicitări, judecătorul de cameră preliminară constată contestațiile inculpaţilor ca fiind în stare de judecată şi acordă cuvântul în dezbateri.</w:t>
      </w:r>
    </w:p>
    <w:p>
      <w:pPr>
        <w:pStyle w:val="Normal"/>
        <w:ind w:firstLine="1134"/>
        <w:jc w:val="both"/>
        <w:rPr>
          <w:b/>
        </w:rPr>
      </w:pPr>
      <w:r>
        <w:rPr>
          <w:b/>
        </w:rPr>
        <w:t xml:space="preserve">Avocat Av1, pentru inculpat R1, având cuvântul, </w:t>
      </w:r>
      <w:r>
        <w:rPr/>
        <w:t xml:space="preserve">solicită ca instanţa să ţină cont de faptul că măsura arestului preventiv este o măsură excepţională, arătând că şi Curtea Constituţională a decis că este echivalentă cu măsura arestului la domiciliu, zilele de arest la domiciliu trebuind scăzute din condamnarea finală. Arestul la domiciliu reprezintă tot o formă de privare de libertate a inculpatului şi tot Curtea a apreciat că eventuala diferenţă de confort sau de regim între diferitele locaţii nu este o condiţie a stabilirii dacă măsura respectivă este sau nu privativă de libertate. </w:t>
      </w:r>
    </w:p>
    <w:p>
      <w:pPr>
        <w:pStyle w:val="Normal"/>
        <w:ind w:firstLine="1134"/>
        <w:jc w:val="both"/>
        <w:rPr>
          <w:b/>
        </w:rPr>
      </w:pPr>
      <w:r>
        <w:rPr/>
        <w:t>Precizează că doreşte să atragă atenţia asupra faptului că inculpatul se află sub imperiul acestei măsuri de o perioadă destul de lungă, de 6 luni de zile, urmărirea penală a fost finalizată, au fost administrate toate probele cu audierea persoanelor vătămate şi martorilor, cât şi probele tehnice şi ştiinţifice.</w:t>
      </w:r>
    </w:p>
    <w:p>
      <w:pPr>
        <w:pStyle w:val="Normal"/>
        <w:ind w:firstLine="1134"/>
        <w:jc w:val="both"/>
        <w:rPr>
          <w:b/>
        </w:rPr>
      </w:pPr>
      <w:r>
        <w:rPr/>
        <w:t>Arată că nu există nici o probă din care să rezulte că inculpatul ar putea face ceva de natură să împiedice buna desfăşurare a procesului penal.</w:t>
      </w:r>
    </w:p>
    <w:p>
      <w:pPr>
        <w:pStyle w:val="Normal"/>
        <w:ind w:firstLine="1134"/>
        <w:jc w:val="both"/>
        <w:rPr>
          <w:b/>
        </w:rPr>
      </w:pPr>
      <w:r>
        <w:rPr/>
        <w:t>Precizează că inculpatul are probleme de sănătate pe care le va expune el când i se va da cuvântul, probleme de sănătate care nu pot fi tratate în mediul carceral, astfel că o măsură mai uşoară i-ar permite să aibă grijă de sănătate.</w:t>
      </w:r>
    </w:p>
    <w:p>
      <w:pPr>
        <w:pStyle w:val="Normal"/>
        <w:ind w:firstLine="1134"/>
        <w:jc w:val="both"/>
        <w:rPr>
          <w:b/>
        </w:rPr>
      </w:pPr>
      <w:r>
        <w:rPr/>
        <w:t>Mai afirmă că atunci când nu există alte temeiuri care să justifice o privare de libertate a acestuia în continuare, instanţa poate dispune o altă măsură mai blândă, respectiv măsura arestului la domiciliu.</w:t>
      </w:r>
    </w:p>
    <w:p>
      <w:pPr>
        <w:pStyle w:val="Normal"/>
        <w:ind w:firstLine="1134"/>
        <w:jc w:val="both"/>
        <w:rPr>
          <w:b/>
        </w:rPr>
      </w:pPr>
      <w:r>
        <w:rPr>
          <w:b/>
        </w:rPr>
        <w:t>Avocat Av2,</w:t>
      </w:r>
      <w:r>
        <w:rPr/>
        <w:t xml:space="preserve"> </w:t>
      </w:r>
      <w:r>
        <w:rPr>
          <w:b/>
        </w:rPr>
        <w:t xml:space="preserve">pentru inculpat R2, având cuvântul, </w:t>
      </w:r>
      <w:r>
        <w:rPr/>
        <w:t>precizează că măsura arestului preventiv este printre cele mai restrictive şi poate fi luată dacă există temeiuri care sunt proporţionale cu aceasta. Însă menţinerea acestei măsuri nu poate  fi  luată pe aceleaşi temeiuri, trecând o perioadă destul de lungă de timp, urmărirea penală fiind finalizată, probatoriul a fost administrat şi nu există nici o probă care să indice că inculpatul ar fi încercat săvârşirea de noi infracţiuni sau să influenţeze desfăşurarea procesului în vreun fel.</w:t>
      </w:r>
    </w:p>
    <w:p>
      <w:pPr>
        <w:pStyle w:val="Normal"/>
        <w:ind w:firstLine="1134"/>
        <w:jc w:val="both"/>
        <w:rPr>
          <w:b/>
        </w:rPr>
      </w:pPr>
      <w:r>
        <w:rPr/>
        <w:t>Consideră că măsura arestului la domiciliu are puterea de a asigura scopul prevăzut de art. 202 Cod procedură penală, oferind un control asupra inculpatului, care ar respecta toate măsurile.</w:t>
      </w:r>
    </w:p>
    <w:p>
      <w:pPr>
        <w:pStyle w:val="Normal"/>
        <w:ind w:firstLine="1134"/>
        <w:jc w:val="both"/>
        <w:rPr>
          <w:b/>
        </w:rPr>
      </w:pPr>
      <w:r>
        <w:rPr/>
        <w:t>Mai precizează că trebuie făcută raportarea şi la fapta pe care inculpatul a  săvârşit-o, doar o singură lovitură şi nu se poate lua întreg ansamblul probator pentru luarea măsurii arestului preventiv pentru un singur inculpat, ci trebuie văzut în concret ce faptă a săvârşit.</w:t>
      </w:r>
    </w:p>
    <w:p>
      <w:pPr>
        <w:pStyle w:val="Normal"/>
        <w:ind w:firstLine="1134"/>
        <w:jc w:val="both"/>
        <w:rPr>
          <w:b/>
        </w:rPr>
      </w:pPr>
      <w:r>
        <w:rPr/>
        <w:t>Mai arată că inculpatul are un copil minor, soţia este acasă având grijă de acesta şi dacă ar fi pus în libertate ar putea acorda un sprijin acesteia.</w:t>
      </w:r>
    </w:p>
    <w:p>
      <w:pPr>
        <w:pStyle w:val="Normal"/>
        <w:ind w:firstLine="1134"/>
        <w:jc w:val="both"/>
        <w:rPr>
          <w:b/>
        </w:rPr>
      </w:pPr>
      <w:r>
        <w:rPr/>
        <w:t>Pentru toate aceste considerente, solicită admiterea contestaţiei şi luarea măsurii arestului la domiciliu.</w:t>
      </w:r>
    </w:p>
    <w:p>
      <w:pPr>
        <w:pStyle w:val="Normal"/>
        <w:ind w:firstLine="1134"/>
        <w:jc w:val="both"/>
        <w:rPr>
          <w:b/>
        </w:rPr>
      </w:pPr>
      <w:r>
        <w:rPr>
          <w:b/>
        </w:rPr>
        <w:t xml:space="preserve">Reprezentantul Ministerului Public, având cuvântul, </w:t>
      </w:r>
      <w:r>
        <w:rPr/>
        <w:t>precizează că încheierea atacată este una temeinică şi legală, iar contestaţiile apar ca neîntemeiate raportat la art. 205 şi 425</w:t>
      </w:r>
      <w:r>
        <w:rPr>
          <w:vertAlign w:val="superscript"/>
        </w:rPr>
        <w:t xml:space="preserve">1 </w:t>
      </w:r>
      <w:r>
        <w:rPr/>
        <w:t>alin. 7 Cod procedură penală, motiv pentru care solicită respingerea contestaţiilor.</w:t>
      </w:r>
    </w:p>
    <w:p>
      <w:pPr>
        <w:pStyle w:val="Normal"/>
        <w:ind w:firstLine="1134"/>
        <w:jc w:val="both"/>
        <w:rPr>
          <w:b/>
        </w:rPr>
      </w:pPr>
      <w:r>
        <w:rPr/>
        <w:t>În opinia parchetului, în momentul de faţă, argumentaţia dezvoltată în încheierea atacată este una actuală, instanţa având în vedere toate reperele care reglementează şu guvernează măsura preventivă, durata, proporţionalitatea, natura infracţiunii şi stadiul cauzei.</w:t>
      </w:r>
    </w:p>
    <w:p>
      <w:pPr>
        <w:pStyle w:val="Normal"/>
        <w:ind w:firstLine="1134"/>
        <w:jc w:val="both"/>
        <w:rPr>
          <w:b/>
        </w:rPr>
      </w:pPr>
      <w:r>
        <w:rPr/>
        <w:t>Circumstanţele concrete menţionate în actul de sesizare în care s-ar fi comis faptele, faţă de care există indiciile şi suspiciunile rezonabile, în toate aceste condiţii consideră că încheierea este una legală şi pentru fiecare dintre ei îşi păstrează caracterul de legitimitate şi proporţionalitate.</w:t>
      </w:r>
    </w:p>
    <w:p>
      <w:pPr>
        <w:pStyle w:val="Normal"/>
        <w:ind w:firstLine="1134"/>
        <w:jc w:val="both"/>
        <w:rPr>
          <w:b/>
        </w:rPr>
      </w:pPr>
      <w:r>
        <w:rPr/>
        <w:t>Cu privire la starea de sănătate, legea stabileşte un cadru procesual şi există măsuri adecvate prevăzute de legiuitor atât prin administraţiile locului de deţinere care au componentă de infrastructură medicală, iar în măsura în care această infrastructură este depăşită de situaţia medicală, există posibilitatea de tratament sub pază în instituţii civile. Aceste chestiuni medicale trebuie stabilite cu certitudine, prin expertize medicale, legea stabilind exact condiţiile în care o astfel de dovadă trebuie făcută.</w:t>
      </w:r>
    </w:p>
    <w:p>
      <w:pPr>
        <w:pStyle w:val="Normal"/>
        <w:ind w:firstLine="1134"/>
        <w:jc w:val="both"/>
        <w:rPr>
          <w:b/>
        </w:rPr>
      </w:pPr>
      <w:r>
        <w:rPr/>
        <w:t>Dat fiind datele existente, apreciază încheierea atacată ca fiind legală.</w:t>
      </w:r>
    </w:p>
    <w:p>
      <w:pPr>
        <w:pStyle w:val="Normal"/>
        <w:ind w:firstLine="1134"/>
        <w:jc w:val="both"/>
        <w:rPr>
          <w:b/>
        </w:rPr>
      </w:pPr>
      <w:r>
        <w:rPr>
          <w:b/>
        </w:rPr>
        <w:t xml:space="preserve">Inculpatul R1, având ultimul cuvânt, </w:t>
      </w:r>
      <w:r>
        <w:rPr/>
        <w:t>precizează că suferă de mai multe boli, parkinson, artroză şi altele, considerând că, la acest moment, nu poate fi un pericol public. Mai arată că are unde să stea, respectiv la  soacra sa, A1, şi solicită să i se schimbe măsura arestului preventiv cu măsura arestului la domiciliu.</w:t>
      </w:r>
    </w:p>
    <w:p>
      <w:pPr>
        <w:pStyle w:val="Normal"/>
        <w:ind w:firstLine="1134"/>
        <w:jc w:val="both"/>
        <w:rPr>
          <w:b/>
        </w:rPr>
      </w:pPr>
      <w:r>
        <w:rPr>
          <w:b/>
        </w:rPr>
        <w:t xml:space="preserve">Inculpatul R2, având ultimul cuvânt, </w:t>
      </w:r>
      <w:r>
        <w:rPr/>
        <w:t>precizează că este de acord cu cele expuse de domnul avocat.</w:t>
      </w:r>
    </w:p>
    <w:p>
      <w:pPr>
        <w:pStyle w:val="Normal"/>
        <w:ind w:firstLine="1134"/>
        <w:jc w:val="both"/>
        <w:rPr>
          <w:b/>
        </w:rPr>
      </w:pPr>
      <w:r>
        <w:rPr>
          <w:i/>
        </w:rPr>
        <w:t>Judecătorul de cameră preliminară constată închise dezbaterile şi rămâne în deliberare şi pronunţare.</w:t>
      </w:r>
    </w:p>
    <w:p>
      <w:pPr>
        <w:pStyle w:val="Normal"/>
        <w:ind w:right="-1"/>
        <w:jc w:val="both"/>
        <w:rPr/>
      </w:pPr>
      <w:r>
        <w:rPr/>
      </w:r>
    </w:p>
    <w:p>
      <w:pPr>
        <w:pStyle w:val="Normal"/>
        <w:ind w:right="-1"/>
        <w:jc w:val="both"/>
        <w:rPr/>
      </w:pPr>
      <w:r>
        <w:rPr/>
      </w:r>
    </w:p>
    <w:p>
      <w:pPr>
        <w:pStyle w:val="Normal"/>
        <w:ind w:right="-1"/>
        <w:jc w:val="both"/>
        <w:rPr/>
      </w:pPr>
      <w:r>
        <w:rPr/>
      </w:r>
    </w:p>
    <w:p>
      <w:pPr>
        <w:pStyle w:val="Normal"/>
        <w:jc w:val="center"/>
        <w:rPr>
          <w:b/>
        </w:rPr>
      </w:pPr>
      <w:r>
        <w:rPr>
          <w:b/>
        </w:rPr>
        <w:t>JUDECĂTORUL DE CAMERĂ PRELIMNARĂ DE LA CURTEA DE APEL ...</w:t>
      </w:r>
    </w:p>
    <w:p>
      <w:pPr>
        <w:pStyle w:val="Normal"/>
        <w:jc w:val="center"/>
        <w:rPr>
          <w:b/>
        </w:rPr>
      </w:pPr>
      <w:r>
        <w:rPr>
          <w:b/>
        </w:rPr>
      </w:r>
    </w:p>
    <w:p>
      <w:pPr>
        <w:pStyle w:val="Normal"/>
        <w:ind w:firstLine="1134"/>
        <w:jc w:val="both"/>
        <w:rPr>
          <w:b/>
        </w:rPr>
      </w:pPr>
      <w:r>
        <w:rPr>
          <w:b/>
        </w:rPr>
        <w:t>Deliberând asupra contestaţilor de faţă, constată următoarele:</w:t>
      </w:r>
    </w:p>
    <w:p>
      <w:pPr>
        <w:pStyle w:val="Normal"/>
        <w:ind w:firstLine="1134"/>
        <w:jc w:val="both"/>
        <w:rPr>
          <w:b/>
        </w:rPr>
      </w:pPr>
      <w:r>
        <w:rPr>
          <w:b/>
        </w:rPr>
      </w:r>
    </w:p>
    <w:p>
      <w:pPr>
        <w:pStyle w:val="Normal"/>
        <w:ind w:firstLine="1134"/>
        <w:jc w:val="both"/>
        <w:rPr>
          <w:b/>
          <w:i/>
          <w:i/>
        </w:rPr>
      </w:pPr>
      <w:r>
        <w:rPr>
          <w:b/>
          <w:i/>
        </w:rPr>
        <w:t xml:space="preserve">Prin încheierea de şedinţă din data de ... pronunţată de Tribunalul ... în dosarul nr. </w:t>
      </w:r>
      <w:r>
        <w:rPr>
          <w:b/>
        </w:rPr>
        <w:t>D1/a1.6</w:t>
      </w:r>
      <w:r>
        <w:rPr>
          <w:b/>
          <w:i/>
        </w:rPr>
        <w:t>, s-au dispus următoarele:</w:t>
      </w:r>
    </w:p>
    <w:p>
      <w:pPr>
        <w:pStyle w:val="Normal"/>
        <w:spacing w:before="0" w:after="200" w:line="276" w:lineRule="auto"/>
        <w:ind w:firstLine="709"/>
        <w:contextualSpacing/>
        <w:jc w:val="both"/>
        <w:rPr/>
      </w:pPr>
      <w:r>
        <w:rPr>
          <w:b/>
          <w:i/>
        </w:rPr>
        <w:t>„</w:t>
      </w:r>
      <w:r>
        <w:rPr/>
        <w:t>În  baza art. 348 şi art. 207 alin. 6 Cod procedură penală  rap. la art. 202 alin. 4 lit. e şi art. 223 alin. 2 Cod procedură penală, constată legalitatea şi temeinicia măsurii arestării preventive a inculpaţilor:</w:t>
      </w:r>
    </w:p>
    <w:p>
      <w:pPr>
        <w:pStyle w:val="Normal"/>
        <w:spacing w:before="0" w:after="200" w:line="276" w:lineRule="auto"/>
        <w:ind w:firstLine="709"/>
        <w:contextualSpacing/>
        <w:jc w:val="both"/>
        <w:rPr/>
      </w:pPr>
      <w:r>
        <w:rPr>
          <w:b/>
        </w:rPr>
        <w:t>1.A2</w:t>
      </w:r>
      <w:r>
        <w:rPr/>
        <w:t>, fiul lui ...si..., născut la data de ... .., în oraş ... .., CNP ... .., domiciliat în  oraş ..str...nr .. jud... , în prezent aflat în Penitenciarul ... , trimis în judecată sub aspectul săvârşirii infracţiunii de tentativă de omor calificat , prev. de art.32 alin.1 Cod Penal rap. la art.188 alin.1- art.189 alin.1 lit. f Cod Penal,</w:t>
      </w:r>
    </w:p>
    <w:p>
      <w:pPr>
        <w:pStyle w:val="Normal"/>
        <w:spacing w:before="0" w:after="200" w:line="276" w:lineRule="auto"/>
        <w:ind w:firstLine="709"/>
        <w:contextualSpacing/>
        <w:jc w:val="both"/>
        <w:rPr/>
      </w:pPr>
      <w:r>
        <w:rPr>
          <w:b/>
        </w:rPr>
        <w:t>2.R1</w:t>
      </w:r>
      <w:r>
        <w:rPr/>
        <w:t>, fiul lui ...si..., născut la data de ......, în  oraş ......, jud. ..., CNP ......, domiciliat în  oraş ......, str. ..., jud. ..., în prezent aflat în Penitenciarul .....,  trimis în judecată sub aspectul săvârşirii infracţiunii de omor,  prev. de art.188 alin.1 Cod Penal, cu aplicarea art.77,  lit. a  Cod Penal,</w:t>
      </w:r>
    </w:p>
    <w:p>
      <w:pPr>
        <w:pStyle w:val="Normal"/>
        <w:spacing w:before="0" w:after="200" w:line="276" w:lineRule="auto"/>
        <w:ind w:firstLine="709"/>
        <w:contextualSpacing/>
        <w:jc w:val="both"/>
        <w:rPr/>
      </w:pPr>
      <w:r>
        <w:rPr>
          <w:b/>
        </w:rPr>
        <w:t>3.A3</w:t>
      </w:r>
      <w:r>
        <w:rPr/>
        <w:t>, născut la data de ..., în mun. ..., CNP ..., fiul lui ...si..., domiciliat în or. ......, str. ..nr..., jud..., în prezent aflat în Penitenciarul .....,  trimis în judecată sub aspectul săvârşirii infracţiunii de omor,  prev. de art.188 alin.1 Cod Penal, cu aplicarea art.77,  lit. a  Cod Penal, şi</w:t>
      </w:r>
    </w:p>
    <w:p>
      <w:pPr>
        <w:pStyle w:val="Normal"/>
        <w:spacing w:before="0" w:after="200" w:line="276" w:lineRule="auto"/>
        <w:ind w:firstLine="709"/>
        <w:contextualSpacing/>
        <w:jc w:val="both"/>
        <w:rPr/>
      </w:pPr>
      <w:r>
        <w:rPr/>
        <w:t xml:space="preserve"> </w:t>
      </w:r>
      <w:r>
        <w:rPr>
          <w:b/>
        </w:rPr>
        <w:t>4.R2</w:t>
      </w:r>
      <w:r>
        <w:rPr/>
        <w:t>, născut la data de ..., în mun. .., CNP ..., fiul lui   ...si..., domiciliat în  sat ....., com. ....., jud. ... fără forme legale în or. ......, str. ..nr..., jud..., în prezent aflat în Penitenciarul ....., trimis în judecată sub aspectul săvârşirii infracţiunii de omor,  prev. de art.188 alin.1 Cod Penal, cu aplicarea art.77,  lit. a  Cod Penal.</w:t>
      </w:r>
    </w:p>
    <w:p>
      <w:pPr>
        <w:pStyle w:val="Normal"/>
        <w:spacing w:before="0" w:after="200" w:line="276" w:lineRule="auto"/>
        <w:ind w:firstLine="709"/>
        <w:contextualSpacing/>
        <w:jc w:val="both"/>
        <w:rPr/>
      </w:pPr>
      <w:r>
        <w:rPr/>
        <w:t>În baza art. 207 alin. 4 Cod procedură penală   rap. la art. 202 alin. 4 lit. e  şi art. 223 alin. 2 Cod procedură penală  menţine măsura arestării preventive faţă de inculpaţii A2, R1, A3 şi R2.</w:t>
      </w:r>
    </w:p>
    <w:p>
      <w:pPr>
        <w:pStyle w:val="Normal"/>
        <w:spacing w:before="0" w:after="200" w:line="276" w:lineRule="auto"/>
        <w:ind w:firstLine="709"/>
        <w:contextualSpacing/>
        <w:jc w:val="both"/>
        <w:rPr/>
      </w:pPr>
      <w:r>
        <w:rPr/>
        <w:t>Copie de pe prezenta se va comunica administraţiei locului de deţinere a inculpaţilor.</w:t>
      </w:r>
    </w:p>
    <w:p>
      <w:pPr>
        <w:pStyle w:val="Normal"/>
        <w:spacing w:before="0" w:after="200" w:line="276" w:lineRule="auto"/>
        <w:ind w:firstLine="709"/>
        <w:contextualSpacing/>
        <w:jc w:val="both"/>
        <w:rPr/>
      </w:pPr>
      <w:r>
        <w:rPr/>
        <w:t>Cu drept de contestaţie în termen de 48 de ore de la comunicare.</w:t>
      </w:r>
    </w:p>
    <w:p>
      <w:pPr>
        <w:pStyle w:val="Normal"/>
        <w:spacing w:before="0" w:after="200" w:line="276" w:lineRule="auto"/>
        <w:ind w:firstLine="709"/>
        <w:contextualSpacing/>
        <w:jc w:val="both"/>
        <w:rPr>
          <w:b/>
          <w:i/>
          <w:i/>
        </w:rPr>
      </w:pPr>
      <w:r>
        <w:rPr/>
        <w:t>Soluţionată şi pronunţată în Camera de Consiliu, astăzi, IP1.</w:t>
      </w:r>
      <w:r>
        <w:rPr>
          <w:b/>
          <w:i/>
        </w:rPr>
        <w:t>”</w:t>
      </w:r>
    </w:p>
    <w:p>
      <w:pPr>
        <w:pStyle w:val="Normal"/>
        <w:spacing w:before="0" w:after="200" w:line="276" w:lineRule="auto"/>
        <w:ind w:firstLine="709"/>
        <w:contextualSpacing/>
        <w:jc w:val="both"/>
        <w:rPr>
          <w:b/>
          <w:i/>
          <w:i/>
        </w:rPr>
      </w:pPr>
      <w:r>
        <w:rPr>
          <w:b/>
          <w:i/>
        </w:rPr>
      </w:r>
    </w:p>
    <w:p>
      <w:pPr>
        <w:pStyle w:val="Normal"/>
        <w:ind w:firstLine="709"/>
        <w:jc w:val="both"/>
        <w:rPr>
          <w:i/>
          <w:i/>
        </w:rPr>
      </w:pPr>
      <w:r>
        <w:rPr>
          <w:i/>
        </w:rPr>
        <w:t>Pentru a pronunţa această încheiere, prima instanţă a reţinut:</w:t>
      </w:r>
    </w:p>
    <w:p>
      <w:pPr>
        <w:pStyle w:val="Normal"/>
        <w:ind w:firstLine="708"/>
        <w:jc w:val="both"/>
        <w:rPr>
          <w:b/>
        </w:rPr>
      </w:pPr>
      <w:r>
        <w:rPr>
          <w:i/>
        </w:rPr>
        <w:t>„</w:t>
      </w:r>
      <w:r>
        <w:rPr>
          <w:b/>
        </w:rPr>
        <w:t>Prin rechizitoriul Parchetului de pe lângă Tribunalul ...., nr.D2 emis la ..., înregistrat pe rolul Tribunalului .. la data de 28.07.2017  sub nr. D1, au fost trimişi în judecată în stare de arest preventiv, inculpaţii:</w:t>
      </w:r>
    </w:p>
    <w:p>
      <w:pPr>
        <w:pStyle w:val="Normal"/>
        <w:ind w:firstLine="708"/>
        <w:jc w:val="both"/>
        <w:rPr/>
      </w:pPr>
      <w:r>
        <w:rPr/>
        <w:t xml:space="preserve"> </w:t>
      </w:r>
      <w:r>
        <w:rPr/>
        <w:t>1.</w:t>
      </w:r>
      <w:r>
        <w:rPr>
          <w:b/>
        </w:rPr>
        <w:t>A2</w:t>
      </w:r>
      <w:r>
        <w:rPr/>
        <w:t>, fiul lui ...si..., născut la data de ... .., în oraş ... .., CNP ... .., domiciliat în  oraş ..str...nr .. jud... , în prezent aflat în Penitenciarul ....., sub aspectul săvârşirii infracţiunii de tentativă de omor calificat , prev. de art.32 alin.1 Cod Penal rap. la art.188 alin.1- art.189 alin.1 lit. f Cod Penal,</w:t>
      </w:r>
    </w:p>
    <w:p>
      <w:pPr>
        <w:pStyle w:val="Normal"/>
        <w:ind w:firstLine="708"/>
        <w:jc w:val="both"/>
        <w:rPr/>
      </w:pPr>
      <w:r>
        <w:rPr/>
        <w:t>2.</w:t>
      </w:r>
      <w:r>
        <w:rPr>
          <w:b/>
        </w:rPr>
        <w:t>R1</w:t>
      </w:r>
      <w:r>
        <w:rPr/>
        <w:t>, fiul lui ...si..., născut la data de ......, în  oraş ......, jud..., CNP ......, domiciliat în  oraş ......, str. ..nr..., jud..., în prezent aflat în Penitenciarul .....,  sub aspectul săvârşirii infracţiunii de omor,  prev. de art.188 alin.1 Cod Penal, cu aplicarea art.77,  lit.a  Cod Penal,</w:t>
      </w:r>
    </w:p>
    <w:p>
      <w:pPr>
        <w:pStyle w:val="Normal"/>
        <w:ind w:firstLine="708"/>
        <w:jc w:val="both"/>
        <w:rPr/>
      </w:pPr>
      <w:r>
        <w:rPr/>
        <w:t>3.</w:t>
      </w:r>
      <w:r>
        <w:rPr>
          <w:b/>
        </w:rPr>
        <w:t>A3</w:t>
      </w:r>
      <w:r>
        <w:rPr/>
        <w:t>, născut la data de ..., în mun. ..., CNP ..., fiul lui ...si..., domiciliat în oraş ......, str. ..nr..., jud..., în prezent aflat în Penitenciarul .....,  sub aspectul săvârşirii infracţiunii de omor,  prev. de art.188 alin.1 Cod Penal, cu aplicarea art.77,  lit. a  Cod Penal, şi</w:t>
      </w:r>
    </w:p>
    <w:p>
      <w:pPr>
        <w:pStyle w:val="Normal"/>
        <w:ind w:firstLine="708"/>
        <w:jc w:val="both"/>
        <w:rPr/>
      </w:pPr>
      <w:r>
        <w:rPr/>
        <w:t xml:space="preserve"> </w:t>
      </w:r>
      <w:r>
        <w:rPr/>
        <w:t>4.</w:t>
      </w:r>
      <w:r>
        <w:rPr>
          <w:b/>
        </w:rPr>
        <w:t>R2</w:t>
      </w:r>
      <w:r>
        <w:rPr/>
        <w:t>, născut la data de ..., în mun. ..., CNP ..., fiul lui   ...si..., domiciliat în  sat ....., com. ....., jud. ..., fără forme legale în oraş ......, str. ..nr..., jud..., în prezent aflat în Penitenciarul ....., sub aspectul săvârşirii infracţiunii de omor,  prev. de art.188 alin.1 Cod Penal, cu aplicarea art.77,  lit. a  Cod Penal.</w:t>
      </w:r>
    </w:p>
    <w:p>
      <w:pPr>
        <w:pStyle w:val="Normal"/>
        <w:ind w:firstLine="708"/>
        <w:jc w:val="both"/>
        <w:rPr/>
      </w:pPr>
      <w:r>
        <w:rPr/>
        <w:t>În sarcina inculpaţilor, s-a reținut în esenţă următoarele:</w:t>
      </w:r>
    </w:p>
    <w:p>
      <w:pPr>
        <w:pStyle w:val="Normal"/>
        <w:ind w:firstLine="708"/>
        <w:jc w:val="both"/>
        <w:rPr>
          <w:color w:val="000000" w:themeColor="dark1"/>
        </w:rPr>
      </w:pPr>
      <w:r>
        <w:rPr/>
        <w:t xml:space="preserve">În legătură cu inculpatul A2, s-a reţinut că în data de 02.04.2017, în jurul orelor 20.30, a intrat cu autoturismul marca ... cu nr. provizoriu de înmatriculare ..., cu intenție, în grupul de şapte persoane format din </w:t>
      </w:r>
      <w:r>
        <w:rPr>
          <w:color w:val="000000" w:themeColor="dark1"/>
        </w:rPr>
        <w:t>B1 zis B1, B2 zis B2, B3, B4, B5, B6 zis B6 şi B7, care se aflau pe strada ... din oraşul ......, jud...., provocând vătămarea corporală a persoanelor vătămate B1 zis B1 şi B2 zis B2, după care a coborât din autoturism și a lovit cu o bâtă de baseball persoana vătămată B1 zis B1 la nivelul capului, întrunește elementele constitutive ale tentativei la infracțiunea de omor calificat prevăzută de art.32 alin.1 C.p. raportat la art.188 alin.1- art.189 alin.1 lit.f  C.p.  (toate cele şapte persoane din grupul vizat de inculpat având calitate de persoane vătămate).</w:t>
      </w:r>
    </w:p>
    <w:p>
      <w:pPr>
        <w:pStyle w:val="Normal"/>
        <w:ind w:firstLine="708"/>
        <w:jc w:val="both"/>
        <w:rPr/>
      </w:pPr>
      <w:r>
        <w:rPr/>
        <w:t>De asemenea, s-a reţinut că, pe fondul unei stări conflictuale preexistente, inculpatul A2 a accelerat vehiculul și a intrat în grupul format din cele şapte persoane vătămate aflat pe strada ....</w:t>
      </w:r>
    </w:p>
    <w:p>
      <w:pPr>
        <w:pStyle w:val="Normal"/>
        <w:ind w:firstLine="708"/>
        <w:jc w:val="both"/>
        <w:rPr/>
      </w:pPr>
      <w:r>
        <w:rPr/>
        <w:t>Inculpatul A2 a condus autoturismul dinspre strada ..., iar la intersecția cu strada ..., la vederea persoanelor vătămate, a virat dreapta, deși putea alege să vireze stânga (cum, de altfel, i-au cerut inculpatul A3 și suspectul A4), a accelerat și a intrat cu intenție în grupul de şapte persoane.</w:t>
      </w:r>
    </w:p>
    <w:p>
      <w:pPr>
        <w:pStyle w:val="Normal"/>
        <w:ind w:firstLine="708"/>
        <w:jc w:val="both"/>
        <w:rPr/>
      </w:pPr>
      <w:r>
        <w:rPr/>
        <w:t>Locul unde s-a produs impactul autovehiculului condus de inculpat se află situat pe o stradă suficient de lată, care i-ar fi permis să se deplaseze pe lângă grupul de persoane mai sus menţionat. Drumul nu avea dificultăți în acea zonă. După impact, inculpatul a mai condus vehiculul câțiva metri, după care a oprit brusc. Ulterior, a coborât din autoturism și s-a apropiat de persoana vătămată B1 zis B1, care a fost luată pe capotă și parbriz și proiectată pe stradă, în fața vehiculului, căreia i-a mai aplicat o lovitură cu o bâtă de baseball la nivelul capului.</w:t>
      </w:r>
    </w:p>
    <w:p>
      <w:pPr>
        <w:pStyle w:val="Normal"/>
        <w:ind w:firstLine="708"/>
        <w:jc w:val="both"/>
        <w:rPr/>
      </w:pPr>
      <w:r>
        <w:rPr/>
        <w:t>Ori, împrejurarea că, înainte de a urca în autoturism,  inculpatul A2 s-a înarmat cu o bâtă, iar după impact a coborât din autoturism și a lovit persoana vătămată la nivelul capului cu o bâtă, întărește concluzia că inculpatul a acţionat cu intenţie directă în momentul în care a accelerat şi a intrat cu vehiculul în grupul de persoane aflat pe stradă, întrucât a prevăzut şi a acceptat posibilitatea producerii rezultatului letal şi chiar l-a urmărit cu privire la toate cele şapte persoane vătămate care alcătuiau grupul în care a intrat cu vehiculul, deşi au fost lovite efectiv doar două persoane.</w:t>
      </w:r>
    </w:p>
    <w:p>
      <w:pPr>
        <w:pStyle w:val="Normal"/>
        <w:ind w:firstLine="708"/>
        <w:jc w:val="both"/>
        <w:rPr/>
      </w:pPr>
      <w:r>
        <w:rPr/>
        <w:t>În legătură cu  faptele imputate  inculpaților  R1, A3 și R2, s-a reţinut ca în data de 02.04.2017, în intervalul 20.00 - 21.00, pe strada ... din oraşul ......, jud... şi în gangul dintre două imobile (aparţinând numiţilor K1 şi K2) de pe aceeaşi stradă, au agresat-o fizic pe victima B4, respectiv inculpatul R1 a tăiat-o cu o seceră, inculpatul R2 a lovit-o cu o bâta şi inculpatul A3 a tăiat-o/înjunghiat-o cu un cuţit, leziunile cauzate victimei conducând la decesul acesteia, constituie infracţiunea de omor  prevăzută de  art.188 alin.1 C.p. cu aplicarea art.77 alin.1 lit.a C.p.</w:t>
      </w:r>
    </w:p>
    <w:p>
      <w:pPr>
        <w:pStyle w:val="Normal"/>
        <w:ind w:firstLine="708"/>
        <w:jc w:val="both"/>
        <w:rPr/>
      </w:pPr>
      <w:r>
        <w:rPr/>
        <w:t>Întrucât la presupusa comitere a infracţiunii de omor prevăzută de art.188 alin.1 C.p. asupra victimei B4 au participat trei inculpaţi, fiecăruia dintre aceştia i s-a  reţinut şi circumstanţa agravantă legală prevăzută de art.77 lit.a C.p.</w:t>
      </w:r>
    </w:p>
    <w:p>
      <w:pPr>
        <w:pStyle w:val="Normal"/>
        <w:ind w:firstLine="708"/>
        <w:jc w:val="both"/>
        <w:rPr/>
      </w:pPr>
      <w:r>
        <w:rPr/>
        <w:t>Sub aspectul laturii subiective,  din modalitatea concretă de comitere a faptei, din actele efective de executare comise de către inculpaţii R1, A3 și R2, a rezultat atitudinea subiectivă a acestora de a produce rezultatul letal, în condiţiile în care au urmărit victima, i-au aplicat mai multe lovituri, iar la aplicarea loviturilor au folosit obiecte vulnerante (seceră, cuţit, par), care aveau aptitudinea de a provoca moartea, loviturile fiind aplicate vizând mai multe zone ale corpului, unele dintre acestea vitale, acţiunile violente ale inculpaţilor fiind concomitente şi conjugate.</w:t>
      </w:r>
    </w:p>
    <w:p>
      <w:pPr>
        <w:pStyle w:val="Normal"/>
        <w:jc w:val="both"/>
        <w:rPr/>
      </w:pPr>
      <w:r>
        <w:rPr/>
        <w:t xml:space="preserve">            </w:t>
      </w:r>
      <w:r>
        <w:rPr/>
        <w:t>Inculpatul R2 a lovit victima B4 de câteva ori cu o bâtă, inculpatul A3 a tăiat-o/înjunghiat-o de câteva ori cu un cuţit, iar inculpatul R1 a tăiat-o şi el de câteva ori cu o seceră, cei trei inculpaţi  acţionând concomitent/succesiv, cu aceeaşi intenţie de a ucide, completându-se unul pe altul şi, finalmente, cauzându-i victimei decesul.</w:t>
      </w:r>
    </w:p>
    <w:p>
      <w:pPr>
        <w:pStyle w:val="Normal"/>
        <w:ind w:firstLine="708"/>
        <w:jc w:val="both"/>
        <w:rPr/>
      </w:pPr>
      <w:r>
        <w:rPr/>
        <w:t xml:space="preserve">La aplicarea loviturilor inculpaţii R2, A3 şi R1 au folosit obiecte vulnerante, primul o bâtă, cel de al doilea un cuţit, iar cel de al treilea o seceră, care aveau aptitudinea de a provoca moartea, loviturile fiind aplicate cu intensitate, victima suferind leziuni incompatibile cu viaţa. </w:t>
      </w:r>
    </w:p>
    <w:p>
      <w:pPr>
        <w:pStyle w:val="Normal"/>
        <w:jc w:val="both"/>
        <w:rPr/>
      </w:pPr>
      <w:r>
        <w:rPr/>
        <w:tab/>
        <w:t>Toate aceste aspecte dau în vileag intenţia inculpaţilor de a ucide victima, rezultat care s-a produs.</w:t>
      </w:r>
    </w:p>
    <w:p>
      <w:pPr>
        <w:pStyle w:val="Normal"/>
        <w:jc w:val="both"/>
        <w:rPr/>
      </w:pPr>
      <w:r>
        <w:rPr/>
        <w:tab/>
        <w:t>Pentru acuzaţiile menţionate, prin încheierea nr.IP2 s-a dispus arestarea preventiva a inculpatului R2, prin încheierea penală din 03.04.2017 s-a luat măsura arestării preventive faţă de inculpaţii R1 şi A2,  iar prin încheierea nr.IP3 s-a dispus arestarea preventivă a inculpatului A3, măsurile fiind prelungite in privinţa celor patru  inculpaţi, în mod succesiv.</w:t>
      </w:r>
    </w:p>
    <w:p>
      <w:pPr>
        <w:pStyle w:val="Normal"/>
        <w:ind w:firstLine="708"/>
        <w:jc w:val="both"/>
        <w:rPr/>
      </w:pPr>
      <w:r>
        <w:rPr/>
        <w:t>Prezenţi în fața judecătorului de cameră preliminară, inculpaţii  au solicitat verbal, prin apărătorii lor, să nu mai fie menţinută măsura arestării preventive şi instanţa să se orienteze din oficiu asupra unei măsuri preventive mai uşoare, precum cea a arestului la domiciliu.</w:t>
      </w:r>
    </w:p>
    <w:p>
      <w:pPr>
        <w:pStyle w:val="Normal"/>
        <w:jc w:val="both"/>
        <w:rPr/>
      </w:pPr>
      <w:r>
        <w:rPr/>
      </w:r>
    </w:p>
    <w:p>
      <w:pPr>
        <w:pStyle w:val="Normal"/>
        <w:ind w:firstLine="708"/>
        <w:jc w:val="both"/>
        <w:rPr/>
      </w:pPr>
      <w:r>
        <w:rPr/>
        <w:t>În temeiul dispoziţiilor art. 202 Cod procedură penală masurile preventive pot fi dispuse şi, după caz, menţinute, dacă există probe sau indicii temeinice din care să rezulte presupunerea rezonabilă că o persoană a săvârşit o infracţiune şi dacă sunt necesare în scopul asigurării bunei desfăşurări a procesului penal, al împiedicării sustragerii suspectului ori a inculpatului de la urmărirea penală sau de la judecată ori al prevenirii săvârşirii de noi infracţiuni. În plus, potrivit alin. 3 al art. 202 C.pr.pen. “orice măsură preventivă trebuie să fie proporţională cu gravitatea acuzaţiei aduse persoanei faţă de care este luată şi necesară pentru realizarea scopului urmărit prin dispunerea acesteia”.</w:t>
      </w:r>
    </w:p>
    <w:p>
      <w:pPr>
        <w:pStyle w:val="Normal"/>
        <w:ind w:firstLine="708"/>
        <w:jc w:val="both"/>
        <w:rPr/>
      </w:pPr>
      <w:r>
        <w:rPr/>
        <w:t>În baza art. 223 alin. 2 Cod procedură penală, măsura arestării preventive a inculpatului poate fi luată şi dacă a săvârşit „o infracţiune intenţionată contra vieţii, o infracţiune prin care s-a cauzat vătămarea corporală sau moartea unei persoane…sau o altă infracţiune pentru care legea prevede pedeapsa închisorii de 5 ani sau mai mare si pe baza evaluării gravităţii faptei, a modului şi circumstanţelor de comitere a acesteia, a anturajului si a mediului din care acesta provine, a antecedentelor penale si a altor împrejurări privitoare la persoana acestuia, se constată că privarea sa de libertate este necesară pentru înlăturarea unei stări de pericol pentru ordinea publică.”Din analiza coroborată a acestor dispoziţii legale reiese că la momentul verificării legalităţii şi temeiniciei măsurii arestării preventive, judecătorul are obligaţia de a verifica în ce măsură dispoziţiile legale privind măsura arestării preventive rămân incidente în cauză, în raport de situaţia concretă.</w:t>
      </w:r>
    </w:p>
    <w:p>
      <w:pPr>
        <w:pStyle w:val="Normal"/>
        <w:ind w:firstLine="708"/>
        <w:jc w:val="both"/>
        <w:rPr/>
      </w:pPr>
      <w:r>
        <w:rPr/>
        <w:t>Conform dispoziţiilor art. 348 Cod de procedură penală, judecătorul de cameră preliminară se pronunţă, la cerere sau din oficiu, cu privire la luarea, menţinerea, înlocuirea, revocarea sau încetarea de drept a măsurilor preventive, iar în cauzele în care faţă de inculpat s-a dispus o măsură preventivă, judecătorul de cameră preliminară verifică legalitatea şi temeinicia măsurii preventive, procedând potrivit dispoziţiilor art. 207 din noul Cod de procedură penală.</w:t>
      </w:r>
    </w:p>
    <w:p>
      <w:pPr>
        <w:pStyle w:val="Normal"/>
        <w:ind w:firstLine="708"/>
        <w:jc w:val="both"/>
        <w:rPr/>
      </w:pPr>
      <w:r>
        <w:rPr/>
        <w:t>Potrivit acestor din urmă dispoziţii, când judecătorul de cameră preliminară constată că temeiurile care au determinat luarea măsurii se menţin sau există temeiuri noi care justifică o măsură preventivă, judecătorul de cameră preliminară dispune prin încheiere menţinerea măsurii preventive faţă de inculpat.</w:t>
      </w:r>
    </w:p>
    <w:p>
      <w:pPr>
        <w:pStyle w:val="Normal"/>
        <w:ind w:firstLine="708"/>
        <w:jc w:val="both"/>
        <w:rPr>
          <w:b/>
          <w:i/>
          <w:i/>
        </w:rPr>
      </w:pPr>
      <w:r>
        <w:rPr>
          <w:b/>
          <w:i/>
        </w:rPr>
        <w:t>Examinând din oficiu legalitatea şi temeinicia măsurii arestării preventive a inculpaţilor A2, R1, A3 şi R2,  în conformitate cu dispoziţiile art. 207 raportat la art. 348 Cod de procedură penală, judecătorul de camera preliminară constată şi la acest moment că temeiurile care au stat la baza luării şi apoi a prelungirii şi menţinerii măsurii arestării preventive a celor patru inculpaţi nu au încetat şi nici nu s-au schimbat, încât să impună revocarea sau înlocuirea acestei măsuri.</w:t>
      </w:r>
    </w:p>
    <w:p>
      <w:pPr>
        <w:pStyle w:val="Normal"/>
        <w:ind w:firstLine="708"/>
        <w:jc w:val="both"/>
        <w:rPr/>
      </w:pPr>
      <w:r>
        <w:rPr/>
        <w:t>O primă chestiune ce se impune a fi atinsă este aceea că, de la ultima verificare a legalităţii şi temeiniciei măsurii arestării preventive a inculpaţilor, în cauză nu au intervenit elemente noi apte a dilua indiciile temeinice avute în vedere la luarea şi ulterior menţinerea măsurii arestării preventive a inculpaților, astfel încât considerentele încheierilor anterioare de verificare a legalităţii şi temeiniciei măsurii îşi menţin pe deplin valabilitatea.</w:t>
      </w:r>
    </w:p>
    <w:p>
      <w:pPr>
        <w:pStyle w:val="Normal"/>
        <w:ind w:firstLine="708"/>
        <w:jc w:val="both"/>
        <w:rPr/>
      </w:pPr>
      <w:r>
        <w:rPr/>
        <w:t>Analiza coroborată a mijloacelor de probă administrate în cauză până la acest moment procesual, detaliat expuse în actul de sesizare,  conduce neîndoielnic la concluzia că este susţinută bănuiala rezonabilă că inculpaţii  ar fi săvârşit faptele grave pentru care  s-a dispus arestarea lor preventivă şi pentru care au fost trimişi în judecată, subzistând aşadar baza factuală reţinută iniţial la momentul luării măsurii arestării preventive.</w:t>
      </w:r>
    </w:p>
    <w:p>
      <w:pPr>
        <w:pStyle w:val="Normal"/>
        <w:ind w:firstLine="708"/>
        <w:jc w:val="both"/>
        <w:rPr/>
      </w:pPr>
      <w:r>
        <w:rPr/>
        <w:t>Nici una dintre probele analizate în încheierile anterioare nu au suferit modificări până la acest moment al procedurii, cauza aflându-se în faza de cameră preliminară.</w:t>
      </w:r>
    </w:p>
    <w:p>
      <w:pPr>
        <w:pStyle w:val="Normal"/>
        <w:ind w:firstLine="708"/>
        <w:jc w:val="both"/>
        <w:rPr/>
      </w:pPr>
      <w:r>
        <w:rPr/>
        <w:t xml:space="preserve">Raportat la situaţia de fapt reţinută în actul de sesizare şi, apreciază judecătorul de cameră că inculpaţii prezintă, în continuare, un pericol concret pentru ordinea publică, prin raportare la modalitatea şi împrejurările concrete în care s-ar fi comis fapta, respectiv pe fondul unui conflict mai vechi, prin lovirea victimei intenţionată a victimei cu un autoturism, act de agresiune urmat de lovirea directă în mod repetat, cu intensitate deosebită, în loc public. </w:t>
      </w:r>
    </w:p>
    <w:p>
      <w:pPr>
        <w:pStyle w:val="Normal"/>
        <w:jc w:val="both"/>
        <w:rPr/>
      </w:pPr>
      <w:r>
        <w:rPr/>
        <w:tab/>
        <w:t>Analizând proporţionalitatea măsurii cu gravitatea faptei presupus a fi comise de către inculpat instanţa apreciază că valoarea socială căreia i s-a adus atingere – dreptul la viaţă a victimei impune arestarea preventivă a inculpaţilor ca singura măsură preventivă proporţională cu gravitatea faptei.</w:t>
      </w:r>
    </w:p>
    <w:p>
      <w:pPr>
        <w:pStyle w:val="Normal"/>
        <w:jc w:val="both"/>
        <w:rPr/>
      </w:pPr>
      <w:r>
        <w:rPr/>
        <w:tab/>
        <w:t xml:space="preserve">În ceea ce privește durata măsurii, se constată că inculpaţii au fost arestaţi preventiv începând cu luna aprilie 2017  şi că până la momentul de faţă au trecut aproximativ 6 luni, perioada de timp pe care judecătorul de cameră preliminară o apreciază ca fiind rezonabilă, raportat la complexitatea cauzei, natura și gravitatea acuzaţiilor formulate împotriva inculpaţilor, gravitatea pedepsei prevăzute de lege pentru infracţiunile de care inculpaţii  sunt acuzaţi, criterii stabilite pe cale jurisprudenţială de art. 5 din CEDO,  stadiul procesului penal nefiind astfel de natură să genereze o modificare a temeiului pentru care a fost dispusă măsura arestării preventive. </w:t>
      </w:r>
    </w:p>
    <w:p>
      <w:pPr>
        <w:pStyle w:val="Normal"/>
        <w:ind w:firstLine="708"/>
        <w:jc w:val="both"/>
        <w:rPr/>
      </w:pPr>
      <w:r>
        <w:rPr/>
        <w:t>Astfel, criteriile precum gravitatea faptei  şi conduita de ansamblu a inculpaţilor nu-şi pierd calitatea de repere obiective care să fundamenteze previziunea asupra atitudinii viitoare a inculpatului, doar prin simpla trecere a unei perioade de timp de la momentul presupusei comiteri a faptelor.</w:t>
      </w:r>
    </w:p>
    <w:p>
      <w:pPr>
        <w:pStyle w:val="Normal"/>
        <w:ind w:firstLine="708"/>
        <w:jc w:val="both"/>
        <w:rPr/>
      </w:pPr>
      <w:r>
        <w:rPr/>
        <w:t>Judecătorul de cameră preliminară apreciază că simpla trecere a timpului nu este de natură să diminueze percepţia asupra gravităţii faptelor imputate inculpaţilor A2, R1, A3 şi R2, având în vedere că din materialul probator există indicii cu privire la săvârşirea unor infracţiuni deosebit de grave, respectiv infracţiunea de omor şi tentativă de omor,  ceea ce impune cu necesitate menţinerea celei mai severe dintre măsurile preventive.</w:t>
      </w:r>
    </w:p>
    <w:p>
      <w:pPr>
        <w:pStyle w:val="Normal"/>
        <w:jc w:val="both"/>
        <w:rPr/>
      </w:pPr>
      <w:r>
        <w:rPr/>
        <w:tab/>
        <w:t>Judecătorul apreciază că o altă măsură preventivă nu este proporțională și eficientă pentru  restabilirea climatului firesc de ordine și siguranță în cadrul comunității. Prin actul de sesizare se reţine în sarcina inculpaţilor o reacţie extrem de agresivă ce  demonstrează tocmai starea de pericol pentru ordinea publică a inculpaților în măsura în care aceștia s-ar afla sub imperiul unei alte măsuri preventive decât cea a arestului preventiv în condițiile în care nicio altă măsură preventivă, mai ușoară, nu poate împiedica revenirea inculpaţilor în comunitatea de provenienţă şi împiedicarea oricărui contact, direct sau indirect cu membrii comunităţii.</w:t>
      </w:r>
    </w:p>
    <w:p>
      <w:pPr>
        <w:pStyle w:val="Normal"/>
        <w:jc w:val="both"/>
        <w:rPr/>
      </w:pPr>
      <w:r>
        <w:rPr/>
        <w:tab/>
        <w:t xml:space="preserve">Inculpaţii, atât prin apărători cu ocazia concluziilor formulate cât şi personal în ultimul cuvânt, au solicitat înlocuirea măsurii arestării preventive cu măsura arestului la domiciliu, invocând aspecte personale sau care ţin de starea de sănătate. </w:t>
      </w:r>
    </w:p>
    <w:p>
      <w:pPr>
        <w:pStyle w:val="Normal"/>
        <w:jc w:val="both"/>
        <w:rPr/>
      </w:pPr>
      <w:r>
        <w:rPr/>
        <w:tab/>
        <w:t>Judecătorul apreciază că aspectele invocate nu pot conduce la o concluzie diferită în sensul înlocuirii măsurii. Aspectele invocate erau de actualitate şi la momentul presupusei infracţiuni şi, cel puţin aparent, nu au influenţat în mod pozitiv conduita inculpaţilor.</w:t>
      </w:r>
    </w:p>
    <w:p>
      <w:pPr>
        <w:pStyle w:val="Normal"/>
        <w:jc w:val="both"/>
        <w:rPr/>
      </w:pPr>
      <w:r>
        <w:rPr/>
        <w:tab/>
        <w:t xml:space="preserve"> În concluzie, în baza 348 Cod procedură penală rap. la art. 207 C.p.p. instanţa va constata legalitatea şi temeinicia măsurii arestării preventive luată fată de inculpaţi şi va menţine această măsură.</w:t>
      </w:r>
    </w:p>
    <w:p>
      <w:pPr>
        <w:pStyle w:val="Normal"/>
        <w:ind w:firstLine="709"/>
        <w:jc w:val="both"/>
        <w:rPr>
          <w:i/>
          <w:i/>
        </w:rPr>
      </w:pPr>
      <w:r>
        <w:rPr/>
        <w:t>Legalitatea şi temeinicia măsurii arestării preventive va fi verificată periodic pe parcursul procedurii de cameră preliminară, dar nu mai târziu de 30 zile, conform dispoziţiilor art. 207 C.p.p.</w:t>
      </w:r>
      <w:r>
        <w:rPr>
          <w:i/>
        </w:rPr>
        <w:t>”</w:t>
      </w:r>
    </w:p>
    <w:p>
      <w:pPr>
        <w:pStyle w:val="Normal"/>
        <w:ind w:firstLine="1134"/>
        <w:jc w:val="both"/>
        <w:rPr>
          <w:b/>
        </w:rPr>
      </w:pPr>
      <w:r>
        <w:rPr>
          <w:b/>
        </w:rPr>
      </w:r>
    </w:p>
    <w:p>
      <w:pPr>
        <w:pStyle w:val="Normal"/>
        <w:ind w:firstLine="1134"/>
        <w:jc w:val="both"/>
        <w:rPr>
          <w:b/>
        </w:rPr>
      </w:pPr>
      <w:r>
        <w:rPr>
          <w:b/>
        </w:rPr>
      </w:r>
    </w:p>
    <w:p>
      <w:pPr>
        <w:pStyle w:val="Normal"/>
        <w:ind w:firstLine="1134"/>
        <w:jc w:val="both"/>
        <w:rPr/>
      </w:pPr>
      <w:r>
        <w:rPr>
          <w:b/>
        </w:rPr>
        <w:t xml:space="preserve">Împotriva Încheierii penale redate mai sus, au formulat contestaţie, în termen legal, inculpaţii R2 şi R1, </w:t>
      </w:r>
      <w:r>
        <w:rPr/>
        <w:t xml:space="preserve">pentru motivele susţinute oral şi consemnate în prezenta încheiere. </w:t>
      </w:r>
    </w:p>
    <w:p>
      <w:pPr>
        <w:pStyle w:val="Normal"/>
        <w:ind w:firstLine="1134"/>
        <w:jc w:val="both"/>
        <w:rPr/>
      </w:pPr>
      <w:r>
        <w:rPr/>
      </w:r>
    </w:p>
    <w:p>
      <w:pPr>
        <w:pStyle w:val="Normal"/>
        <w:ind w:firstLine="1134"/>
        <w:jc w:val="both"/>
        <w:rPr>
          <w:b/>
        </w:rPr>
      </w:pPr>
      <w:r>
        <w:rPr>
          <w:b/>
        </w:rPr>
      </w:r>
    </w:p>
    <w:p>
      <w:pPr>
        <w:pStyle w:val="Normal"/>
        <w:ind w:firstLine="1134"/>
        <w:jc w:val="both"/>
        <w:rPr>
          <w:b/>
        </w:rPr>
      </w:pPr>
      <w:r>
        <w:rPr>
          <w:b/>
        </w:rPr>
        <w:t xml:space="preserve">Examinând actele şi lucrările dosarului, atât prin prisma motivelor de contestație invocate de inculpaţi, precum şi din oficiu, judecătorul de cameră preliminară de la Curtea de Apel .... constată că </w:t>
      </w:r>
      <w:r>
        <w:rPr>
          <w:b/>
          <w:i/>
        </w:rPr>
        <w:t xml:space="preserve">sunt nefondate </w:t>
      </w:r>
      <w:r>
        <w:rPr>
          <w:b/>
        </w:rPr>
        <w:t>contestaţiile, pentru considerentele ce vor fi arătate în continuare.</w:t>
      </w:r>
    </w:p>
    <w:p>
      <w:pPr>
        <w:pStyle w:val="Normal"/>
        <w:ind w:right="-203" w:firstLine="708"/>
        <w:jc w:val="both"/>
        <w:rPr/>
      </w:pPr>
      <w:r>
        <w:rPr/>
      </w:r>
    </w:p>
    <w:p>
      <w:pPr>
        <w:pStyle w:val="Normal"/>
        <w:ind w:right="-203" w:firstLine="708"/>
        <w:jc w:val="both"/>
        <w:rPr/>
      </w:pPr>
      <w:r>
        <w:rPr/>
      </w:r>
    </w:p>
    <w:p>
      <w:pPr>
        <w:pStyle w:val="Normal"/>
        <w:ind w:firstLine="1134"/>
        <w:jc w:val="both"/>
        <w:rPr/>
      </w:pPr>
      <w:r>
        <w:rPr>
          <w:b/>
        </w:rPr>
        <w:t>În primul rând</w:t>
      </w:r>
      <w:r>
        <w:rPr/>
        <w:t xml:space="preserve">, în mod corect, judecătorul de cameră preliminară de la instanţa de fond a reţinut că, din probatoriul administrat până în prezent, nu reiese o diminuare a probelor și indiciilor temeinice existente la momentul luării, prelungirii și menținerii măsurii arestării preventive a inculpaţilor </w:t>
      </w:r>
      <w:r>
        <w:rPr>
          <w:b/>
        </w:rPr>
        <w:t xml:space="preserve">R2 şi R1, </w:t>
      </w:r>
      <w:r>
        <w:rPr/>
        <w:t>din care să</w:t>
      </w:r>
      <w:r>
        <w:rPr>
          <w:b/>
        </w:rPr>
        <w:t xml:space="preserve"> </w:t>
      </w:r>
      <w:r>
        <w:rPr/>
        <w:t>reiasă suspiciunea rezonabilă că ar fi săvârșit faptele pentru care au fost cercetați de către organele de urmărire penală și, ulterior, au fost trimişi în judecată.</w:t>
      </w:r>
    </w:p>
    <w:p>
      <w:pPr>
        <w:pStyle w:val="Normal"/>
        <w:ind w:firstLine="1134"/>
        <w:jc w:val="both"/>
        <w:rPr/>
      </w:pPr>
      <w:r>
        <w:rPr/>
        <w:t xml:space="preserve">Legiuitorul nu a condiționat luarea, prelungirea şi menținerea măsurii arestării preventive de administrarea unui anumit probatoriu. </w:t>
      </w:r>
    </w:p>
    <w:p>
      <w:pPr>
        <w:pStyle w:val="Normal"/>
        <w:ind w:firstLine="1134"/>
        <w:jc w:val="both"/>
        <w:rPr/>
      </w:pPr>
      <w:r>
        <w:rPr/>
        <w:t xml:space="preserve">În cauză, există </w:t>
      </w:r>
      <w:r>
        <w:rPr>
          <w:b/>
        </w:rPr>
        <w:t>probe</w:t>
      </w:r>
      <w:r>
        <w:rPr/>
        <w:t xml:space="preserve"> din care rezultă suspiciunea rezonabilă că inculpaţii </w:t>
      </w:r>
      <w:r>
        <w:rPr>
          <w:b/>
        </w:rPr>
        <w:t xml:space="preserve">R2 şi R1 </w:t>
      </w:r>
      <w:r>
        <w:rPr/>
        <w:t xml:space="preserve">ar fi săvârșit infracțiunea de </w:t>
      </w:r>
      <w:r>
        <w:rPr>
          <w:b/>
        </w:rPr>
        <w:t>omor</w:t>
      </w:r>
      <w:r>
        <w:rPr/>
        <w:t xml:space="preserve"> prevăzută de </w:t>
      </w:r>
      <w:r>
        <w:rPr>
          <w:b/>
        </w:rPr>
        <w:t>art. 188 alin. 1 Cod penal</w:t>
      </w:r>
      <w:r>
        <w:rPr/>
        <w:t xml:space="preserve">, cu aplicarea </w:t>
      </w:r>
      <w:r>
        <w:rPr>
          <w:b/>
        </w:rPr>
        <w:t>art. 77 lit. a) Cod penal</w:t>
      </w:r>
      <w:r>
        <w:rPr/>
        <w:t xml:space="preserve">, constând în aceea că </w:t>
      </w:r>
      <w:r>
        <w:rPr>
          <w:i/>
        </w:rPr>
        <w:t xml:space="preserve">împreună cu inculpatul A3, în data de 02.04.2017, în intervalul 20.00 – 21.00, pe strada ... din orașul ......, judeţul ... şi în gangul dintre două imobile (aparținând numiților K1 şi K2) de pe aceeaşi stradă ar fi agresat-o fizic pe victima B4, respectiv inculpatul R1 ar fi tăiat-o cu o seceră, inculpatul R2 ar fi lovit-o cu bâta şi inculpatul A3 ar fi tăiat-o/înjunghiat-o cu un cuţit, leziunile cauzate victimei conducând la decesul acesteia.  </w:t>
      </w:r>
      <w:r>
        <w:rPr/>
        <w:t xml:space="preserve"> </w:t>
      </w:r>
    </w:p>
    <w:p>
      <w:pPr>
        <w:pStyle w:val="Normal"/>
        <w:ind w:firstLine="1134"/>
        <w:jc w:val="both"/>
        <w:rPr/>
      </w:pPr>
      <w:r>
        <w:rPr/>
      </w:r>
    </w:p>
    <w:p>
      <w:pPr>
        <w:pStyle w:val="Normal"/>
        <w:ind w:firstLine="1134"/>
        <w:jc w:val="both"/>
        <w:rPr/>
      </w:pPr>
      <w:r>
        <w:rPr/>
        <w:t xml:space="preserve">Judecătorul de cameră preliminară de la instanța de control judiciar arată că recunoașterea prezumţiei de nevinovăţie nu exclude luarea, prelungirea și menținerea măsurii arestării preventive, ci garantează că aceasta nu va fi luată, prelungită și menținută decât în cadrul şi în condiţiile riguros prevăzute de normele constituţionale şi de dispoziţiile procedurii penale. </w:t>
      </w:r>
    </w:p>
    <w:p>
      <w:pPr>
        <w:pStyle w:val="Normal"/>
        <w:ind w:firstLine="1134"/>
        <w:jc w:val="both"/>
        <w:rPr/>
      </w:pPr>
      <w:r>
        <w:rPr/>
        <w:t>Concilierea dintre existenţa şi aplicarea măsurilor preventive privative de libertate şi recunoaşterea şi prezenţa perpetuă a prezumţiei de nevinovăţie pe tot parcursul procesului penal se realizează prin observarea dinamicii acesteia din urmă, a modului în care, dintr-o noţiune abstractă cu valoare de garanţie a drepturilor fundamentale ale individului, aceasta capătă substanţă pe măsura derulării procesului penal.</w:t>
      </w:r>
    </w:p>
    <w:p>
      <w:pPr>
        <w:pStyle w:val="Normal"/>
        <w:ind w:firstLine="1134"/>
        <w:jc w:val="both"/>
        <w:rPr/>
      </w:pPr>
      <w:r>
        <w:rPr/>
        <w:t>În cursul procesului penal, forţa prezumţiei de nevinovăţie scade sau creşte, în funcţie de probatoriul efectuat, ajungând, în final, la stadiul de certitudine a nevinovăţiei sau, dimpotrivă, la negarea sa completă, iar art. 5 lit. c) din Convenţia europeană a drepturilor omului condiţionează legalitatea privării de libertate de existenţa unor motive verosimile, temeinice că s-a săvârşit sau că se va săvârși o infracţiune sau autorul va fugi după săvârşirea unei infracţiuni.</w:t>
      </w:r>
    </w:p>
    <w:p>
      <w:pPr>
        <w:pStyle w:val="Normal"/>
        <w:ind w:firstLine="1134"/>
        <w:jc w:val="both"/>
        <w:rPr/>
      </w:pPr>
      <w:r>
        <w:rPr/>
        <w:t>Stabilirea vinovăţiei inculpaților urmează a se face numai în urma efectuării cercetării judecătoreşti de către instanţa investită cu judecarea fondului cauzei, probaţiunea administrată până la acest moment punând, însă, în evidenţă existenţa unor probe în înţelesul art. 202 Cod de procedură penală, care justifică menținerea măsurii arestării preventive faţă de inculpații</w:t>
      </w:r>
      <w:r>
        <w:rPr>
          <w:b/>
        </w:rPr>
        <w:t xml:space="preserve"> R1 şi R2.</w:t>
      </w:r>
    </w:p>
    <w:p>
      <w:pPr>
        <w:pStyle w:val="Normal"/>
        <w:rPr/>
      </w:pPr>
      <w:r>
        <w:rPr/>
      </w:r>
    </w:p>
    <w:p>
      <w:pPr>
        <w:pStyle w:val="Normal"/>
        <w:ind w:firstLine="993"/>
        <w:jc w:val="both"/>
        <w:rPr>
          <w:b/>
        </w:rPr>
      </w:pPr>
      <w:r>
        <w:rPr>
          <w:b/>
        </w:rPr>
        <w:t>De asemenea,</w:t>
      </w:r>
      <w:r>
        <w:rPr/>
        <w:t xml:space="preserve"> judecătorul de cameră preliminară de la instanța de control judiciar are în vedere că lăsarea în libertate a inculpaților prezintă, în continuare, pericol concret pentru ordinea publică, buna administrare a justiției intrând în noţiunea de ordine publică.</w:t>
      </w:r>
    </w:p>
    <w:p>
      <w:pPr>
        <w:pStyle w:val="Normal"/>
        <w:ind w:firstLine="993"/>
        <w:jc w:val="both"/>
        <w:rPr/>
      </w:pPr>
      <w:r>
        <w:rPr/>
        <w:t xml:space="preserve">Relativ la pericolul pentru ordinea publică la care face referire textul, se impune a se arăta că acesta are un sens mai larg decât pericolul faptei comise şi presupune o rezonanță a acestei fapte în rândul colectivităţii, de natură a naşte temerea că împotriva unor astfel de persoane periculoase, organele judiciare nu reacționează eficient. </w:t>
      </w:r>
    </w:p>
    <w:p>
      <w:pPr>
        <w:pStyle w:val="Normal"/>
        <w:ind w:firstLine="993"/>
        <w:jc w:val="both"/>
        <w:rPr/>
      </w:pPr>
      <w:r>
        <w:rPr/>
        <w:t xml:space="preserve">Sentimentul de insecuritate din rândul colectivităţii poate proveni din împrejurarea că o persoană care ar fi comis o infracţiune de o gravitate ieșită din comun este cercetată în stare de libertate, circumstanțe ce ar putea încuraja şi alte persoane să comită infracţiuni, ceea ce nu este de dorit. </w:t>
      </w:r>
    </w:p>
    <w:p>
      <w:pPr>
        <w:pStyle w:val="Normal"/>
        <w:ind w:firstLine="993"/>
        <w:jc w:val="both"/>
        <w:rPr/>
      </w:pPr>
      <w:r>
        <w:rPr/>
      </w:r>
    </w:p>
    <w:p>
      <w:pPr>
        <w:pStyle w:val="Normal"/>
        <w:ind w:firstLine="993"/>
        <w:jc w:val="both"/>
        <w:rPr/>
      </w:pPr>
      <w:r>
        <w:rPr/>
        <w:t xml:space="preserve">În pofida susţinerilor că pericolul pentru ordinea publică ar trebui întotdeauna probat prin administrarea unor anume dovezi, judecătorul de cameră preliminară de la Curtea de Apel ... arată că acest pericol poate fi dedus din împrejurările în care s-ar fi comis fapta, natura, gravitatea acesteia şi elementele care caracterizează persoana inculpatului. </w:t>
      </w:r>
    </w:p>
    <w:p>
      <w:pPr>
        <w:pStyle w:val="Normal"/>
        <w:ind w:firstLine="993"/>
        <w:jc w:val="both"/>
        <w:rPr/>
      </w:pPr>
      <w:r>
        <w:rPr/>
        <w:t>Existenţa pericolului pentru ordinea publică poate rezulta aşadar, între altele, şi din însuşi pericolul social al infracţiunilor de care este învinuit inculpatul, de reacţia publică la comiterea unor astfel de infracţiuni, de posibilitatea comiterii, chiar, a unor fapte asemănătoare de către alte persoane, în lipsa unei reacţii corespunzătoare faţă de cei bănuiţi ca autori ai unor astfel de fapte.</w:t>
      </w:r>
    </w:p>
    <w:p>
      <w:pPr>
        <w:pStyle w:val="Normal"/>
        <w:ind w:firstLine="993"/>
        <w:jc w:val="both"/>
        <w:rPr/>
      </w:pPr>
      <w:r>
        <w:rPr/>
        <w:t>Este de remarcat că orice faptă contrară normelor de conduită, care constituie substanța ilicitului abstract determinat de normele juridice, tulbură atât ordinea de drept, cât şi mediul social. Această tulburare, coroborată cu riscul repetabilităţii, unor atari atitudini neconforme, de încălcare a legii penale, creează o stare de insecuritate pentru raporturile sociale şi, concomitent, un sentiment firesc de dezaprobare din partea colectivităţii.</w:t>
      </w:r>
    </w:p>
    <w:p>
      <w:pPr>
        <w:pStyle w:val="Normal"/>
        <w:ind w:firstLine="993"/>
        <w:jc w:val="both"/>
        <w:rPr/>
      </w:pPr>
      <w:r>
        <w:rPr/>
        <w:t>Prin urmare, la stabilirea pericolului public nu se pot avea în vedere numai date legate de persoana inculpatului, ci şi date referitoare la fapte, nu de puţine ori acestea din urmă fiind de natură a crea în opinia publică un sentiment de insecuritate, credinţa că justiţia, cei care concură la înfăptuirea ei, nu acţionează îndeajuns împotriva infracționalității.</w:t>
      </w:r>
    </w:p>
    <w:p>
      <w:pPr>
        <w:pStyle w:val="Normal"/>
        <w:ind w:firstLine="993"/>
        <w:jc w:val="both"/>
        <w:rPr/>
      </w:pPr>
      <w:r>
        <w:rPr/>
      </w:r>
    </w:p>
    <w:p>
      <w:pPr>
        <w:pStyle w:val="Normal"/>
        <w:ind w:firstLine="993"/>
        <w:jc w:val="both"/>
        <w:rPr/>
      </w:pPr>
      <w:r>
        <w:rPr/>
        <w:t xml:space="preserve">Menținerea măsurii arestării preventive a </w:t>
      </w:r>
      <w:r>
        <w:rPr>
          <w:b/>
        </w:rPr>
        <w:t>inculpaților-contestatori</w:t>
      </w:r>
      <w:r>
        <w:rPr/>
        <w:t xml:space="preserve"> este necesară în vederea bunei desfăşurări a procesului penal, cauza aflându-se în procedura de cameră preliminară în primă instanță, măsura fiind totodată proporţională cu gravitatea faptelor imputate, privarea de libertate fiind necesară, în continuare, pentru înlăturarea pericolului concret pe care </w:t>
      </w:r>
      <w:r>
        <w:rPr>
          <w:b/>
        </w:rPr>
        <w:t>inculpații</w:t>
      </w:r>
      <w:r>
        <w:rPr/>
        <w:t xml:space="preserve"> îl prezintă pentru ordinea publică. </w:t>
      </w:r>
    </w:p>
    <w:p>
      <w:pPr>
        <w:pStyle w:val="Normal"/>
        <w:ind w:firstLine="993"/>
        <w:jc w:val="both"/>
        <w:rPr>
          <w:i/>
          <w:i/>
        </w:rPr>
      </w:pPr>
      <w:r>
        <w:rPr/>
        <w:t>Existenţa pericolului pentru ordinea publică rezultă din natura şi gravitatea infracţiunii de care este acuzat fiecare inculpat, circumstanţele faptelor imputate, astfel cum sunt indicate în actul de sesizare a instanței (</w:t>
      </w:r>
      <w:r>
        <w:rPr>
          <w:i/>
        </w:rPr>
        <w:t>mai multe persoane împreună; prin aplicarea unor multiple lovituri cu diferite obiecte contondente şi tăietor-înțepătoare; pe drum public, dar şi în gangul dintre două imobile</w:t>
      </w:r>
      <w:r>
        <w:rPr/>
        <w:t>), precum şi din afectarea gravă a ordinii publice, prin puternicul impact negativ al unor astfel de acţiuni asupra comunităţii, recrudescenţa faptelor de acest gen în societatea românească actuală.</w:t>
      </w:r>
    </w:p>
    <w:p>
      <w:pPr>
        <w:pStyle w:val="Normal"/>
        <w:ind w:firstLine="993"/>
        <w:jc w:val="both"/>
        <w:rPr/>
      </w:pPr>
      <w:r>
        <w:rPr/>
        <w:t xml:space="preserve">Instanţa este obligată să vegheze la un just echilibru între măsura privării de libertate, pe de o parte, şi interesul public de protecţie a cetăţenilor împotriva comiterii de infracţiuni grave, astfel cum este şi infracţiunea de omor, aspect reliefat şi prin limitele de pedeapsă. Prin comiterea unui astfel de gen de fapte, se aduce atingere uneia dintre cele mai importante valori ocrotite de lege şi anume viaţa persoanei. </w:t>
      </w:r>
    </w:p>
    <w:p>
      <w:pPr>
        <w:pStyle w:val="Normal"/>
        <w:ind w:firstLine="993"/>
        <w:jc w:val="both"/>
        <w:rPr/>
      </w:pPr>
      <w:r>
        <w:rPr/>
        <w:t>Pericolul se raportează şi la sentimentul de insecuritate şi revoltă în rândul societăţii civile având în vedere frecvența cu care sunt comise acest gen de fapte, iar asemenea fapte neurmate de o ripostă fermă a societăţii ar întreține climatul infracțional şi ar crea făptuitorilor impresia că pot persista în sfidarea legii, ar echivala cu încurajarea tacită a acestora şi a altora la săvârşirea unor fapte similare şi cu scăderea încrederii populaţiei în capacitatea de ripostă a justiţiei şi de protecţie a statului.</w:t>
      </w:r>
    </w:p>
    <w:p>
      <w:pPr>
        <w:pStyle w:val="Normal"/>
        <w:ind w:firstLine="993"/>
        <w:jc w:val="both"/>
        <w:rPr/>
      </w:pPr>
      <w:r>
        <w:rPr/>
      </w:r>
    </w:p>
    <w:p>
      <w:pPr>
        <w:pStyle w:val="Normal"/>
        <w:ind w:firstLine="993"/>
        <w:jc w:val="both"/>
        <w:rPr>
          <w:b/>
          <w:sz w:val="28"/>
        </w:rPr>
      </w:pPr>
      <w:r>
        <w:rPr/>
        <w:t>De asemenea, păstrarea măsurilor se impune în continuare pentru buna desfășurarea a procesului penal, chiar dacă urmărirea penală a fost finalizată în contextul în care nu s-a dispus începerea judecății, nu au fost audiați inculpații și nu au fost administrate probatorii în mod nemijlocit de instanță pentru a se ajunge la concluzia că inculpații nu pot influența cu nimic bunul mers sau persoanele ce urmează a fi audiate.</w:t>
      </w:r>
    </w:p>
    <w:p>
      <w:pPr>
        <w:pStyle w:val="Normal"/>
        <w:ind w:firstLine="993"/>
        <w:jc w:val="both"/>
        <w:rPr/>
      </w:pPr>
      <w:r>
        <w:rPr/>
        <w:t xml:space="preserve">Curtea Europeană a Drepturilor Omului a subliniat în jurisprudența sa că aprecierea limitelor rezonabile ale detenției trebuie să se facă urmând a se analiza circumstanţele fiecărui caz în parte. </w:t>
      </w:r>
    </w:p>
    <w:p>
      <w:pPr>
        <w:pStyle w:val="Normal"/>
        <w:ind w:firstLine="993"/>
        <w:jc w:val="both"/>
        <w:rPr/>
      </w:pPr>
      <w:r>
        <w:rPr/>
        <w:t xml:space="preserve">S-a subliniat că la aprecierea caracterului rezonabil al duratei detenției preventive vor fi avute în vedere: complexitatea cauzei, aspectul dacă inculpatul a prejudiciat în vreun fel eforturile magistraților de a lămuri toate aspectele de fapt, de a furniza atât apărării, cât şi acuzării mijloacele de probă şi explicaţiile pe care le consideră necesare. </w:t>
      </w:r>
    </w:p>
    <w:p>
      <w:pPr>
        <w:pStyle w:val="Normal"/>
        <w:ind w:firstLine="993"/>
        <w:jc w:val="both"/>
        <w:rPr/>
      </w:pPr>
      <w:r>
        <w:rPr/>
        <w:t>Or, în speţă nu s-a depăşit un termen rezonabil şi nici nu se poate vorbi de o diminuare a gradului de pericol social de natură a permite luarea faţă de inculpaţi a unei alte măsuri preventive.</w:t>
      </w:r>
    </w:p>
    <w:p>
      <w:pPr>
        <w:pStyle w:val="Normal"/>
        <w:ind w:firstLine="993"/>
        <w:jc w:val="both"/>
        <w:rPr/>
      </w:pPr>
      <w:r>
        <w:rPr/>
        <w:t>În perioada de timp parcursă de la momentul luării măsurii arestării preventive (</w:t>
      </w:r>
      <w:r>
        <w:rPr>
          <w:i/>
        </w:rPr>
        <w:t>aproximativ 6 luni</w:t>
      </w:r>
      <w:r>
        <w:rPr/>
        <w:t>), a fost efectuată și finalizată urmărirea penală, fiind necesară, totodată, și întocmirea de acte medico-legale, a fost declanșată procedura de cameră preliminară în fața instanței sesizate cu rechizitoriu.</w:t>
      </w:r>
    </w:p>
    <w:p>
      <w:pPr>
        <w:pStyle w:val="Normal"/>
        <w:ind w:firstLine="993"/>
        <w:jc w:val="both"/>
        <w:rPr>
          <w:b/>
          <w:sz w:val="28"/>
        </w:rPr>
      </w:pPr>
      <w:r>
        <w:rPr>
          <w:b/>
          <w:sz w:val="28"/>
        </w:rPr>
      </w:r>
    </w:p>
    <w:p>
      <w:pPr>
        <w:pStyle w:val="Normal"/>
        <w:ind w:firstLine="993"/>
        <w:jc w:val="both"/>
        <w:rPr>
          <w:b/>
        </w:rPr>
      </w:pPr>
      <w:r>
        <w:rPr>
          <w:b/>
        </w:rPr>
        <w:t>Luarea unei alte măsuri preventive decât cea a arestării preventive, cum au solicitat inculpații, apare ca nejustificată.</w:t>
      </w:r>
    </w:p>
    <w:p>
      <w:pPr>
        <w:pStyle w:val="Normal"/>
        <w:ind w:firstLine="993"/>
        <w:jc w:val="both"/>
        <w:rPr>
          <w:b/>
        </w:rPr>
      </w:pPr>
      <w:r>
        <w:rPr/>
        <w:t xml:space="preserve">Infracţiunile pentru care sunt cercetați sunt foarte grave, iar interesul public de înfăptuire a justiţiei şi asigurarea bunei desfăşurări a procesului penal primează faţă de regula cercetării unei persoane în stare de libertate, judecătorul de cameră preliminară de la instanța de control judiciar apreciind că scopul măsurilor preventive, prevăzut de art. 202 alin. 2 Cod procedură penală, interpretat în conformitate cu art. 5 paragraf I din Convenţia Europeană a Drepturilor Omului, impune necesitatea menținerii măsurii arestării preventive faţă de inculpații </w:t>
      </w:r>
      <w:r>
        <w:rPr>
          <w:b/>
        </w:rPr>
        <w:t>R2</w:t>
      </w:r>
      <w:r>
        <w:rPr/>
        <w:t xml:space="preserve"> și </w:t>
      </w:r>
      <w:r>
        <w:rPr>
          <w:b/>
        </w:rPr>
        <w:t xml:space="preserve">R1. </w:t>
      </w:r>
    </w:p>
    <w:p>
      <w:pPr>
        <w:pStyle w:val="Normal"/>
        <w:ind w:firstLine="993"/>
        <w:jc w:val="both"/>
        <w:rPr/>
      </w:pPr>
      <w:r>
        <w:rPr/>
        <w:t>Nu poate fi ignorat nici că înlocuirea măsurii arestării preventive cu măsura preventivă a arestului la domiciliu ar implica reîntoarcerea inculpaților în comunitatea din care provin, dar în care își desfășoară existența atât familia victimei/persoanelor vătămate, cât și marea majoritate a martorilor audiați în cauză, ceea ce ar duce nu doar la perturbarea ordinii publice, dar și la afectarea bunei desfășurări a procesului penal.</w:t>
      </w:r>
    </w:p>
    <w:p>
      <w:pPr>
        <w:pStyle w:val="Normal"/>
        <w:ind w:firstLine="993"/>
        <w:jc w:val="both"/>
        <w:rPr/>
      </w:pPr>
      <w:r>
        <w:rPr/>
        <w:t>Lipsa antecedentelor penale, atitudinea de cooperare cu organele judiciare, gradul de contribuţie la fapta imputată, situația familială urmează a fi avute în vedere în procesul de individualizare judiciară a pedepsei, în situaţia în care s-ar ajunge la pronunţarea unei hotărâri de condamnare împotriva inculpaților.</w:t>
      </w:r>
    </w:p>
    <w:p>
      <w:pPr>
        <w:pStyle w:val="Normal"/>
        <w:ind w:firstLine="993"/>
        <w:jc w:val="both"/>
        <w:rPr/>
      </w:pPr>
      <w:r>
        <w:rPr/>
        <w:t xml:space="preserve">Referitor la motivele medicale invocate de </w:t>
      </w:r>
      <w:r>
        <w:rPr>
          <w:b/>
        </w:rPr>
        <w:t>inculpatul R1</w:t>
      </w:r>
      <w:r>
        <w:rPr/>
        <w:t>, potrivit art. 240 alin. 1 Cod de procedură penală, în cazul în care, pe baza actelor medico-legale, se constată că cel arestat preventiv suferă de o boală care nu poate fi tratată în rețeaua medicală a Administrației Naționale a Penitenciarelor, administrația locului de deținere dispune efectuarea tratamentului sub pază permanentă în rețeaua medicală a Ministerului Sănătății.</w:t>
      </w:r>
    </w:p>
    <w:p>
      <w:pPr>
        <w:pStyle w:val="Normal"/>
        <w:ind w:firstLine="1134"/>
        <w:jc w:val="both"/>
        <w:rPr/>
      </w:pPr>
      <w:r>
        <w:rPr/>
      </w:r>
    </w:p>
    <w:p>
      <w:pPr>
        <w:pStyle w:val="Normal"/>
        <w:ind w:firstLine="1134"/>
        <w:jc w:val="both"/>
        <w:rPr/>
      </w:pPr>
      <w:r>
        <w:rPr/>
        <w:t xml:space="preserve">În cauza </w:t>
      </w:r>
      <w:r>
        <w:rPr>
          <w:i/>
        </w:rPr>
        <w:t>Erimescu împotriva României</w:t>
      </w:r>
      <w:r>
        <w:rPr/>
        <w:t xml:space="preserve">, Curtea E.D.O. a reținut că, chiar și în condițiile în care unele dintre deciziile care au menținut arestarea preventivă a reclamantului au repetat motivele deciziilor anterioare, aceste decizii au fost pronunțate într-un interval relativ scurt de timp, respectiv 6 luni. Prin urmare, </w:t>
      </w:r>
      <w:r>
        <w:rPr>
          <w:i/>
        </w:rPr>
        <w:t>nu poate fi considerat că motivarea inițială ar fi devenit lipsită de relevanță în această perioadă de timp</w:t>
      </w:r>
      <w:r>
        <w:rPr/>
        <w:t xml:space="preserve">. </w:t>
      </w:r>
    </w:p>
    <w:p>
      <w:pPr>
        <w:pStyle w:val="Normal"/>
        <w:spacing w:before="0" w:after="0"/>
        <w:ind w:firstLine="1134"/>
        <w:contextualSpacing/>
        <w:jc w:val="both"/>
        <w:rPr>
          <w:b/>
        </w:rPr>
      </w:pPr>
      <w:r>
        <w:rPr>
          <w:b/>
        </w:rPr>
      </w:r>
    </w:p>
    <w:p>
      <w:pPr>
        <w:pStyle w:val="Normal"/>
        <w:spacing w:before="0" w:after="0"/>
        <w:ind w:firstLine="1134"/>
        <w:contextualSpacing/>
        <w:jc w:val="both"/>
        <w:rPr>
          <w:b/>
        </w:rPr>
      </w:pPr>
      <w:r>
        <w:rPr>
          <w:b/>
        </w:rPr>
      </w:r>
    </w:p>
    <w:p>
      <w:pPr>
        <w:pStyle w:val="Normal"/>
        <w:spacing w:before="0" w:after="0"/>
        <w:ind w:firstLine="1134"/>
        <w:contextualSpacing/>
        <w:jc w:val="both"/>
        <w:rPr/>
      </w:pPr>
      <w:r>
        <w:rPr>
          <w:b/>
        </w:rPr>
        <w:t>Faţă de considerentele anterior expuse,</w:t>
      </w:r>
      <w:r>
        <w:rPr/>
        <w:t xml:space="preserve"> judecătorul de cameră preliminară de la Curtea de Apel ... va respinge, </w:t>
      </w:r>
      <w:r>
        <w:rPr>
          <w:i/>
        </w:rPr>
        <w:t>ca nefondate</w:t>
      </w:r>
      <w:r>
        <w:rPr/>
        <w:t xml:space="preserve">, </w:t>
      </w:r>
      <w:r>
        <w:rPr>
          <w:b/>
        </w:rPr>
        <w:t>contestaţiile</w:t>
      </w:r>
      <w:r>
        <w:rPr/>
        <w:t xml:space="preserve"> formulate de inculpaţii </w:t>
      </w:r>
      <w:r>
        <w:rPr>
          <w:b/>
        </w:rPr>
        <w:t>R1</w:t>
      </w:r>
      <w:r>
        <w:rPr/>
        <w:t xml:space="preserve"> şi </w:t>
      </w:r>
      <w:r>
        <w:rPr>
          <w:b/>
        </w:rPr>
        <w:t>R2</w:t>
      </w:r>
      <w:r>
        <w:rPr/>
        <w:t xml:space="preserve"> împotriva </w:t>
      </w:r>
      <w:r>
        <w:rPr>
          <w:b/>
        </w:rPr>
        <w:t>Încheierii judecătorului de cameră preliminară din cadrul Tribunalului ...</w:t>
      </w:r>
      <w:r>
        <w:rPr/>
        <w:t xml:space="preserve">, din data de </w:t>
      </w:r>
      <w:r>
        <w:rPr>
          <w:b/>
        </w:rPr>
        <w:t>IP1</w:t>
      </w:r>
      <w:r>
        <w:rPr/>
        <w:t xml:space="preserve">, pronunţată în dosarul nr. D1/a1.6,  </w:t>
      </w:r>
      <w:r>
        <w:rPr>
          <w:b/>
        </w:rPr>
        <w:t>încheiere pe care o va menţine</w:t>
      </w:r>
      <w:r>
        <w:rPr/>
        <w:t>.</w:t>
      </w:r>
    </w:p>
    <w:p>
      <w:pPr>
        <w:pStyle w:val="Normal"/>
        <w:spacing w:before="0" w:after="0"/>
        <w:ind w:firstLine="1134"/>
        <w:contextualSpacing/>
        <w:jc w:val="both"/>
        <w:rPr/>
      </w:pPr>
      <w:r>
        <w:rPr/>
      </w:r>
    </w:p>
    <w:p>
      <w:pPr>
        <w:pStyle w:val="Normal"/>
        <w:spacing w:before="0" w:after="0"/>
        <w:ind w:firstLine="1134"/>
        <w:contextualSpacing/>
        <w:jc w:val="both"/>
        <w:rPr/>
      </w:pPr>
      <w:r>
        <w:rPr>
          <w:i/>
        </w:rPr>
        <w:t>Constatând culpa procesuală a contestatorilor, faţă de soluţia de respingere a căilor de atac,</w:t>
      </w:r>
      <w:r>
        <w:rPr/>
        <w:t xml:space="preserve"> în temeiul art. 275 alin. 2 şi 4 Cod de procedură penală, va obliga pe contestatori să plătească, fiecare, suma de câte 100 lei, reprezentând cheltuieli judiciare către stat. </w:t>
      </w:r>
    </w:p>
    <w:p>
      <w:pPr>
        <w:pStyle w:val="Normal"/>
        <w:spacing w:before="0" w:after="0"/>
        <w:ind w:firstLine="1134"/>
        <w:contextualSpacing/>
        <w:jc w:val="both"/>
        <w:rPr/>
      </w:pPr>
      <w:r>
        <w:rPr/>
        <w:t xml:space="preserve">În baza art. 275 alin. 6 Cod procedură penală, onorariul cuvenit apărătorilor desemnaţi din oficiu, în cuantum de câte 130 lei (delegaţii nr. ....5/24.10.2017, ...6/24.10.2017) va rămâne în sarcina statului şi se va achita din fondurile Ministerului de Justiţie către Baroul ....                 </w:t>
      </w:r>
    </w:p>
    <w:p>
      <w:pPr>
        <w:pStyle w:val="Normal"/>
        <w:jc w:val="center"/>
        <w:rPr>
          <w:b/>
        </w:rPr>
      </w:pPr>
      <w:r>
        <w:rPr>
          <w:b/>
        </w:rPr>
      </w:r>
    </w:p>
    <w:p>
      <w:pPr>
        <w:pStyle w:val="Normal"/>
        <w:rPr/>
      </w:pPr>
      <w:r>
        <w:rPr/>
      </w:r>
    </w:p>
    <w:p>
      <w:pPr>
        <w:pStyle w:val="Normal"/>
        <w:jc w:val="center"/>
        <w:rPr>
          <w:b/>
          <w:sz w:val="26"/>
        </w:rPr>
      </w:pPr>
      <w:r>
        <w:rPr>
          <w:b/>
          <w:sz w:val="26"/>
        </w:rPr>
        <w:t>PENTRU ACESTE MOTIVE,</w:t>
        <w:br/>
        <w:t>ÎN NUMELE LEGII</w:t>
      </w:r>
    </w:p>
    <w:p>
      <w:pPr>
        <w:pStyle w:val="Normal"/>
        <w:jc w:val="center"/>
        <w:rPr>
          <w:b/>
          <w:sz w:val="26"/>
        </w:rPr>
      </w:pPr>
      <w:r>
        <w:rPr>
          <w:b/>
          <w:sz w:val="26"/>
        </w:rPr>
        <w:t>DISPUNE:</w:t>
      </w:r>
    </w:p>
    <w:p>
      <w:pPr>
        <w:pStyle w:val="Normal"/>
        <w:jc w:val="center"/>
        <w:rPr/>
      </w:pPr>
      <w:r>
        <w:rPr/>
      </w:r>
    </w:p>
    <w:p>
      <w:pPr>
        <w:pStyle w:val="Normal"/>
        <w:spacing w:before="0" w:after="0"/>
        <w:contextualSpacing/>
        <w:jc w:val="both"/>
        <w:rPr/>
      </w:pPr>
      <w:r>
        <w:rPr/>
      </w:r>
    </w:p>
    <w:p>
      <w:pPr>
        <w:pStyle w:val="Normal"/>
        <w:spacing w:before="0" w:after="0"/>
        <w:ind w:firstLine="1134"/>
        <w:contextualSpacing/>
        <w:jc w:val="both"/>
        <w:rPr/>
      </w:pPr>
      <w:r>
        <w:rPr/>
        <w:t xml:space="preserve">Respinge, ca nefondate, contestaţiile formulate de inculpaţii </w:t>
      </w:r>
      <w:r>
        <w:rPr>
          <w:b/>
        </w:rPr>
        <w:t>R1</w:t>
      </w:r>
      <w:r>
        <w:rPr/>
        <w:t xml:space="preserve">, fiul lui   ...si..., născut la data de ......, în oraş ... .., jud..., CNP ......, domiciliat în oraş ......, str. ..nr..., jud..., şi </w:t>
      </w:r>
      <w:r>
        <w:rPr>
          <w:b/>
        </w:rPr>
        <w:t>R2</w:t>
      </w:r>
      <w:r>
        <w:rPr/>
        <w:t xml:space="preserve">, fiul lui ...si..., născut la data de ..., în mun. ..., CNP ..., domiciliat în sat .....,  com. ....., jud. ..., fără forme legale în oraşul ......, str. ... nr. , jud..., ambii aflaţi în prezent în Penitenciarul ....., împotriva încheierii judecătorului de cameră preliminară din cadrul Tribunalului ..., din data de IP1, pronunţată în dosarul nr. D1/a1.6,  </w:t>
      </w:r>
      <w:r>
        <w:rPr>
          <w:b/>
        </w:rPr>
        <w:t>încheiere pe care o menţine</w:t>
      </w:r>
      <w:r>
        <w:rPr/>
        <w:t>.</w:t>
      </w:r>
    </w:p>
    <w:p>
      <w:pPr>
        <w:pStyle w:val="Normal"/>
        <w:spacing w:before="0" w:after="0"/>
        <w:ind w:firstLine="1134"/>
        <w:contextualSpacing/>
        <w:jc w:val="both"/>
        <w:rPr/>
      </w:pPr>
      <w:r>
        <w:rPr/>
        <w:t xml:space="preserve">În temeiul art. 275 alin. 2 şi 4 Cod procedură penală obligă pe contestatori să plătească fiecare suma de câte 100 lei, reprezentând cheltuieli judiciare către stat. </w:t>
      </w:r>
    </w:p>
    <w:p>
      <w:pPr>
        <w:pStyle w:val="Normal"/>
        <w:spacing w:before="0" w:after="0"/>
        <w:ind w:firstLine="1134"/>
        <w:contextualSpacing/>
        <w:jc w:val="both"/>
        <w:rPr/>
      </w:pPr>
      <w:r>
        <w:rPr/>
        <w:t xml:space="preserve">În baza art. 275 alin. 6 Cod procedură penală, onorariul cuvenit apărătorilor desemnaţi din oficiu, în cuantum de câte 130 lei (delegaţii nr....5/24.10.2017, ...6/24.10.2017) va rămâne în sarcina statului şi se va achita din fondurile Ministerului de Justiţie către Baroul ...                 </w:t>
      </w:r>
    </w:p>
    <w:p>
      <w:pPr>
        <w:pStyle w:val="Normal"/>
        <w:spacing w:before="0" w:after="0"/>
        <w:ind w:firstLine="1134"/>
        <w:contextualSpacing/>
        <w:jc w:val="both"/>
        <w:rPr>
          <w:b/>
        </w:rPr>
      </w:pPr>
      <w:r>
        <w:rPr>
          <w:b/>
        </w:rPr>
      </w:r>
    </w:p>
    <w:p>
      <w:pPr>
        <w:pStyle w:val="Normal"/>
        <w:spacing w:before="0" w:after="0"/>
        <w:ind w:firstLine="1134"/>
        <w:contextualSpacing/>
        <w:jc w:val="both"/>
        <w:rPr>
          <w:b/>
        </w:rPr>
      </w:pPr>
      <w:r>
        <w:rPr>
          <w:b/>
        </w:rPr>
        <w:t>Definitivă.</w:t>
      </w:r>
    </w:p>
    <w:p>
      <w:pPr>
        <w:pStyle w:val="Normal"/>
        <w:spacing w:before="0" w:after="0"/>
        <w:ind w:firstLine="1134"/>
        <w:contextualSpacing/>
        <w:jc w:val="both"/>
        <w:rPr/>
      </w:pPr>
      <w:r>
        <w:rPr/>
        <w:t>Pronunţată în camera de consiliu, azi, ....</w:t>
      </w:r>
    </w:p>
    <w:p>
      <w:pPr>
        <w:pStyle w:val="Normal"/>
        <w:jc w:val="both"/>
        <w:rPr/>
      </w:pPr>
      <w:r>
        <w:rPr/>
      </w:r>
    </w:p>
    <w:p>
      <w:pPr>
        <w:pStyle w:val="Normal"/>
        <w:jc w:val="both"/>
        <w:rPr/>
      </w:pPr>
      <w:r>
        <w:rPr/>
      </w:r>
    </w:p>
    <w:p>
      <w:pPr>
        <w:pStyle w:val="Normal"/>
        <w:rPr>
          <w:b/>
        </w:rPr>
      </w:pPr>
      <w:r>
        <w:rPr/>
        <w:t xml:space="preserve">       </w:t>
      </w:r>
      <w:r>
        <w:rPr>
          <w:b/>
        </w:rPr>
        <w:t>Judecător de cameră preliminară,</w:t>
      </w:r>
    </w:p>
    <w:p>
      <w:pPr>
        <w:pStyle w:val="Normal"/>
        <w:rPr>
          <w:b/>
        </w:rPr>
      </w:pPr>
      <w:r>
        <w:rPr>
          <w:b/>
        </w:rPr>
        <w:t xml:space="preserve">                  </w:t>
      </w:r>
      <w:r>
        <w:rPr>
          <w:b/>
        </w:rPr>
        <w:t>A0013</w:t>
      </w:r>
    </w:p>
    <w:p>
      <w:pPr>
        <w:pStyle w:val="Normal"/>
        <w:jc w:val="center"/>
        <w:rPr/>
      </w:pPr>
      <w:r>
        <w:rPr/>
      </w:r>
    </w:p>
    <w:p>
      <w:pPr>
        <w:pStyle w:val="Normal"/>
        <w:rPr/>
      </w:pPr>
      <w:r>
        <w:rPr/>
      </w:r>
    </w:p>
    <w:p>
      <w:pPr>
        <w:pStyle w:val="Normal"/>
        <w:jc w:val="center"/>
        <w:rPr>
          <w:b/>
        </w:rPr>
      </w:pPr>
      <w:r>
        <w:rPr>
          <w:b/>
        </w:rPr>
        <w:t xml:space="preserve">                                                             </w:t>
      </w:r>
      <w:r>
        <w:rPr>
          <w:b/>
        </w:rPr>
        <w:t>Grefier,</w:t>
      </w:r>
    </w:p>
    <w:p>
      <w:pPr>
        <w:pStyle w:val="Normal"/>
        <w:jc w:val="center"/>
        <w:rPr>
          <w:b/>
        </w:rPr>
      </w:pPr>
      <w:r>
        <w:rPr>
          <w:b/>
        </w:rPr>
        <w:t>...</w:t>
      </w:r>
    </w:p>
    <w:p>
      <w:pPr>
        <w:pStyle w:val="Normal"/>
        <w:jc w:val="center"/>
        <w:rPr/>
      </w:pPr>
      <w:r>
        <w:rPr/>
      </w:r>
    </w:p>
    <w:p>
      <w:pPr>
        <w:pStyle w:val="Normal"/>
        <w:rPr>
          <w:i/>
          <w:i/>
          <w:sz w:val="18"/>
        </w:rPr>
      </w:pPr>
      <w:r>
        <w:rPr>
          <w:i/>
          <w:sz w:val="18"/>
        </w:rPr>
        <w:t>Red. şi tehnored. A0013</w:t>
      </w:r>
    </w:p>
    <w:p>
      <w:pPr>
        <w:pStyle w:val="Normal"/>
        <w:rPr>
          <w:i/>
          <w:i/>
          <w:sz w:val="18"/>
        </w:rPr>
      </w:pPr>
      <w:r>
        <w:rPr>
          <w:i/>
          <w:sz w:val="18"/>
        </w:rPr>
        <w:t>2 ex./..</w:t>
      </w:r>
    </w:p>
    <w:p>
      <w:pPr>
        <w:pStyle w:val="Normal"/>
        <w:rPr>
          <w:i/>
          <w:i/>
          <w:sz w:val="18"/>
        </w:rPr>
      </w:pPr>
      <w:r>
        <w:rPr>
          <w:i/>
          <w:sz w:val="18"/>
        </w:rPr>
      </w:r>
    </w:p>
    <w:p>
      <w:pPr>
        <w:pStyle w:val="Normal"/>
        <w:rPr>
          <w:i/>
          <w:i/>
          <w:sz w:val="18"/>
        </w:rPr>
      </w:pPr>
      <w:r>
        <w:rPr>
          <w:i/>
          <w:sz w:val="18"/>
        </w:rPr>
        <w:t>Tribunalul ... – judecător de cameră preliminară ...</w:t>
      </w:r>
    </w:p>
    <w:p>
      <w:pPr>
        <w:pStyle w:val="Normal"/>
        <w:rPr>
          <w:i/>
          <w:i/>
          <w:sz w:val="18"/>
        </w:rPr>
      </w:pPr>
      <w:r>
        <w:rPr>
          <w:i/>
          <w:sz w:val="18"/>
        </w:rPr>
      </w:r>
    </w:p>
    <w:p>
      <w:pPr>
        <w:pStyle w:val="Normal"/>
        <w:rPr>
          <w:i/>
          <w:i/>
          <w:sz w:val="18"/>
        </w:rPr>
      </w:pPr>
      <w:r>
        <w:rPr>
          <w:i/>
          <w:sz w:val="18"/>
        </w:rPr>
        <w:t>E.4 com./</w:t>
      </w:r>
    </w:p>
    <w:p>
      <w:pPr>
        <w:pStyle w:val="Normal"/>
        <w:rPr>
          <w:i/>
          <w:i/>
          <w:sz w:val="18"/>
        </w:rPr>
      </w:pPr>
      <w:r>
        <w:rPr>
          <w:i/>
          <w:sz w:val="18"/>
        </w:rPr>
        <w:t xml:space="preserve">– </w:t>
      </w:r>
      <w:r>
        <w:rPr>
          <w:i/>
          <w:sz w:val="18"/>
        </w:rPr>
        <w:t>inc...</w:t>
      </w:r>
    </w:p>
    <w:p>
      <w:pPr>
        <w:pStyle w:val="Normal"/>
        <w:rPr>
          <w:i/>
          <w:i/>
          <w:sz w:val="18"/>
        </w:rPr>
      </w:pPr>
      <w:r>
        <w:rPr>
          <w:i/>
          <w:sz w:val="18"/>
        </w:rPr>
        <w:t>- Penitenciarul .....;</w:t>
      </w:r>
    </w:p>
    <w:p>
      <w:pPr>
        <w:pStyle w:val="Normal"/>
        <w:rPr>
          <w:sz w:val="16"/>
        </w:rPr>
      </w:pPr>
      <w:r>
        <w:rPr>
          <w:i/>
          <w:sz w:val="18"/>
        </w:rPr>
        <w:t>- P.C.A - ....</w:t>
      </w:r>
    </w:p>
    <w:p>
      <w:pPr>
        <w:pStyle w:val="Normal"/>
        <w:rPr>
          <w:sz w:val="16"/>
        </w:rPr>
      </w:pPr>
      <w:r>
        <w:rPr>
          <w:sz w:val="16"/>
        </w:rPr>
      </w:r>
    </w:p>
    <w:sectPr>
      <w:footerReference w:type="default" r:id="rId2"/>
      <w:type w:val="nextPage"/>
      <w:pgSz w:w="11906" w:h="16838"/>
      <w:pgMar w:top="851" w:right="851" w:bottom="851" w:left="1985"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Garamond">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11</w:t>
    </w:r>
    <w:r>
      <w:rPr/>
      <w:fldChar w:fldCharType="end"/>
    </w:r>
  </w:p>
  <w:p>
    <w:pPr>
      <w:pStyle w:val="Footer"/>
      <w:rPr/>
    </w:pPr>
    <w:r>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26.48.53:80/ecris_cdms/document_upload.aspx?id_document=4500000000666396&amp;id_departament=27&amp;id_sesiune=336207&amp;id_user=168&amp;id_institutie=45&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paragraph" w:styleId="Heading2">
    <w:name w:val="Heading 2"/>
    <w:basedOn w:val="Normal"/>
    <w:next w:val="Normal"/>
    <w:qFormat/>
    <w:pPr>
      <w:keepNext w:val="true"/>
      <w:numPr>
        <w:ilvl w:val="0"/>
        <w:numId w:val="0"/>
      </w:numPr>
      <w:jc w:val="center"/>
      <w:outlineLvl w:val="1"/>
    </w:pPr>
    <w:rPr>
      <w:rFonts w:ascii="Garamond" w:hAnsi="Garamond"/>
      <w:b/>
    </w:rPr>
  </w:style>
  <w:style w:type="paragraph" w:styleId="Heading3">
    <w:name w:val="Heading 3"/>
    <w:basedOn w:val="Normal"/>
    <w:next w:val="Normal"/>
    <w:qFormat/>
    <w:pPr>
      <w:keepNext w:val="true"/>
      <w:numPr>
        <w:ilvl w:val="0"/>
        <w:numId w:val="0"/>
      </w:numPr>
      <w:jc w:val="center"/>
      <w:outlineLvl w:val="2"/>
    </w:pPr>
    <w:rPr>
      <w:rFonts w:ascii="Garamond" w:hAnsi="Garamond"/>
      <w:sz w:val="36"/>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AntetCaracter">
    <w:name w:val="Antet Caracter"/>
    <w:link w:val="Header"/>
    <w:qFormat/>
    <w:rPr/>
  </w:style>
  <w:style w:type="character" w:styleId="SubsolCaracter">
    <w:name w:val="Subsol Caracter"/>
    <w:link w:val="Footer"/>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536" w:leader="none"/>
        <w:tab w:val="right" w:pos="9072" w:leader="none"/>
      </w:tabs>
    </w:pPr>
    <w:rPr/>
  </w:style>
  <w:style w:type="paragraph" w:styleId="Footer">
    <w:name w:val="Footer"/>
    <w:basedOn w:val="Normal"/>
    <w:link w:val="SubsolCaracter"/>
    <w:pPr>
      <w:tabs>
        <w:tab w:val="clear" w:pos="720"/>
        <w:tab w:val="center" w:pos="4536" w:leader="none"/>
        <w:tab w:val="right" w:pos="9072" w:leader="none"/>
      </w:tab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29</ap:TotalTime>
  <ap:Application>LibreOffice/24.2.7.2$Linux_X86_64 LibreOffice_project/420$Build-2</ap:Application>
  <ap:AppVersion>15.0000</ap:AppVersion>
  <ap:Pages>9</ap:Pages>
  <ap:Words>5624</ap:Words>
  <ap:Characters>31324</ap:Characters>
  <ap:CharactersWithSpaces>37062</ap:CharactersWithSpaces>
  <ap:Paragraphs>142</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revision/>
  <dc:subject/>
  <dc:title/>
  <keywords/>
  <category/>
  <contentStatus/>
  <dc:identifier/>
  <version/>
</coreProperties>
</file>