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4</w:t>
      </w:r>
    </w:p>
    <w:p>
      <w:pPr>
        <w:pStyle w:val="Normal"/>
        <w:rPr>
          <w:b/>
        </w:rPr>
      </w:pPr>
      <w:r>
        <w:rPr>
          <w:b/>
        </w:rPr>
        <w:t>Dosar nr. D1</w:t>
      </w:r>
    </w:p>
    <w:p>
      <w:pPr>
        <w:pStyle w:val="Normal"/>
        <w:rPr>
          <w:b/>
        </w:rPr>
      </w:pPr>
      <w:r>
        <w:rPr>
          <w:b/>
        </w:rPr>
      </w:r>
      <w:bookmarkStart w:name="_Hlk83891306" w:id="0"/>
      <w:bookmarkStart w:name="_Hlk83891306" w:id="1"/>
      <w:bookmarkEnd w:id="1"/>
    </w:p>
    <w:p>
      <w:pPr>
        <w:pStyle w:val="Normal"/>
        <w:rPr>
          <w:b/>
        </w:rPr>
      </w:pPr>
      <w:r>
        <w:rPr>
          <w:b/>
        </w:rPr>
      </w:r>
    </w:p>
    <w:p>
      <w:pPr>
        <w:pStyle w:val="Normal"/>
        <w:rPr>
          <w:b/>
        </w:rPr>
      </w:pPr>
      <w:r>
        <w:rPr>
          <w:b/>
        </w:rPr>
      </w:r>
    </w:p>
    <w:p>
      <w:pPr>
        <w:pStyle w:val="Normal"/>
        <w:jc w:val="center"/>
        <w:rPr>
          <w:b/>
        </w:rPr>
      </w:pPr>
      <w:r>
        <w:rPr>
          <w:b/>
        </w:rPr>
        <w:t>R O M Â N I A</w:t>
      </w:r>
    </w:p>
    <w:p>
      <w:pPr>
        <w:pStyle w:val="Normal"/>
        <w:jc w:val="center"/>
        <w:rPr>
          <w:b/>
        </w:rPr>
      </w:pPr>
      <w:r>
        <w:rPr>
          <w:b/>
        </w:rPr>
      </w:r>
    </w:p>
    <w:p>
      <w:pPr>
        <w:pStyle w:val="Normal"/>
        <w:jc w:val="center"/>
        <w:rPr/>
      </w:pPr>
      <w:r>
        <w:rPr/>
        <w:t>CURTEA DE APEL ....</w:t>
      </w:r>
    </w:p>
    <w:p>
      <w:pPr>
        <w:pStyle w:val="Normal"/>
        <w:jc w:val="center"/>
        <w:rPr>
          <w:lang w:val="en-US"/>
        </w:rPr>
      </w:pPr>
      <w:r>
        <w:rPr/>
        <w:t>SECŢIA ....</w:t>
      </w:r>
    </w:p>
    <w:p>
      <w:pPr>
        <w:pStyle w:val="Normal"/>
        <w:rPr>
          <w:lang w:val="en-US"/>
        </w:rPr>
      </w:pPr>
      <w:r>
        <w:rPr>
          <w:lang w:val="en-US"/>
        </w:rPr>
      </w:r>
    </w:p>
    <w:p>
      <w:pPr>
        <w:pStyle w:val="Normal"/>
        <w:jc w:val="center"/>
        <w:rPr>
          <w:b/>
        </w:rPr>
      </w:pPr>
      <w:r>
        <w:rPr>
          <w:b/>
        </w:rPr>
        <w:t>SENTINŢA Nr. ....</w:t>
      </w:r>
    </w:p>
    <w:p>
      <w:pPr>
        <w:pStyle w:val="Normal"/>
        <w:jc w:val="center"/>
        <w:rPr/>
      </w:pPr>
      <w:r>
        <w:rPr/>
        <w:t>Şedinţa publică de la</w:t>
      </w:r>
      <w:r>
        <w:rPr>
          <w:b/>
        </w:rPr>
        <w:t xml:space="preserve"> </w:t>
      </w:r>
      <w:r>
        <w:rPr/>
        <w:t xml:space="preserve">.... </w:t>
      </w:r>
    </w:p>
    <w:p>
      <w:pPr>
        <w:pStyle w:val="Normal"/>
        <w:jc w:val="center"/>
        <w:rPr/>
      </w:pPr>
      <w:bookmarkStart w:name="_Hlk83891306" w:id="2"/>
      <w:bookmarkEnd w:id="2"/>
      <w:r>
        <w:rPr/>
        <w:t>Completul este constituit din:</w:t>
      </w:r>
    </w:p>
    <w:p>
      <w:pPr>
        <w:pStyle w:val="Normal"/>
        <w:jc w:val="center"/>
        <w:rPr/>
      </w:pPr>
      <w:r>
        <w:rPr/>
        <w:t>Preşedinte: A0006 - judecător</w:t>
      </w:r>
    </w:p>
    <w:p>
      <w:pPr>
        <w:pStyle w:val="Normal"/>
        <w:rPr/>
      </w:pPr>
      <w:r>
        <w:rPr/>
        <w:t xml:space="preserve">                                                  </w:t>
      </w:r>
      <w:r>
        <w:rPr/>
        <w:t>Grefier: ...</w:t>
      </w:r>
    </w:p>
    <w:p>
      <w:pPr>
        <w:pStyle w:val="Normal"/>
        <w:rPr/>
      </w:pPr>
      <w:r>
        <w:rPr/>
      </w:r>
    </w:p>
    <w:p>
      <w:pPr>
        <w:pStyle w:val="Normal"/>
        <w:rPr>
          <w:b/>
        </w:rPr>
      </w:pPr>
      <w:r>
        <w:rPr>
          <w:b/>
        </w:rPr>
      </w:r>
    </w:p>
    <w:p>
      <w:pPr>
        <w:pStyle w:val="Normal"/>
        <w:ind w:right="0" w:firstLine="709"/>
        <w:jc w:val="both"/>
        <w:rPr/>
      </w:pPr>
      <w:bookmarkStart w:name="_Hlk83891334" w:id="3"/>
      <w:r>
        <w:rPr/>
        <w:t xml:space="preserve">Pe rol, soluționarea cererii formulate de </w:t>
      </w:r>
      <w:bookmarkStart w:name="_Hlk491772286" w:id="4"/>
      <w:r>
        <w:rPr/>
        <w:t xml:space="preserve">reclamantul </w:t>
      </w:r>
      <w:bookmarkStart w:name="_Hlk491860851" w:id="5"/>
      <w:bookmarkStart w:name="_Hlk493057962" w:id="6"/>
      <w:bookmarkEnd w:id="4"/>
      <w:r>
        <w:rPr>
          <w:b/>
        </w:rPr>
        <w:t xml:space="preserve">R1, </w:t>
      </w:r>
      <w:r>
        <w:rPr/>
        <w:t>în contradictoriu cu pârâţii</w:t>
      </w:r>
      <w:bookmarkEnd w:id="5"/>
      <w:bookmarkEnd w:id="6"/>
      <w:r>
        <w:rPr/>
        <w:t xml:space="preserve"> </w:t>
      </w:r>
      <w:r>
        <w:rPr>
          <w:b/>
        </w:rPr>
        <w:t xml:space="preserve">Guvernul României, Ministerul Finanțelor Publice, Agenția Națională de Administrare Fiscală, Direcția Generală Regională a Finanțelor Publice A1, Administrația  Județeană a Finanțelor Publice A2 </w:t>
      </w:r>
      <w:r>
        <w:rPr/>
        <w:t>şi</w:t>
      </w:r>
      <w:r>
        <w:rPr>
          <w:b/>
        </w:rPr>
        <w:t xml:space="preserve"> Casa Judeţeană de Pensii...,</w:t>
      </w:r>
      <w:r>
        <w:rPr>
          <w:bCs/>
        </w:rPr>
        <w:t xml:space="preserve"> având ca obiect „</w:t>
      </w:r>
      <w:r>
        <w:rPr/>
        <w:t>despăgubire”.</w:t>
      </w:r>
      <w:r>
        <w:rPr>
          <w:b/>
        </w:rPr>
        <w:t xml:space="preserve"> </w:t>
      </w:r>
    </w:p>
    <w:p>
      <w:pPr>
        <w:pStyle w:val="Normal"/>
        <w:ind w:right="0" w:firstLine="708"/>
        <w:jc w:val="both"/>
        <w:rPr/>
      </w:pPr>
      <w:r>
        <w:rPr/>
        <w:t xml:space="preserve">Procedura de citare a părţilor este legal </w:t>
      </w:r>
      <w:bookmarkStart w:name="_Hlk492288674" w:id="7"/>
      <w:r>
        <w:rPr/>
        <w:t>îndeplinită</w:t>
      </w:r>
      <w:bookmarkEnd w:id="7"/>
      <w:r>
        <w:rPr/>
        <w:t>.</w:t>
      </w:r>
    </w:p>
    <w:p>
      <w:pPr>
        <w:pStyle w:val="Normal"/>
        <w:ind w:right="0" w:firstLine="708"/>
        <w:jc w:val="both"/>
        <w:rPr/>
      </w:pPr>
      <w:r>
        <w:rPr/>
        <w:t xml:space="preserve">La apelul nominal, făcut în şedinţa </w:t>
      </w:r>
      <w:r>
        <w:rPr/>
      </w:r>
      <w:r>
        <w:rPr/>
      </w:r>
      <w:r>
        <w:rPr/>
      </w:r>
      <w:r>
        <w:rPr/>
        <w:t>publică</w:t>
      </w:r>
      <w:r>
        <w:rPr/>
      </w:r>
      <w:r>
        <w:rPr/>
      </w:r>
      <w:r>
        <w:rPr/>
        <w:t>, părţile au lipsit.</w:t>
      </w:r>
    </w:p>
    <w:p>
      <w:pPr>
        <w:pStyle w:val="Normal"/>
        <w:ind w:right="0" w:firstLine="708"/>
        <w:jc w:val="both"/>
        <w:rPr/>
      </w:pPr>
      <w:r>
        <w:rPr/>
        <w:t xml:space="preserve">S-a făcut </w:t>
      </w:r>
      <w:r>
        <w:rPr/>
      </w:r>
      <w:r>
        <w:rPr/>
      </w:r>
      <w:r>
        <w:rPr/>
      </w:r>
      <w:r>
        <w:rPr/>
        <w:t>referatul</w:t>
      </w:r>
      <w:r>
        <w:rPr/>
      </w:r>
      <w:r>
        <w:rPr/>
      </w:r>
      <w:r>
        <w:rPr/>
        <w:t xml:space="preserve"> cauzei, de către </w:t>
      </w:r>
      <w:r>
        <w:rPr/>
      </w:r>
      <w:r>
        <w:rPr/>
      </w:r>
      <w:r>
        <w:rPr/>
      </w:r>
      <w:r>
        <w:rPr/>
        <w:t>grefier</w:t>
      </w:r>
      <w:r>
        <w:rPr/>
      </w:r>
      <w:r>
        <w:rPr/>
      </w:r>
      <w:r>
        <w:rPr/>
        <w:t xml:space="preserve">ul de şedinţă, </w:t>
      </w:r>
      <w:r>
        <w:rPr/>
      </w:r>
      <w:r>
        <w:rPr/>
      </w:r>
      <w:r>
        <w:rPr/>
      </w:r>
      <w:r>
        <w:rPr/>
        <w:t>care învederează</w:t>
      </w:r>
      <w:r>
        <w:rPr/>
      </w:r>
      <w:r>
        <w:rPr/>
      </w:r>
      <w:r>
        <w:rPr/>
        <w:t xml:space="preserve"> instanţei </w:t>
      </w:r>
      <w:r>
        <w:rPr>
          <w:color w:val="000000"/>
        </w:rPr>
        <w:t xml:space="preserve">obiectul cauzei, stadiul judecăţii şi modalitatea de îndeplinire a procedurii de citare, faptul că cererea este timbrată, pârâţii au formulat întâmpinări, iar părţile au solicitat judecarea cauzei în lipsă, </w:t>
      </w:r>
      <w:r>
        <w:rPr/>
        <w:t xml:space="preserve">conform dispoziţiilor art. 411 alin. 1, pct. 2, teza finală din Codul de procedură civilă, </w:t>
      </w:r>
      <w:r>
        <w:rPr>
          <w:bCs/>
        </w:rPr>
        <w:t>după care:</w:t>
      </w:r>
    </w:p>
    <w:p>
      <w:pPr>
        <w:pStyle w:val="Normal"/>
        <w:ind w:right="0" w:firstLine="708"/>
        <w:jc w:val="both"/>
        <w:rPr/>
      </w:pPr>
      <w:r>
        <w:rPr/>
        <w:t>Dosarul fiind la primul termen, instanța procedează la verificarea competenței materiale și teritoriale și, în raport de cadrul procesual stabilit de către reclamant, constantă este competentă material și teritorial, față de faptul că reclamantul are domiciliul pe raza Curții de Apel .....</w:t>
      </w:r>
    </w:p>
    <w:p>
      <w:pPr>
        <w:pStyle w:val="Normal"/>
        <w:ind w:right="0" w:firstLine="708"/>
        <w:jc w:val="both"/>
        <w:rPr/>
      </w:pPr>
      <w:r>
        <w:rPr>
          <w:lang w:val="en-US" w:eastAsia="en-US"/>
        </w:rPr>
        <w:t>Potrivit art. 238 din Codul de procedură civilă,</w:t>
      </w:r>
      <w:r>
        <w:rPr/>
        <w:t xml:space="preserve"> instanţa estimează durata procesului la termenul prezent.</w:t>
      </w:r>
    </w:p>
    <w:p>
      <w:pPr>
        <w:pStyle w:val="Normal"/>
        <w:ind w:right="0" w:firstLine="708"/>
        <w:jc w:val="both"/>
        <w:rPr/>
      </w:pPr>
      <w:r>
        <w:rPr/>
        <w:t>Față de faptul că pârâtele Casa Judeţeană de Pensii... și Agenția Națională de Administrare Fiscală au invocat excepția lipsei calității procesuale pasive, instanța urmează să le unească cu fondul și reține cauza în pronunțare.</w:t>
      </w:r>
    </w:p>
    <w:p>
      <w:pPr>
        <w:pStyle w:val="Normal"/>
        <w:jc w:val="both"/>
        <w:rPr/>
      </w:pPr>
      <w:r>
        <w:rPr/>
      </w:r>
    </w:p>
    <w:p>
      <w:pPr>
        <w:pStyle w:val="Normal"/>
        <w:jc w:val="both"/>
        <w:rPr/>
      </w:pPr>
      <w:r>
        <w:rPr/>
        <w:tab/>
        <w:tab/>
        <w:tab/>
        <w:tab/>
        <w:tab/>
        <w:t xml:space="preserve"> </w:t>
      </w:r>
      <w:r>
        <w:rPr>
          <w:b/>
        </w:rPr>
        <w:t>C U R T E A</w:t>
      </w:r>
    </w:p>
    <w:p>
      <w:pPr>
        <w:pStyle w:val="Normal"/>
        <w:jc w:val="both"/>
        <w:rPr>
          <w:b/>
        </w:rPr>
      </w:pPr>
      <w:r>
        <w:rPr>
          <w:b/>
        </w:rPr>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Asupra cauzei de faţă, deliberând, constată următoarele;</w:t>
      </w:r>
    </w:p>
    <w:p>
      <w:pPr>
        <w:pStyle w:val="NoSpacing"/>
        <w:ind w:right="0" w:firstLine="708"/>
        <w:jc w:val="both"/>
        <w:rPr/>
      </w:pPr>
      <w:r>
        <w:rPr>
          <w:rFonts w:ascii="Times New Roman" w:hAnsi="Times New Roman" w:cs="Times New Roman"/>
          <w:sz w:val="24"/>
          <w:szCs w:val="24"/>
        </w:rPr>
        <w:t xml:space="preserve">Prin cererea înregistrată la data de 07.02.2023 sub nr. D1 pe rolul Curții de Apel ...., Secţia de  ..., </w:t>
      </w:r>
      <w:r>
        <w:rPr>
          <w:rFonts w:ascii="Times New Roman" w:hAnsi="Times New Roman" w:cs="Times New Roman"/>
          <w:b/>
          <w:bCs/>
          <w:i/>
          <w:iCs/>
          <w:sz w:val="24"/>
          <w:szCs w:val="24"/>
        </w:rPr>
        <w:t>reclamantul R1</w:t>
      </w:r>
      <w:r>
        <w:rPr>
          <w:rFonts w:ascii="Times New Roman" w:hAnsi="Times New Roman" w:cs="Times New Roman"/>
          <w:sz w:val="24"/>
          <w:szCs w:val="24"/>
        </w:rPr>
        <w:t xml:space="preserve"> a chemat în judecată </w:t>
      </w:r>
      <w:r>
        <w:rPr>
          <w:rFonts w:ascii="Times New Roman" w:hAnsi="Times New Roman" w:cs="Times New Roman"/>
          <w:b/>
          <w:bCs/>
          <w:i/>
          <w:iCs/>
          <w:sz w:val="24"/>
          <w:szCs w:val="24"/>
        </w:rPr>
        <w:t>pârâtul Guvernul României</w:t>
      </w:r>
      <w:r>
        <w:rPr>
          <w:rFonts w:ascii="Times New Roman" w:hAnsi="Times New Roman" w:cs="Times New Roman"/>
          <w:sz w:val="24"/>
          <w:szCs w:val="24"/>
        </w:rPr>
        <w:t xml:space="preserve"> solicitând instanţei ca prin hotărârea ce o va pronunţa să se dispună </w:t>
      </w:r>
      <w:r>
        <w:rPr>
          <w:rFonts w:ascii="Times New Roman" w:hAnsi="Times New Roman" w:cs="Times New Roman"/>
          <w:color w:val="000000"/>
          <w:sz w:val="24"/>
          <w:szCs w:val="24"/>
        </w:rPr>
        <w:t>obligarea pârâtului la plata unei despăgubiri egale cu sumele reținute cu titlu de contribuție la Asigurările Sociale de Sănătate (CASS), în procent de 10% aplicat asupra valorii din pensie care depășește limita de 4.000 lei, respectiv în total suma de 1908 lei (159 lei lunar x 12 luni), sumă reținută cu titlu de CASS din pensie, aferentă perioadei ianuarie - decembrie 2022, sume care vor fi actualizate cu indicele de inflație si cu dobanda legală penalizatoare, începând de la data fiecărei rețineri si până la data restituirii efective.</w:t>
      </w:r>
    </w:p>
    <w:p>
      <w:pPr>
        <w:pStyle w:val="NoSpacing"/>
        <w:ind w:right="0" w:firstLine="708"/>
        <w:jc w:val="both"/>
        <w:rPr/>
      </w:pPr>
      <w:r>
        <w:rPr>
          <w:rFonts w:ascii="Times New Roman" w:hAnsi="Times New Roman" w:cs="Times New Roman"/>
          <w:color w:val="000000"/>
          <w:sz w:val="24"/>
          <w:szCs w:val="24"/>
        </w:rPr>
        <w:t>În fapt, a arătat că este pensionar, iar urmare a modificărilor legislative aduse de OUG nr. 130/2021, publicată în M.Of. nr. 1202/18.12.2021, pusă în aplicare cu începere de la 01.01.2022 și care a modificat si completat Legea nr. 227/2015 privind Codul Fiscal (art. XXIV pct.13 din OUG nr. 120/2021, introducându-se art. 155 alin.l lit. a prim în Codul Fiscal), în cursul anului 2022 i s-a reținut din pensie, în mod nelegal, fapt constatat prin Decizia Curții Constituționale nr. 650/2022, publicată în Monitorul Oficial nr.1262 din 28.12.2022, o cotă de 10% din partea din pensie ce depășește suma de 4000 lei, cu titlu de contribuție de asigurări sociale de sănătate, creându-i-se în acest fel un prejudiciu.</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Reținerile din pensie au fost efectuate în baza dispozițiilor art. XXIV pct. 11-14, 16-20 și art. XXV din OUG nr. 130/2021 privind unele măsuri fiscal-bugetare, prorogarea unor termene, precum și pentru modificarea și completarea unor acte normative, publicată în M. O. nr. 1202/18.12.2021, care însă au fost declarate neconstituționale prin decizia nr. 650/2022 a CCR, publicată în Monitorul Oficial nr.1262 din 28.12.2022, fapt ce îl îndreptățește, conform dispozițiilor art. 126 din Constituția României și art. 9 alin. (4) și (5) din Legea contenciosului administrativ nr. 554/2004, să solicite repararea prejudiciului suferit, ca urmare a aplicării ordonanței de urgență a Guvernului declarate neconstituționale.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Astfel, în concret, din pensia încasată i s-a reținut suma de 1.908 lei, reprezentând suma reținută cu titlu de CASS din pensie, aferentă perioadei ianuarie - decembrie 2022 (159 lei lunar x l2 luni). Ca atare, suma cu care a fost prejudiciat ca urmare a aplicării dispozițiilor art. XXIV pct. 11-14, 16-20 și art. XXV din OUG nr. 130/2021 privind unele măsuri fiscal-bugetare, prorogarea unor termene, precum și pentru modificarea și completarea unor acte normative, publicată în M. O. nr. 1202/18.12.2021, ce au fost declarate neconstituționale prin decizia nr.650/2022 a CCR, publicată în Monitorul Oficial nr.1262 din 28.12.2022, este de 1.908 lei, reprezentând suma reținută cu titlu de CASS din pensie, aferentă perioadei ianuarie - decembrie 2022 (159 lei lunar x 12 luni).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ceea ce privește calitatea procesuală pasivă a pârâtului Guvernul României, a arătat că aceasta se justifică prin raportare la temeiul de drept al prezentei cereri de chemare în judecată, în condițiile în care acesta este emitentul OUG nr. 130/2021. În considerarea competenței derivate a acestei autorități și ca efect al delegării temporare a unor atribuții legislative, pârâtul poate emite ordonanțe simple sau ordonanțe de urgenta, cu respectarea dispozițiilor art. 115 din Constituție.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indicat art. 126 alin. 6 din Constituție a arătat că din dispozițiile art. 36 Cod procedură civilă rezultă calitatea procesuală pasivă a pârâtului, acesta având calitatea de emitent al actului declarat neconstituțional.</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Referitor la competența Curții de Apel .... de a soluționa fondul cauzei, aceasta rezultă din aplicarea prevederilor art. 10 alin. (1) și alin. (3) din Legea nr. 554/2004, fiind reglementată competența în favoarea curții de apel în a cărei circumscripție de află domiciliul reclamantului.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 menționat și că prezenta cerere este scutită de parcurgerea procedurii prealabile, prin exceptarea de la regula procedurii prealabile obligatorii instituite de art.7 al Legii nr. 554/2004. </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Astfel, prin dispozițiile art. 7 alin. 5, s-a statuat cu caracter de excepție: “ (5) în cazul acțiunilor introduse de prefect, Avocatul Poporului, Ministerul Public, Agenția Națională a Funcționarilor Publici, al celor care privesc cererile persoanelor vătămate prin ordonanțe sau dispoziții din ordonanțe sau al acțiunilor îndreptate împotriva actelor administrative care nu mai pot fi revocate întrucât au intrat în circuitul civil și au produs efecte juridice, precum și în cazurile prevăzute la art. 2 alin. (2) și la art. 4 nu este obligatorie plângerea prealabilă.”</w:t>
      </w:r>
    </w:p>
    <w:p>
      <w:pPr>
        <w:pStyle w:val="NoSpacing"/>
        <w:ind w:right="0" w:firstLine="708"/>
        <w:jc w:val="both"/>
        <w:rPr/>
      </w:pPr>
      <w:r>
        <w:rPr>
          <w:rFonts w:ascii="Times New Roman" w:hAnsi="Times New Roman" w:cs="Times New Roman"/>
          <w:color w:val="000000"/>
          <w:sz w:val="24"/>
          <w:szCs w:val="24"/>
        </w:rPr>
        <w:t xml:space="preserve">Pe fondul pretențiilor, a arătat că prezenta cerere se întemeiază pe dispozițiile art. 9 alin. (4) si (5) din Legea nr. 554/2004 a contenciosului administrativ, drepturile si interesele reclamantului fiind vătămate prin dispozițiile OUG nr. 130/2021 care au inclus, cu titlu de contribuții sociale obligatorii, contribuțiile de asigurări sociale de sănătate in cazul veniturilor din pensii, pentru partea care depășește suma lunara de 4000 lei. Obiectul acțiunii de față se încadrează în dispozițiile art. 9 alin. 4 si alin. 5 din Legea nr. 554/2004, întrucât este reprezentat de obligarea pârâtului la repararea prejudiciului cauzat prin punerea in aplicare a dispozițiilor </w:t>
      </w:r>
      <w:r>
        <w:rPr>
          <w:rFonts w:ascii="Times New Roman" w:hAnsi="Times New Roman" w:cs="Times New Roman"/>
          <w:sz w:val="24"/>
          <w:szCs w:val="24"/>
        </w:rPr>
        <w:t>Ordonanței.</w:t>
      </w:r>
    </w:p>
    <w:p>
      <w:pPr>
        <w:pStyle w:val="NoSpacing"/>
        <w:ind w:right="0" w:firstLine="708"/>
        <w:jc w:val="both"/>
        <w:rPr/>
      </w:pPr>
      <w:r>
        <w:rPr>
          <w:rFonts w:ascii="Times New Roman" w:hAnsi="Times New Roman" w:cs="Times New Roman"/>
          <w:color w:val="000000"/>
          <w:sz w:val="24"/>
          <w:szCs w:val="24"/>
        </w:rPr>
        <w:t>Dreptul la despăgubiri rezultă atât din dispozițiile art. 126 alin. (6) din Constituția României și ale art. 9 alin. 4 și 5 din Legea nr. 554/2004, cât și din prevederile Codului civil și ale Codului de procedura civila, în baza dispozițiilor art. 28 din Legea menționată.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Reținerea contribuțiilor reiese din mențiunile din cupoanele de pensii. Prejudiciul este cuantificabil, fiind egal cu sumele reținute reclamantului din pensie, conform precizărilor concrete anterioare.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vederea reparării integrale a prejudiciului suferit, se impune și actualizarea cu rata inflației a sumelor datorate cu titlu de despăgubire, precum și acordarea de dobânzi legale. Sub acest aspect, a indicat dispozițiile art. 1535 alin.l Cod civil, care stabilesc că în cazul în care o sumă de bani nu este plătită la scadență, creditorul are dreptul la daune moratorii fără a trebui să dovedească vreun prejudiciu.</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Dobânzile legale se cuvin reclamantului ca daună moratorie, având alt temei decât cel al daunelor cu caracter compensatoriu ce pot fi pretinse de creditor, cerându-se actualizarea creanței la rata inflației. A considerat ca este îndreptățit la primirea cuantumului dobânzii penalizatoare ce va fi calculată de la data la care drepturile erau datorate (data reținerii CASS), până la data plății efective, dobânda penalizatoare fiind definită de art. 1 alin. (3) din OG nr. 13/2011 ca fiind dobânda datorată de debitorul obligației bănești pentru neîndeplinirea obligației respective la scadență.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In ceea ce privește plata sumelor, a subliniat că solicită ca sumele ce i se cuvin să fie plătite printr-o prestație unică și integrală. A apreciat că o eventuală măsură de fracționare/eșalonare a datoriei pe un interval mai mare de timp ar fi abuzivă și neconstituțională, încălcând prevederile art. 16 si 20 din Constituția României privind egalitatea în drepturi, inclusiv în raport cu autoritățile publice. Impunerea voinței debitorului asupra creditorului ar fi contrară și art. 21 din Convenția Europeana a Drepturilor Omului privind nediscriminarea.</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Totodată, a arătat că deține un interes determinat, legitim, personal, născut si actual pentru promovarea prezentei acțiuni, fiind pe deplin îndeplinite cerințele prevăzute de art. 9 alin. 4 și 5 din Legea nr. 554/2004, coroborate cu art. 2 alin. 1 lit. a) si art. 33 Cod proc.civ. Aceste modificări legislative nu au doar un puternic impact economic asupra veniturilor realizate din pensii, dar si un impact moral, în condițiile în care măsura a fost luată “de urgență”, fără o dezbatere publică și cu aplicarea în termen de 15 zile de la publicarea în Monitorul Oficial, fiind încălcate cerințele de previzibilitate și predictibilitate ce trebuie să caracterizeze sistemul de pensii.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Prin decizia nr. 650/2022, Curtea Constitutionala a României, a admis excepția de ncconstituționalitate și a constatat că sunt neconstituționale dispozițiile art.XXIV pct. 11 [cu referire la art.153 alin.(l) lit.find.2)], pct.12 [cu referire la art.154 alin.(l) lit.h) sintagma „de până la suma de 4.000 lei lunar inclusiv’'], pct.13 [cu referire la art.155 alin.(l) pct.a ind.l)], pct.14 [cu referire la sintagma „venituri din pensii” din cuprinsul titlului secțiunii a 3-a capitolul III al titlului V „Contribuții sociale obligatorii”], pct.16 [cu referire la art.157 ind.3], pct.17 [cu referire la sintagma „precum și al veniturilor din pensii” din cuprinsul titlului secțiunii a 4-a capitolul III al titlului V „Contribuții sociale obligatorii”], pct. 18 [cu referire la art. 168 alin.(l)în privința trimiterii la art. 153 alin.(l) lit.find.2), alin.(5) în privința trimiterii la art.157 ind.3 și alin.(7) ind.l] și pct. 19 [cu referire la alin.(l) lit.a) în privința trimiterii la art. 153 alin.(l) lit.find.2)] și art.XXV alin.(l) lît.c) [cu referire la pct.12, 13, 16, 18 în privința alineatelor (1) și (5) ale art.168 și pct.19] din Ordonanța de urgență a Guvernului nr.130/2021 privind unele măsuri fiscal-bugetare, prorogarea unor termene, precum și pentru modificarea și completarea unor acte normative.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Curtea a conchis astfel: ” în consecință, Guvernul, impunând prin ordonanță de urgență plata unei contribuții de asigurări sociale de sănătate pentru persoanele fizice care au calitatea de pensionari în privința pensiilor care depășesc 4.000 lei, aîncălcat art.l 15 alin.(6) din Constituție, cu referire la interdicția de a afecta drepturile, libertățile și îndatoririle prevăzute de Constituție, în speță, dreptul la pensie - prevăzut și garantat de art.47 alin.(2) din Constituție” (par. 52).</w:t>
      </w:r>
    </w:p>
    <w:p>
      <w:pPr>
        <w:pStyle w:val="NoSpacing"/>
        <w:ind w:right="0" w:firstLine="708"/>
        <w:jc w:val="both"/>
        <w:rPr/>
      </w:pPr>
      <w:r>
        <w:rPr>
          <w:rFonts w:ascii="Times New Roman" w:hAnsi="Times New Roman" w:cs="Times New Roman"/>
          <w:color w:val="000000"/>
          <w:sz w:val="24"/>
          <w:szCs w:val="24"/>
        </w:rPr>
        <w:t>Față de aspectele învederate, reclamantul a susținut că sunt îndeplinite condițiile pentru angajarea răspunderii civile delictuale a pârâtului Guvernul României, în condițiile art. 9 alin. (4) și (5) din Legea nr. 554/2004 coroborate cu dispozițiile de drept comun (art. 1349 Cod civil) și cele constituționale (art. 126 alin. 6 Constituția României), respectiv: fapta ilicită constă în adoptarea unei ordonanțe de urgență neconstituționale; prejudiciul creat reclamantului constă în reținerea din pensie a CASS; între fapta ilicită și prejudiciu există legătură de cauzalitate, prejudiciul fiind creat tocmai ca urmare a aplicării actului adoptat de pârât și declarat neconstituțional; în ceea ce privește vinovăția pârâtului, și această condiție este îndeplinită, în condițiile în care Guvernul este emitentul actului cauzator de prejudicii, act care a fost declarat neconstituțional.</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In consecință, a solicitat admiterea cererii de chemare în judecată.</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În drept, a invocat dispozițiile art. 9 alin. (4) și (5) din Legea nr. 554/2004, art. 1349 Cod civil, art. 126 alin. (6) Constituția României, celelalte dispoziții legale menționate în cerere.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Probe: a solicitat administrarea probei cu înscrisuri, respectiv: decizia de pensionare, cupon pensie, în dovedirea calității de pensionar și a cuantumului sumelor reținute din pensie.</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Cu privire la timbraj, a susținut că prezenta cerere este scutită de plata taxei judiciare de timbru, potrivit art. 17 alin. (2) din Legea contenciosului administrativ nr. 554/2004 și art. 29 alin. (1) lit. a) din OUG nr. 80/2013.</w:t>
      </w:r>
    </w:p>
    <w:p>
      <w:pPr>
        <w:pStyle w:val="NoSpacing"/>
        <w:ind w:right="0" w:firstLine="708"/>
        <w:jc w:val="both"/>
        <w:rPr/>
      </w:pPr>
      <w:r>
        <w:rPr>
          <w:rFonts w:ascii="Times New Roman" w:hAnsi="Times New Roman" w:cs="Times New Roman"/>
          <w:color w:val="000000"/>
          <w:sz w:val="24"/>
          <w:szCs w:val="24"/>
        </w:rPr>
        <w:t>În temeiul dispozițiilor art. 411 Cod procedură civilă, a solicitat judecarea cauzei și în lipsă și a solicitat</w:t>
      </w:r>
      <w:r>
        <w:rPr>
          <w:rFonts w:ascii="Times New Roman" w:hAnsi="Times New Roman" w:cs="Times New Roman"/>
          <w:sz w:val="24"/>
          <w:szCs w:val="24"/>
        </w:rPr>
        <w:t xml:space="preserve"> </w:t>
      </w:r>
      <w:r>
        <w:rPr>
          <w:rFonts w:ascii="Times New Roman" w:hAnsi="Times New Roman" w:cs="Times New Roman"/>
          <w:color w:val="000000"/>
          <w:sz w:val="24"/>
          <w:szCs w:val="24"/>
        </w:rPr>
        <w:t>citarea și comunicarea actelor de procedură la adresa de reședință.</w:t>
      </w:r>
    </w:p>
    <w:p>
      <w:pPr>
        <w:pStyle w:val="NoSpacing"/>
        <w:ind w:right="0" w:firstLine="708"/>
        <w:jc w:val="both"/>
        <w:rPr/>
      </w:pPr>
      <w:r>
        <w:rPr>
          <w:rFonts w:ascii="Times New Roman" w:hAnsi="Times New Roman" w:cs="Times New Roman"/>
          <w:b/>
          <w:bCs/>
          <w:i/>
          <w:iCs/>
          <w:color w:val="000000"/>
          <w:sz w:val="24"/>
          <w:szCs w:val="24"/>
        </w:rPr>
        <w:t xml:space="preserve">La data de 20 februarie 2023, reclamantul R1 a depus cerere modificatoare </w:t>
      </w:r>
      <w:r>
        <w:rPr>
          <w:rFonts w:ascii="Times New Roman" w:hAnsi="Times New Roman" w:cs="Times New Roman"/>
          <w:color w:val="000000"/>
          <w:sz w:val="24"/>
          <w:szCs w:val="24"/>
        </w:rPr>
        <w:t>prin care a completat</w:t>
      </w:r>
      <w:r>
        <w:rPr>
          <w:rFonts w:ascii="Times New Roman" w:hAnsi="Times New Roman" w:cs="Times New Roman"/>
          <w:sz w:val="24"/>
          <w:szCs w:val="24"/>
        </w:rPr>
        <w:t xml:space="preserve"> </w:t>
      </w:r>
      <w:r>
        <w:rPr>
          <w:rFonts w:ascii="Times New Roman" w:hAnsi="Times New Roman" w:cs="Times New Roman"/>
          <w:color w:val="000000"/>
          <w:sz w:val="24"/>
          <w:szCs w:val="24"/>
        </w:rPr>
        <w:t>cererea introductivă, în sensul că, pe lângă pârâtul Guvernul României, menționat initial și cu privire la care a menținut calitatea de pârât, a arătat că înțelege să cheme în judecată și pârâții Ministerul Finanțelor Publice,</w:t>
      </w:r>
      <w:bookmarkStart w:name="bookmark17" w:id="8"/>
      <w:bookmarkEnd w:id="8"/>
      <w:r>
        <w:rPr>
          <w:rFonts w:ascii="Times New Roman" w:hAnsi="Times New Roman" w:cs="Times New Roman"/>
          <w:color w:val="000000"/>
          <w:sz w:val="24"/>
          <w:szCs w:val="24"/>
        </w:rPr>
        <w:t xml:space="preserve"> Agenția Națională de Administrare Fiscală,</w:t>
      </w:r>
      <w:bookmarkStart w:name="bookmark18" w:id="9"/>
      <w:bookmarkEnd w:id="9"/>
      <w:r>
        <w:rPr>
          <w:rFonts w:ascii="Times New Roman" w:hAnsi="Times New Roman" w:cs="Times New Roman"/>
          <w:color w:val="000000"/>
          <w:sz w:val="24"/>
          <w:szCs w:val="24"/>
        </w:rPr>
        <w:t xml:space="preserve"> Direcția Generală Regională a Finanțelor Publice A1,</w:t>
      </w:r>
      <w:bookmarkStart w:name="bookmark19" w:id="10"/>
      <w:bookmarkEnd w:id="10"/>
      <w:r>
        <w:rPr>
          <w:rFonts w:ascii="Times New Roman" w:hAnsi="Times New Roman" w:cs="Times New Roman"/>
          <w:color w:val="000000"/>
          <w:sz w:val="24"/>
          <w:szCs w:val="24"/>
        </w:rPr>
        <w:t xml:space="preserve"> Administrația Județeană a Finanțelor Publice A2</w:t>
      </w:r>
      <w:bookmarkStart w:name="bookmark20" w:id="11"/>
      <w:bookmarkEnd w:id="11"/>
      <w:r>
        <w:rPr>
          <w:rFonts w:ascii="Times New Roman" w:hAnsi="Times New Roman" w:cs="Times New Roman"/>
          <w:color w:val="000000"/>
          <w:sz w:val="24"/>
          <w:szCs w:val="24"/>
        </w:rPr>
        <w:t xml:space="preserve"> și Casa Județeană de Pensii....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menționat că solicită completarea cadrului procesual pasiv având în vedere reținerea CASS de către Casa Județeană de Pensii..., respectiv încasarea CASS de stat prin organele fiscale, precum și teritorialitatea organului fiscal care încasează CASS, în corelație cu domiciliul reclamantului.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Totodată, a completat obiectul cererii de chemare în judecată, în sensul că solicită obligarea pârâților și la plata cheltuielilor de judecată.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drept, a invocat dispozițiile art. 204, art. 453 Cod procedură civilă.</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Probe: înscrisuri, respectiv decizia de pensionare, cupon pensie, în dovedirea calității de pensionar și a cuantumului sumelor reținute din pensie.</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În temeiul art. 223 al. 3 și at. 411 alin. 1 pct. 2 CPC, a solicitat judecarea cauzei și în lipsa părților.</w:t>
      </w:r>
    </w:p>
    <w:p>
      <w:pPr>
        <w:pStyle w:val="NoSpacing"/>
        <w:ind w:right="0" w:firstLine="708"/>
        <w:jc w:val="both"/>
        <w:rPr/>
      </w:pPr>
      <w:r>
        <w:rPr>
          <w:rFonts w:ascii="Times New Roman" w:hAnsi="Times New Roman" w:cs="Times New Roman"/>
          <w:b/>
          <w:bCs/>
          <w:i/>
          <w:iCs/>
          <w:color w:val="000000"/>
          <w:sz w:val="24"/>
          <w:szCs w:val="24"/>
        </w:rPr>
        <w:t>La data de 02 martie 2023, pârâtul Guvernul României prin Secretariatul General af Guvernului a depus întâmpinare</w:t>
      </w:r>
      <w:r>
        <w:rPr>
          <w:rFonts w:ascii="Times New Roman" w:hAnsi="Times New Roman" w:cs="Times New Roman"/>
          <w:color w:val="000000"/>
          <w:sz w:val="24"/>
          <w:szCs w:val="24"/>
        </w:rPr>
        <w:t xml:space="preserve"> prin care a solicitat</w:t>
      </w:r>
      <w:r>
        <w:rPr>
          <w:rFonts w:ascii="Times New Roman" w:hAnsi="Times New Roman" w:cs="Times New Roman"/>
          <w:sz w:val="24"/>
          <w:szCs w:val="24"/>
        </w:rPr>
        <w:t xml:space="preserve"> r</w:t>
      </w:r>
      <w:r>
        <w:rPr>
          <w:rFonts w:ascii="Times New Roman" w:hAnsi="Times New Roman" w:cs="Times New Roman"/>
          <w:color w:val="000000"/>
          <w:sz w:val="24"/>
          <w:szCs w:val="24"/>
        </w:rPr>
        <w:t>espingerea cererii de chemare în judecată ca neîntemeiată.</w:t>
      </w:r>
    </w:p>
    <w:p>
      <w:pPr>
        <w:pStyle w:val="NoSpacing"/>
        <w:ind w:right="0" w:firstLine="708"/>
        <w:jc w:val="both"/>
        <w:rPr/>
      </w:pPr>
      <w:r>
        <w:rPr>
          <w:rFonts w:ascii="Times New Roman" w:hAnsi="Times New Roman" w:cs="Times New Roman"/>
          <w:color w:val="000000"/>
          <w:sz w:val="24"/>
          <w:szCs w:val="24"/>
        </w:rPr>
        <w:t>A solicitat respingerea pretențiilor reclamantului ca neîntemeiate, arătat că, pentru angajarea răspunderii patrimoniale a autorității pârâte, este necesară îndeplinirea cumulativă a următoarelor condiții, deduse din prevederile art.1349 și 1357 și urm. Cod civil, în corelație cu normele care configurează regimul juridic al contenciosului administrativ:</w:t>
      </w:r>
      <w:bookmarkStart w:name="bookmark4" w:id="12"/>
      <w:bookmarkEnd w:id="12"/>
      <w:r>
        <w:rPr>
          <w:rFonts w:ascii="Times New Roman" w:hAnsi="Times New Roman" w:cs="Times New Roman"/>
          <w:color w:val="000000"/>
          <w:sz w:val="24"/>
          <w:szCs w:val="24"/>
        </w:rPr>
        <w:t>existența unei fapte ilicite;</w:t>
      </w:r>
      <w:bookmarkStart w:name="bookmark5" w:id="13"/>
      <w:bookmarkEnd w:id="13"/>
      <w:r>
        <w:rPr>
          <w:rFonts w:ascii="Times New Roman" w:hAnsi="Times New Roman" w:cs="Times New Roman"/>
          <w:sz w:val="24"/>
          <w:szCs w:val="24"/>
        </w:rPr>
        <w:t xml:space="preserve"> </w:t>
      </w:r>
      <w:r>
        <w:rPr>
          <w:rFonts w:ascii="Times New Roman" w:hAnsi="Times New Roman" w:cs="Times New Roman"/>
          <w:color w:val="000000"/>
          <w:sz w:val="24"/>
          <w:szCs w:val="24"/>
        </w:rPr>
        <w:t>producerea unui prejudiciu;</w:t>
      </w:r>
      <w:bookmarkStart w:name="bookmark6" w:id="14"/>
      <w:bookmarkEnd w:id="14"/>
      <w:r>
        <w:rPr>
          <w:rFonts w:ascii="Times New Roman" w:hAnsi="Times New Roman" w:cs="Times New Roman"/>
          <w:sz w:val="24"/>
          <w:szCs w:val="24"/>
        </w:rPr>
        <w:t xml:space="preserve"> </w:t>
      </w:r>
      <w:r>
        <w:rPr>
          <w:rFonts w:ascii="Times New Roman" w:hAnsi="Times New Roman" w:cs="Times New Roman"/>
          <w:color w:val="000000"/>
          <w:sz w:val="24"/>
          <w:szCs w:val="24"/>
        </w:rPr>
        <w:t>dovada legăturii de cauzalitate între fapta ilicită și prejudiciul suferit de reclamant.</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In cauza pendinte, chiar și dacă se află în situația declarării neconstituționalității unor dispoziții din O.U.G nr.130/2021, aceasta nu reprezintă automat un temei pentru angajarea răspunderii patrimoniale a Executivului, adoptarea unei ordonanțe de urgență neputând fi calificată drept faptă ilicită, reprezentând în realitate o exercitare a dreptului constituțional al Guvernului, care nu poate fi în niciun caz, ilicită.</w:t>
      </w:r>
    </w:p>
    <w:p>
      <w:pPr>
        <w:pStyle w:val="NoSpacing"/>
        <w:ind w:right="0" w:firstLine="708"/>
        <w:jc w:val="both"/>
        <w:rPr/>
      </w:pPr>
      <w:r>
        <w:rPr>
          <w:rFonts w:ascii="Times New Roman" w:hAnsi="Times New Roman" w:cs="Times New Roman"/>
          <w:color w:val="000000"/>
          <w:sz w:val="24"/>
          <w:szCs w:val="24"/>
        </w:rPr>
        <w:t>Astfel, adoptarea O.U.G nr.130/2021 s-a realizat în temeiul art. 115 alin.(4) din Constituția României, Guvernul motivând atât în preambulul actului cât și în Expunerea de motive ce a însoțit actul.</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Astfel, în ceea ce privește modificările și completările aduse Legii nr. 227/2015 privind Codul fiscal, se arată în cadrul Notei de fundamentare, faptul că, in prezent, potrivit Codului fiscal venitul impozabil lunar din pensii se stabilește prin deducerea din venitul din pensie a sumei neimpozitate lunare de 2000 lei. Totodată, persoanele fizice care au calitatea de pensionari sunt exceptate de la plata contribui iei asigurări sociale de sănătate pentru veniturile din pensii.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Totodată, la Secțiunea dedicată impactului financiar asupra bugetului general consolidat, se arată faptul că măsurile fiscale, așa cum este cea contestată in esență de către reclamanți, au un impact pozitiv asupra veniturilor bugetare pe anul 2022, influențele asupra veniturilor și cheltuielilor bugetului general consolidate fiind avute in vedere la construcția bugetară pe anul 2022.</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Așa cum se arată în preambulul actului normativ, a fost luată în considerare implementarea măsurilor din domeniul fiscal cuprinse în programul de guvernare, aprobat prin Hotărârea Parlamentului României nr. 42/2021 pentru acordarea încrederii Guvernului, privind eliminarea facilității de exceptare de la plata contribuției de asigurări sociale de sănătate pentru persoanele fizice care au calitatea de pensionari, pentru veniturile din pensii care depășesc 4.000 de lei, pentru partea ce depășește suma lunară de 4.000 lei, pentru fiecare drept de pensie. </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De asemenea, a fost luat în considerare faptul că neadoplarea măsurii privind eliminarea facilității de exceptare de la plata contribuției de asigurări sociale de sănătate pentru persoanele fizice care au calitatea de pensionari pentru venituri din pensii care depășesc 4.000 de lei ar conduce la menținerea situației actuale privind fondurile insuficiente de care dispune bugetul Fondului național unic de asigurări sociale de sănătate, concluzionându-se că măsurile adoptate în cadrul OUG vizează interesul general public și constituie situații de urgență și extraordinare a căror reglementare nu poate fi amânată.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Or, în cazul măsurilor adoptate de autoritatea Executivă în scopul protejării interesului public general este exclusă conduita ilicită, pârâtul manifestându-se în marja proprie de apreciere, realizând politica fiscală a statului în domeniul asigurărilor sociale. Acest drept de apreciere se manifestă cu bună-credință, observându-se faptul că Executivul a vizat toate categoriile de pensii, indiferent de baza legală de acordare a acestora. Totodată, au fost solicitate și acordate avizele Consiliului Economic și Social, al Consiliului Legislativ sau al Ministerului Justiției, care nu conțin observații nefavorabile cu privire la aspectele puse în discuție de către reclamant întărind încă odată faptul că nu ne aflăm într-o conduită culpabilă a Executivului ci, cu diligență, a creat cadrul legal care stă la baza stabilirii cheltuielilor bugetare pentru anul 2022.</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Caracterul excesiv al exercitării dreptului, necesar pentru antrenarea răspunderii civile patrimoniale, are în vedere situația valorificării acestuia de către titular într-un mod exacerbat, or, nu se poate vorbi de un exercițiu excesiv și nerezonabil din partea autorității Executive, de natură să atragă angajarea răspunderii patrimoniale, câtă vreme acesta a acționat în limitele conferite de art. 15 alin.(4) din Constituția României, republicată, având la momentul adoptării O.U.G nr. 130/2021 reprezentarea întrunirii tuturor condițiilor de legalitate impuse de adoptarea actului normativ, oferind și motivarea de oportunitate dar și de urgență a actului.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Prin urmare, nu este îndeplinită condiția existenței faptei ilicite, neputându-se reține exercitarea cu rea-credință, abuzivă de către pârât a competențelor sale privind adoptarea unor ordonanțe de urgență.</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Nu în ultimul rând, a arătat că pretenția reclamantului vizează în realitate, efectele actului normativ produse asupra cuantumului net al pensiei de care acesta beneficiază.</w:t>
      </w:r>
    </w:p>
    <w:p>
      <w:pPr>
        <w:pStyle w:val="NoSpacing"/>
        <w:ind w:right="0" w:firstLine="708"/>
        <w:jc w:val="both"/>
        <w:rPr/>
      </w:pPr>
      <w:r>
        <w:rPr>
          <w:rFonts w:ascii="Times New Roman" w:hAnsi="Times New Roman" w:cs="Times New Roman"/>
          <w:color w:val="000000"/>
          <w:sz w:val="24"/>
          <w:szCs w:val="24"/>
        </w:rPr>
        <w:t>Acest aspect reiese cu claritate inclusiv din cererea de chemare în judecată, în care, pe de o parte, reclamantul arată că „pensia acestuia a fost grevată de contribuțiile de asigurări sociale de sănătate, reținerea făcându-se la sursă de către Casa teritorială de pensii, prin aplicarea procentului de 10%”.</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Se desprinde astfel concluzia firească de altfel, că în ce privește veniturile din pensii și măsurile adoptate asupra acestora, acestea nu se pun în aplicare în mod direct, fiind transpuse prin intermediul entităților cu atribuții legale, reglementate, respectiv casele teritoriale de pensii.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Pentru toate cele de mai sus, a apreciat că nu poate fi reținută fapta ilicită a Guvernului, ca element al răspunderii patrimoniale a acestui pârât, iar în lipsa acesteia nu se mai justifică analizarea celorlalte elemente constitutive ale răspunderii patrimoniale.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Totuși, cu privire la existența prejudiciului și întinderea acestuia, a a arătat că reclamantul nu a dovedit în concret producerea prejudiciului așa cum a fost evidențiat în cuprinsul cererii de chemare în judecată, limitându-se la a susține, exclusiv la nivel declarativ, calitatea acestuia de pensionar afectată de dispozițiile O.U.G nr. 130/2021, însă pentru  repararea prejudiciului invocat, acesta trebuie dovedit printr-un probatoriu serios, nefiind legată în mod direct și aprioric de momentul eventual al declarării ca neconstituțională a O.U.G sau a unor dispoziții ale acesteia.</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cererea de chemare în judecată, reclamantul rezumă dovada prejudiciului pretins la un exercițiu al aplicării actului normativ asupra unei sume, fără a dovedi în niciun fel prejudiciul suferit. În acest context, cererea de chemare în judecată apare și ca fiind lipsită de interes, reclamantul nefacând dovada interesului în definiția sa juridică, de a promova prezenta cerere, simpla afirmație cu privire la calitatea acestuia, în prezent pensionar, afectată de aplicarea O.U.G nr.130/2021 nefiind suficientă.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Pentru aceste considerente, a opinat cu privire la faptul că acesta nu are atribuții și competențe în stabilirea și acordarea pensiei unor persoane determinate și nici obligația corelativă a acorda despăgubirile solicitate.</w:t>
      </w:r>
    </w:p>
    <w:p>
      <w:pPr>
        <w:pStyle w:val="NoSpacing"/>
        <w:jc w:val="both"/>
        <w:rPr/>
      </w:pPr>
      <w:r>
        <w:rPr>
          <w:rFonts w:ascii="Times New Roman" w:hAnsi="Times New Roman" w:cs="Times New Roman"/>
          <w:color w:val="000000"/>
          <w:sz w:val="24"/>
          <w:szCs w:val="24"/>
        </w:rPr>
        <w:t>A solicitat</w:t>
      </w:r>
      <w:r>
        <w:rPr>
          <w:rFonts w:ascii="Times New Roman" w:hAnsi="Times New Roman" w:cs="Times New Roman"/>
          <w:sz w:val="24"/>
          <w:szCs w:val="24"/>
        </w:rPr>
        <w:t xml:space="preserve"> </w:t>
      </w:r>
      <w:r>
        <w:rPr>
          <w:rFonts w:ascii="Times New Roman" w:hAnsi="Times New Roman" w:cs="Times New Roman"/>
          <w:color w:val="000000"/>
          <w:sz w:val="24"/>
          <w:szCs w:val="24"/>
        </w:rPr>
        <w:t>judecarea cauzei și în lipsă, conform cu prevederile art.223 alin.(3) și art.411 alin.(l) pct.2 din Codul de procedură civilă.</w:t>
      </w:r>
    </w:p>
    <w:p>
      <w:pPr>
        <w:pStyle w:val="NoSpacing"/>
        <w:ind w:right="0" w:firstLine="708"/>
        <w:jc w:val="both"/>
        <w:rPr/>
      </w:pPr>
      <w:r>
        <w:rPr>
          <w:rFonts w:ascii="Times New Roman" w:hAnsi="Times New Roman" w:cs="Times New Roman"/>
          <w:b/>
          <w:bCs/>
          <w:i/>
          <w:iCs/>
          <w:color w:val="000000"/>
          <w:sz w:val="24"/>
          <w:szCs w:val="24"/>
        </w:rPr>
        <w:t>La data de 06 martie 2023, pârâta Agenția Naționala de Administrare Fiscala a depus întâmpinare</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prin care a solicitat </w:t>
      </w:r>
      <w:r>
        <w:rPr>
          <w:rFonts w:ascii="Times New Roman" w:hAnsi="Times New Roman" w:cs="Times New Roman"/>
          <w:color w:val="000000"/>
          <w:sz w:val="24"/>
          <w:szCs w:val="24"/>
        </w:rPr>
        <w:t>admiterea excepției calitatii procesuale pasive a Agenției Naționale de Administrare Fiscala.</w:t>
      </w:r>
    </w:p>
    <w:p>
      <w:pPr>
        <w:pStyle w:val="NoSpacing"/>
        <w:ind w:right="0" w:firstLine="708"/>
        <w:jc w:val="both"/>
        <w:rPr/>
      </w:pPr>
      <w:r>
        <w:rPr>
          <w:rFonts w:ascii="Times New Roman" w:hAnsi="Times New Roman" w:cs="Times New Roman"/>
          <w:color w:val="000000"/>
          <w:sz w:val="24"/>
          <w:szCs w:val="24"/>
        </w:rPr>
        <w:t>A indicat art. 10 alin.(1) si (4) din O.U.G. nr. 74/2013 privind unele masuri pentru imbunatatirea si reorganizarea activitatii Agenției Naționale de Administrare Fiscala, precum si pentru modificarea si completarea unor acte normative</w:t>
      </w:r>
      <w:r>
        <w:rPr>
          <w:rFonts w:ascii="Times New Roman" w:hAnsi="Times New Roman" w:cs="Times New Roman"/>
          <w:sz w:val="24"/>
          <w:szCs w:val="24"/>
        </w:rPr>
        <w:t xml:space="preserve"> și </w:t>
      </w:r>
      <w:r>
        <w:rPr>
          <w:rFonts w:ascii="Times New Roman" w:hAnsi="Times New Roman" w:cs="Times New Roman"/>
          <w:color w:val="000000"/>
          <w:sz w:val="24"/>
          <w:szCs w:val="24"/>
        </w:rPr>
        <w:t>art. 13 alin.(1) din H.G. nr.520/2013 privind organizarea si functionarea Agenției Naționale de Administrare Fiscala.</w:t>
      </w:r>
      <w:r>
        <w:rPr>
          <w:rFonts w:ascii="Times New Roman" w:hAnsi="Times New Roman" w:cs="Times New Roman"/>
          <w:sz w:val="24"/>
          <w:szCs w:val="24"/>
        </w:rPr>
        <w:t xml:space="preserve"> </w:t>
      </w:r>
      <w:r>
        <w:rPr>
          <w:rFonts w:ascii="Times New Roman" w:hAnsi="Times New Roman" w:cs="Times New Roman"/>
          <w:color w:val="000000"/>
          <w:sz w:val="24"/>
          <w:szCs w:val="24"/>
        </w:rPr>
        <w:t>A menționat ca in prezentul litigiu se solicita obligarea la restituirea sumelor reținute cu titlu de cota CASS din drepturile incasate in baza Legii 341/2004.</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indicat și redat dispozițiile art.1 pct. 2, pct. 30, pct. 31, art. 29, art. 30 din Legea nr.207/2015 privind Codul de procedura fiscala și a arătat că din aceste texte de lege rezulta faptul ca ANAF nu administrează din punct de vedere fiscal contribuabilii, aceasta competenta revenind exclusiv organului fiscal teritorial din cadrul A.N.A.F. în a cărui rază teritorială se află domiciliul fiscal al contribuabilului/plătitorului, instituție publica ce are personalitate distincta de ANAF.</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Mai mult de cat atat, in condițiile in care ANAF nu a încasat sumele de bani solicitate a fi restituite, nu exista niciun temei legal pentru a se pronunța o hotarare in contradictoriu cu această instituție.De altfel, nici reclamantii nu specifica prin acțiune motivele pentru care au inteles sa cheme ANAF in judecata.</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Fata de cele de mai sus, a solicitat să se constate lipsa calitatii procesuale pasive a Agenției Naționale de Administrare Fiscala si sa dispună scoaterea acesteia din prezenta cauza, respingând acțiunea reclamantilor ca fiind indreptata împotriva unei persoane fara calitate procesuala pasiva.</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In cazul in care se va respinge excepția invocata, a învederat faptul ca va formula concluzii scrise.</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In drept: art. 205 si urm. din Codul de procedura civila.</w:t>
      </w:r>
    </w:p>
    <w:p>
      <w:pPr>
        <w:pStyle w:val="NoSpacing"/>
        <w:ind w:right="0" w:firstLine="708"/>
        <w:jc w:val="both"/>
        <w:rPr/>
      </w:pPr>
      <w:r>
        <w:rPr>
          <w:rFonts w:ascii="Times New Roman" w:hAnsi="Times New Roman" w:cs="Times New Roman"/>
          <w:sz w:val="24"/>
          <w:szCs w:val="24"/>
        </w:rPr>
        <w:t xml:space="preserve">A </w:t>
      </w:r>
      <w:r>
        <w:rPr>
          <w:rFonts w:ascii="Times New Roman" w:hAnsi="Times New Roman" w:cs="Times New Roman"/>
          <w:color w:val="000000"/>
          <w:sz w:val="24"/>
          <w:szCs w:val="24"/>
        </w:rPr>
        <w:t>solicitat proba cu înscrisuri si orice alte mijloace de proba care se vor dovedi utile si pertinente in cauza.</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A solicitat judecarea cauzei in conformitate cu art. 411 alin. (1) pct. 2 teza a II a din Codul de procedura civila.</w:t>
      </w:r>
    </w:p>
    <w:p>
      <w:pPr>
        <w:pStyle w:val="NoSpacing"/>
        <w:ind w:right="0" w:firstLine="708"/>
        <w:jc w:val="both"/>
        <w:rPr/>
      </w:pPr>
      <w:r>
        <w:rPr>
          <w:rFonts w:ascii="Times New Roman" w:hAnsi="Times New Roman" w:cs="Times New Roman"/>
          <w:b/>
          <w:bCs/>
          <w:i/>
          <w:iCs/>
          <w:color w:val="000000"/>
          <w:sz w:val="24"/>
          <w:szCs w:val="24"/>
        </w:rPr>
        <w:t>La data de 15 martie 2023, pârâta Administrația Județeană a Finanțelor Publice A2 a depus întâmpinare</w:t>
      </w:r>
      <w:r>
        <w:rPr>
          <w:rFonts w:ascii="Times New Roman" w:hAnsi="Times New Roman" w:cs="Times New Roman"/>
          <w:color w:val="000000"/>
          <w:sz w:val="24"/>
          <w:szCs w:val="24"/>
        </w:rPr>
        <w:t xml:space="preserve"> prin care a solicitat respingerea acțiunii ca neîntemeiată.</w:t>
      </w:r>
    </w:p>
    <w:p>
      <w:pPr>
        <w:pStyle w:val="NoSpacing"/>
        <w:ind w:right="0" w:firstLine="708"/>
        <w:jc w:val="both"/>
        <w:rPr/>
      </w:pPr>
      <w:r>
        <w:rPr>
          <w:rFonts w:ascii="Times New Roman" w:hAnsi="Times New Roman" w:cs="Times New Roman"/>
          <w:color w:val="000000"/>
          <w:sz w:val="24"/>
          <w:szCs w:val="24"/>
        </w:rPr>
        <w:t xml:space="preserve">Pe cale de excepție, a invocat lipsa calității procesuale pasive a Administrației Județene a Finanțelor Publice A2.S-a invocat de către reclamant faptul ca se impune completarea cadrului procesual cu chemarea in judecata in calitate de parat a </w:t>
      </w:r>
      <w:r>
        <w:rPr>
          <w:rFonts w:ascii="Times New Roman" w:hAnsi="Times New Roman" w:cs="Times New Roman"/>
          <w:color w:val="7F7F7F"/>
          <w:sz w:val="24"/>
          <w:szCs w:val="24"/>
        </w:rPr>
        <w:t>AJFP A2,</w:t>
      </w:r>
      <w:r>
        <w:rPr>
          <w:rFonts w:ascii="Times New Roman" w:hAnsi="Times New Roman" w:cs="Times New Roman"/>
          <w:color w:val="000000"/>
          <w:sz w:val="24"/>
          <w:szCs w:val="24"/>
        </w:rPr>
        <w:t xml:space="preserve"> avand in vedere incasarea CASS de către organul fiscal teriorial.</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învederat faptul ca raportul juridic de drept material are ca parti Casa Naționala de Pensii prin structura teritoriala Casa de Pensii... si persoana fizica R1, astfel ca si raportul juridic de drept procesual are aceleași parti, Administrația Județeană a Finanțelor Publice A2 nefiind implicata in procesul de calcul, reținere si virare a sumelor reprezentând CASS.</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Mai mult, in Monitorul Oficial nr. 138/17.02.2023 a fost publicata OUG 4/2023 privind stabilirea unor masuri de restituire a unor contribuții de asigurări sociale de sanatate - CASS.</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Potrivit acestui act normativ, sumele reținute din veniturile din pensii realizate de persoanele fizice cu titlu de contribuții de asigurări sociale de sanatate - CASS - de la data de 1 ianuarie 2022 pana la data de 27 decembrie 2022, inclusiv, se restituie lunar in perioada 1 martie 2023 - 28 februarie 2024, după recalcularea venitului impozabil corespunzător lunilor pentru care se efectuează restituirea, in conformitate cu prevederile Legii nr.227/2015 privind Codul fiscal, cu modificările si completările ulterioare, si reținerea diferentelor de impozit pe venit datorate.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Diferentele de impozit pe venit se calculează separat fata de impozitul aferent drepturilor lunii curente, se retinla data efectuării plătii sumelor prevăzute la alin. 1 al art. 1, se plătesc si se declara pana la data de 25 inclusiv a Lunii următoare celei in care se face plata, prin depunerea declarației privind obligațiile de plata a contribuțiilor sociale, impozitului pe venit si evidenta nominala a persoanelor asigurate. Dispozițiile alin. 1 si 2 ale art. 1 se aplica in mod corespunzător si sumelor reținute cu titlu de contribuții de asigurări sociale de sanatate din pensiile private, respectiv pensiile facultative, pentru partea care depășește suma lunara de 4.000 lei.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Restituirea sumelor se face din oficiu de către Casa Naționala de Pensii Publice prin casele teritoriale de pensii,precum si de către casele de pensii sectoriale si de către entitatile care plătesc venituri din pensii.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Restituirea sumelor se face prin diminuarea veniturilor bugetului Fondului national unic de asigurări sociale de sanatate si se evidențiază la o poziție distincta de venituri bugetare.</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Așadar, după cum se poate observa si din cuprinsul articolelor anterior menționate, organele fiscale nu sunt implicate in aceasta procedura, astfel ca si sub acest aspect nu se impune citarea in calitate de parat in prezenta cauza.</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Față de motivele invocate, a solicitat admiterea excepției așa cum a fost formulata.</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temeiul art. 411 alin. 1, pct. 2 din Codul de procedură civilă, a solicitat judecarea cauzei și în lipsă.</w:t>
      </w:r>
    </w:p>
    <w:p>
      <w:pPr>
        <w:pStyle w:val="NoSpacing"/>
        <w:ind w:right="0" w:firstLine="708"/>
        <w:jc w:val="both"/>
        <w:rPr/>
      </w:pPr>
      <w:r>
        <w:rPr>
          <w:rFonts w:ascii="Times New Roman" w:hAnsi="Times New Roman" w:cs="Times New Roman"/>
          <w:b/>
          <w:bCs/>
          <w:i/>
          <w:iCs/>
          <w:color w:val="000000"/>
          <w:sz w:val="24"/>
          <w:szCs w:val="24"/>
        </w:rPr>
        <w:t xml:space="preserve">La data de 15 martie 2023, pârâta Direcția Generala Regionala a Finanțelor Publice A1, in nume propriu si pentru Ministerul Finanțelor, in baza mandatului de reprezentare nr. ...6/28.02.2023 a depus întâmpinare </w:t>
      </w:r>
      <w:r>
        <w:rPr>
          <w:rFonts w:ascii="Times New Roman" w:hAnsi="Times New Roman" w:cs="Times New Roman"/>
          <w:color w:val="000000"/>
          <w:sz w:val="24"/>
          <w:szCs w:val="24"/>
        </w:rPr>
        <w:t>prin care a solicitat respingerea acțiunii.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Pe cale de excepție de fond, a invocat lipsa calitatii procesuale pasive a Ministerului Finanțelor, a Direcției Generale Regionale a Finanțelor Publice A1 si a Administrației Județene a Finanțelor Publice A2, fiind evident că în speța nu se realizează identitatea cerută de lege între cel care stă în judecată în calitate de pârât și cel care poate fi obligat în raportul juridic dedus judecății.</w:t>
      </w:r>
    </w:p>
    <w:p>
      <w:pPr>
        <w:pStyle w:val="NoSpacing"/>
        <w:ind w:right="0" w:firstLine="708"/>
        <w:jc w:val="both"/>
        <w:rPr/>
      </w:pPr>
      <w:r>
        <w:rPr>
          <w:rFonts w:ascii="Times New Roman" w:hAnsi="Times New Roman" w:cs="Times New Roman"/>
          <w:color w:val="000000"/>
          <w:sz w:val="24"/>
          <w:szCs w:val="24"/>
        </w:rPr>
        <w:t>Faptul că reclamantul a chemat în judecată Ministerul Finanțelor, Direcția Generala Regionala a Finanțelor Publice A1, Administrația Județeană a Finanțelor A2 nu este de natură să și confere calitate procesuală pasivă acestor parați.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procesele în materia contenciosului administrativ, chiar dispozițiile legii aplicabile fixează cadrul procesual, în sensul că litigiul se poartă între persoana care se consideră vătămata într-un drept sau interes legitim printr-un act administrativ al unei autorități publice, sau datorită refuzului nejustificat de a i se răspunde, sau printr-o ordonanță și autoritatea publică în cauză, eventual împreună cu beneficiarul actului administrativ.</w:t>
      </w:r>
    </w:p>
    <w:p>
      <w:pPr>
        <w:pStyle w:val="NoSpacing"/>
        <w:ind w:right="0" w:firstLine="708"/>
        <w:jc w:val="both"/>
        <w:rPr/>
      </w:pPr>
      <w:r>
        <w:rPr>
          <w:rFonts w:ascii="Times New Roman" w:hAnsi="Times New Roman" w:cs="Times New Roman"/>
          <w:color w:val="000000"/>
          <w:sz w:val="24"/>
          <w:szCs w:val="24"/>
        </w:rPr>
        <w:t>Raportat la obiectul acțiunii de față, nu Ministerul Finanțelor are calitatea de autoritate care a emis O.U.G. nr. 130/2021 privind unele măsuri fiscal- bugetare, prorogarea unor termene, precum și pentru modificarea și completarea unor acte normative.</w:t>
      </w:r>
      <w:r>
        <w:rPr>
          <w:rFonts w:ascii="Times New Roman" w:hAnsi="Times New Roman" w:cs="Times New Roman"/>
          <w:sz w:val="24"/>
          <w:szCs w:val="24"/>
        </w:rPr>
        <w:t xml:space="preserve"> </w:t>
      </w:r>
      <w:r>
        <w:rPr>
          <w:rFonts w:ascii="Times New Roman" w:hAnsi="Times New Roman" w:cs="Times New Roman"/>
          <w:color w:val="000000"/>
          <w:sz w:val="24"/>
          <w:szCs w:val="24"/>
        </w:rPr>
        <w:t>În cauză, raporturile juridice nu s-au creat între reclamant și Ministerul Finanțelor conform art. 1 și 8 din Legea nr. 554/2004. De asemenea, Ministerul Finanțelor nu a emis niciun act a cărui anulare să se solicite.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Așa cum se poate observa din analiza cererii de chemare în judecată, actul normativ în raport de conținutul căruia reclamantul a solicitat acordarea de despăgubiri (O.U.G. nr. 130/2021 privind unele măsuri fiscal-bugetare, prorogarea unor termene, precum și pentru modificarea și completarea unor acte normative) a fost emis de Guvernul României.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De asemenea, trebuie reținut că potrivit art. 1 alin. (1) din H.G. nr. 34/2009 privind organizarea și funcționarea Ministerului Finanțelor, cu modificările și completările ulterioare, „Ministerul Finanțelor se organizază și funcționează ca organ de specialitate al administrației publice centrale, cu personalitate juridică, în subordinea Guvernului, care aplică strategia și Programul de guvernare în domeniul finanțelor publice”.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In condițiile în care din cererea de chemare în judecată nu rezultă care este actul administrativ emis de Ministerul Finanțelor care să fi produs reclamantului o vătămare într-un drept recunoscut de lege sau într-un interes legitim, rezultă că acest parat nu are calitate procesuală pasivă în cauza de față.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Totodată, trebuie avut în vedere faptul că, potrivit art. 1 alin. (1) din H.G. nr. 137/2020 privind organizarea, funcționarea și atribuțiile unor structuri din cadrul aparatului de lucru al Guvernului, „Secretariatul General al Guvernului se organizează și funcționează ca instituție publică cu personalitate juridică în subordinea prim-ministrului, având rolul de a asigura derularea operațiunilor tehnice și de strategie aferente actelor de guvernare, rezolvarea problemelor organizatorice, juridice, economice și tehnice ale activității Guvernului, ale prim- ministrului, precum și reprezentarea Guvernului și a prim-ministrului în fața instanțelor judecătorești”.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Prin urmare, este evident că în mod greșit reclamantul s-a îndreptat prin acțiunea formulată împotriva Direcției Generale Regionale a Finanțelor Publice A1-Administratia Județeană a Finanțelor Publice A2, motiv pentru care a solicitat admiterea excepției lipsei calității procesuale pasive a acestor parați in prezenta cauză și, in principal, scoaterea lor din cauză , iar în subsidiar, respingerea acțiunii ca fiind introdusă împotriva unei persoane lipsite de calitate procesuală pasivă.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Avand in vedere Ordonanța de urgenta nr. 4/2023 privind stabilirea unor măsuri de restituire a unor contribuții de asigurări sociale de sănătate, publicata în Monitorul Oficial, Partea I nr. 138 din 17 februarie 2023, a apreciat ca prezenta cerere este ramasa fara obiect</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Excepția lipsei obiectului cererii este întemeiata motivat de faptul ca prin actul normativ mai sus menționat s-a reglementat modalitatea de restituire a sumelor reprezentând contribuțiile de asigurări sociale de sănătate reținute în temeiul normelor declarate neconstituționale prin Decizia nr.650/2022 a Curții Constitutionale , astfel încât procesul să se desfășoare într-un interval de timp rezonabil și să poată fi susținut de la bugetul de stat.</w:t>
      </w:r>
    </w:p>
    <w:p>
      <w:pPr>
        <w:pStyle w:val="NoSpacing"/>
        <w:ind w:right="0" w:firstLine="708"/>
        <w:jc w:val="both"/>
        <w:rPr/>
      </w:pPr>
      <w:r>
        <w:rPr>
          <w:rFonts w:ascii="Times New Roman" w:hAnsi="Times New Roman" w:cs="Times New Roman"/>
          <w:color w:val="000000"/>
          <w:sz w:val="24"/>
          <w:szCs w:val="24"/>
        </w:rPr>
        <w:t>Astfel, potrivit dispozițiilor prevăzute la art.1 alin (1) : Sumele reținute din veniturile din pensii realizate de persoanele fizice, cu titlu de contribuții de asigurări sociale de sănătate de la data de 1 ianuarie 2022 până la data de 27 decembrie 2022 inclusiv, se restituie lunar în perioada 1 martie 2023-28 februarie 2024, după recalcularea venitului impozabil corespunzător lunilor pentru care se efectuează restituirea, în conformitate cu prevederile Legii nr. 227/2015 privind Codul fiscal, cu modificările și completările ulterioare, și reținerea diferențelor de impozit pe venit datorate.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In consecința, a solicitat admiterea excepțiilor invocate, iar pe fond respingerea acțiunii.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În drept, a invocat dispozițiile art.205 - 208 Cod procedură civilă.</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solicitat judecarea si in lipsa, in conformitate cu dispozițiile art. 223 coroborate cu dispozițiile art. 441 alin. 2 Cod procedura civila.</w:t>
      </w:r>
    </w:p>
    <w:p>
      <w:pPr>
        <w:pStyle w:val="NoSpacing"/>
        <w:ind w:right="0" w:firstLine="708"/>
        <w:jc w:val="both"/>
        <w:rPr/>
      </w:pPr>
      <w:r>
        <w:rPr>
          <w:rFonts w:ascii="Times New Roman" w:hAnsi="Times New Roman" w:cs="Times New Roman"/>
          <w:b/>
          <w:bCs/>
          <w:i/>
          <w:iCs/>
          <w:color w:val="000000"/>
          <w:sz w:val="24"/>
          <w:szCs w:val="24"/>
        </w:rPr>
        <w:t>La data de 05 aprilie 2023, pârâta Casa Județeană de Pensii... a depus întâmpinare</w:t>
      </w:r>
      <w:r>
        <w:rPr>
          <w:rFonts w:ascii="Times New Roman" w:hAnsi="Times New Roman" w:cs="Times New Roman"/>
          <w:color w:val="000000"/>
          <w:sz w:val="24"/>
          <w:szCs w:val="24"/>
        </w:rPr>
        <w:t xml:space="preserve"> prin care a solicitat respingerea acțiunii.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invocat excepția lipsei calitătii procesuale pasive a Casei Teritoriale de Pensii..., arătând că reclamantul, care figurează in evidentele Casei Teritoriale de Pensii... ca beneficiar al unei pensii stabilite in temeiul Legii nr.263/2010, solicita obligarea instituției la restituirea sumelor reținute din pensie cu titlu de asigurări sociale de sanatate.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precizat ca aceasta contribuție nu se realizează venit la bugetul asigurărilor sociale de stat, ci la bugetul asigurărilor sociale de sanatate.</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Casa Naționala de Pensii Publice, prin casele teritoriale de pensii, doar au calculat si au retinut la sursa contribuțiile de asigurări de sanatate, pe care, ulterior, le-au virat către Casa Naționala de Asigurări de Sanatate, in bugetul asigurărilor sociale de sanatate.</w:t>
      </w:r>
    </w:p>
    <w:p>
      <w:pPr>
        <w:pStyle w:val="NoSpacing"/>
        <w:ind w:right="0" w:firstLine="708"/>
        <w:jc w:val="both"/>
        <w:rPr/>
      </w:pPr>
      <w:r>
        <w:rPr>
          <w:rFonts w:ascii="Times New Roman" w:hAnsi="Times New Roman" w:cs="Times New Roman"/>
          <w:sz w:val="24"/>
          <w:szCs w:val="24"/>
        </w:rPr>
        <w:t>Prin urmare, atat timp cat contribuția de asigurări</w:t>
      </w:r>
      <w:r>
        <w:rPr>
          <w:rFonts w:ascii="Times New Roman" w:hAnsi="Times New Roman" w:cs="Times New Roman"/>
          <w:color w:val="000000"/>
          <w:sz w:val="24"/>
          <w:szCs w:val="24"/>
        </w:rPr>
        <w:t xml:space="preserve"> sociale de sanatate nu s-a făcut venit la bugetul asigurărilor sociale de stat, ci la bugetul asigurărilor sociale de sanatate, subscrisa nu poate restitui sume pe care nu le-a incasat.</w:t>
      </w:r>
    </w:p>
    <w:p>
      <w:pPr>
        <w:pStyle w:val="NoSpacing"/>
        <w:ind w:right="0" w:firstLine="708"/>
        <w:jc w:val="both"/>
        <w:rPr/>
      </w:pPr>
      <w:r>
        <w:rPr>
          <w:rFonts w:ascii="Times New Roman" w:hAnsi="Times New Roman" w:cs="Times New Roman"/>
          <w:color w:val="000000"/>
          <w:sz w:val="24"/>
          <w:szCs w:val="24"/>
        </w:rPr>
        <w:t>Reținerea si virarea contribuției de asigurări de sanatate s-a făcut in conformitate cu dispozițiile art. 153, alin.(l), lit.f</w:t>
      </w:r>
      <w:r>
        <w:rPr>
          <w:rFonts w:ascii="Times New Roman" w:hAnsi="Times New Roman" w:cs="Times New Roman"/>
          <w:color w:val="000000"/>
          <w:sz w:val="24"/>
          <w:szCs w:val="24"/>
          <w:vertAlign w:val="superscript"/>
        </w:rPr>
        <w:t>2</w:t>
      </w:r>
      <w:r>
        <w:rPr>
          <w:rFonts w:ascii="Times New Roman" w:hAnsi="Times New Roman" w:cs="Times New Roman"/>
          <w:color w:val="000000"/>
          <w:sz w:val="24"/>
          <w:szCs w:val="24"/>
        </w:rPr>
        <w:t>), art.155, alin.(l) lit.a</w:t>
      </w:r>
      <w:r>
        <w:rPr>
          <w:rFonts w:ascii="Times New Roman" w:hAnsi="Times New Roman" w:cs="Times New Roman"/>
          <w:color w:val="000000"/>
          <w:sz w:val="24"/>
          <w:szCs w:val="24"/>
          <w:vertAlign w:val="superscript"/>
        </w:rPr>
        <w:t>1</w:t>
      </w:r>
      <w:r>
        <w:rPr>
          <w:rFonts w:ascii="Times New Roman" w:hAnsi="Times New Roman" w:cs="Times New Roman"/>
          <w:color w:val="000000"/>
          <w:sz w:val="24"/>
          <w:szCs w:val="24"/>
        </w:rPr>
        <w:t>) si urm.din Codul Fiscal, care prevăd categoriile de contribuabili, precum si veniturile supuse contribuției de asigurări sociale de sanatate.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Totodată, potrivit dispozițiilor art.220 din Legea nr.95/2006 privind reforma in domeniul sanatatii, actualizata, Fondul unic de asigurări sociale de sanatate, este un fond special care se constituie si se utilizează potrivit acestei legi, iar constituirea fondului se face din contribuția de asigurări sociale de sanatate, suportata de asigurați.</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De asemenea, potrivit aceleiași dispoziții legale, gestionarea fondului se face, in condițiile legii, prin Casa Naționala de Asigurări de Sanatate.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In consecința, nu casele teritoriale de pensii au competente legale privind activitatea de administrare a creanțelor provenind din contribuții de asigurări de sanatate, sens in care o eventuala obligație de restituire a sumelor reținute din pensie cu titlu de contribuție de asigurări sociale de sanatate nu poale fi dispusa in sarcina sa.</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Mai mult decât atat, prin instituirea unei eventuale obligații de restituire, s-ar crea o prejudiciere a bugetului asigurărilor sociale de stat, atata vreme cat aceste sume, conform dispozițiilor legale in vigoare, sunt venituri la Fondul national unic de asigurări de sanatate, motiv pentru care a consideraat întemeiata excepția invocata, Casa Naționala de Asigurări Sociale de Sanatate fiind instituția care ar trebui obligata la restituirea sumelor reținute cu titlu de asigurări sociale de sanatate din pensia reclamantului.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temeiul art. 147 alin. (4) din Constituția României, republicată, începând cu data de 28 decembrie 2022, nu se mai reține contribuția de asigurări sociale de sănătate pentru veniturile din pensii, pentru partea care depășește suma lunară de 4.000 lei pentru fiecare drept de pensie.</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Având în vedere că la această dată s-a încheiat achitarea drepturilor de pensie aferente lunii decembrie 2022 și procedura plății drepturilor de pensie aferente lunii ianuarie 2023 a fost finalizată (tipărirea documentațiilor de plată și transmiterea în teritoriu a sumelor), CNPP a implementat Decizia Curții Constituționale prin neaplicarea contribuției de asigurări sociale de sănătate și restituirea sumelor reținute cu acest titlu de la data publicării Deciziei, începând cu luna februarie 2023.</w:t>
      </w:r>
    </w:p>
    <w:p>
      <w:pPr>
        <w:pStyle w:val="NoSpacing"/>
        <w:ind w:right="0" w:firstLine="708"/>
        <w:jc w:val="both"/>
        <w:rPr/>
      </w:pPr>
      <w:r>
        <w:rPr>
          <w:rFonts w:ascii="Times New Roman" w:hAnsi="Times New Roman" w:cs="Times New Roman"/>
          <w:color w:val="000000"/>
          <w:sz w:val="24"/>
          <w:szCs w:val="24"/>
        </w:rPr>
        <w:t>Conform OG 4/2023 sumele reținute, cu titlul de contribuții de asigurări sociale de sănătate, de la data de 1.01.2022 până la data de 27.12.2022 inclusiv, din veniturile din pensii realizate de persoanele fizice, se restituie în tranșe lunare în perioada 1 martie 2023 - 28 februarie 2024. după recalcularea venitului impozabil lunar corespunzător lunilor pentru care se efectuează restituirea. Restituirea sumelor reținute se face, din oficiu, de către Casa Națională de Pensii Publice, prin casele teritoriale de pensii, precum și de către casele de pensii sectoriale și de către entitățile care plătesc venituri din pensii.In condițiile aratate mai sus, cererea reclamantilor a ramas fara obiect.</w:t>
      </w:r>
    </w:p>
    <w:p>
      <w:pPr>
        <w:pStyle w:val="NoSpacing"/>
        <w:ind w:right="0" w:firstLine="708"/>
        <w:jc w:val="both"/>
        <w:rPr>
          <w:rFonts w:ascii="Times New Roman" w:hAnsi="Times New Roman" w:cs="Times New Roman"/>
          <w:sz w:val="24"/>
          <w:szCs w:val="24"/>
        </w:rPr>
      </w:pPr>
      <w:r>
        <w:rPr>
          <w:rFonts w:ascii="Times New Roman" w:hAnsi="Times New Roman" w:cs="Times New Roman"/>
          <w:color w:val="000000"/>
          <w:sz w:val="24"/>
          <w:szCs w:val="24"/>
        </w:rPr>
        <w:t>Pentru aceste motive, a solicitat respingerea acțiunii ca fiind ramasa fara obiect.</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 solicitat judecarea cauzei si in lipsa.</w:t>
      </w:r>
    </w:p>
    <w:p>
      <w:pPr>
        <w:pStyle w:val="NoSpacing"/>
        <w:ind w:right="0" w:firstLine="720"/>
        <w:jc w:val="both"/>
        <w:rPr>
          <w:rFonts w:ascii="Times New Roman" w:hAnsi="Times New Roman" w:cs="Times New Roman"/>
          <w:b/>
          <w:bCs/>
          <w:i/>
          <w:i/>
          <w:iCs/>
          <w:color w:val="000000"/>
          <w:sz w:val="24"/>
          <w:szCs w:val="24"/>
        </w:rPr>
      </w:pPr>
      <w:r>
        <w:rPr>
          <w:rFonts w:ascii="Times New Roman" w:hAnsi="Times New Roman" w:cs="Times New Roman"/>
          <w:b/>
          <w:bCs/>
          <w:i/>
          <w:iCs/>
          <w:color w:val="000000"/>
          <w:sz w:val="24"/>
          <w:szCs w:val="24"/>
        </w:rPr>
        <w:t>Analizând acțiunea dedusă judecății prin prisma susținerilor părților, a înscrisurilor depuse la dosar și în raport de legislația incidentă în cauză, instanța o apreciază ca fiind întemeiată, pentru considerentele ce vor fi expuse în continuare:</w:t>
      </w:r>
    </w:p>
    <w:p>
      <w:pPr>
        <w:pStyle w:val="NoSpacing"/>
        <w:ind w:right="0" w:firstLine="708"/>
        <w:jc w:val="both"/>
        <w:rPr/>
      </w:pPr>
      <w:r>
        <w:rPr>
          <w:rFonts w:ascii="Times New Roman" w:hAnsi="Times New Roman" w:cs="Times New Roman"/>
          <w:color w:val="000000"/>
          <w:sz w:val="24"/>
          <w:szCs w:val="24"/>
          <w:shd w:val="clear" w:fill="FFFFFF"/>
        </w:rPr>
        <w:t>Prin cererea de chemare în judecată, astfel cum a fost modificată, reclamantul a solicitat</w:t>
      </w:r>
      <w:r>
        <w:rPr>
          <w:rFonts w:ascii="Times New Roman" w:hAnsi="Times New Roman" w:cs="Times New Roman"/>
          <w:color w:val="000000"/>
          <w:sz w:val="24"/>
          <w:szCs w:val="24"/>
        </w:rPr>
        <w:t xml:space="preserve"> obligarea pârâților la plata unei despăgubiri egale cu sumele reținute cu titlu de contribuție la Asigurările Sociale de Sănătate (CASS), în procent de 10% aplicat asupra valorii din pensie care depășește limita de 4.000 lei, respectiv în total suma de 1908 lei (159 lei lunar x 12 luni), sumă reținută cu titlu de CASS din pensie, aferentă perioadei ianuarie - decembrie 2022, sume care vor fi actualizate cu indicele de inflație si cu dobanda legală penalizatoare, începând de la data fiecărei rețineri si până la data restituirii efective și plata cheltuielilor de judecată reprezentând taxa judiciară de timbru achitată.</w:t>
      </w:r>
    </w:p>
    <w:p>
      <w:pPr>
        <w:pStyle w:val="Normal"/>
        <w:ind w:right="0" w:firstLine="720"/>
        <w:jc w:val="both"/>
        <w:rPr>
          <w:rFonts w:eastAsia="NSimSun"/>
          <w:bCs/>
          <w:i/>
          <w:i/>
          <w:color w:val="000000"/>
          <w:kern w:val="2"/>
          <w:lang w:eastAsia="zh-CN" w:bidi="hi-IN"/>
        </w:rPr>
      </w:pPr>
      <w:r>
        <w:rPr>
          <w:rFonts w:eastAsia="NSimSun"/>
          <w:bCs/>
          <w:i/>
          <w:color w:val="000000"/>
          <w:kern w:val="2"/>
          <w:lang w:eastAsia="zh-CN" w:bidi="hi-IN"/>
        </w:rPr>
        <w:t>Analizând cu prioritate, în raport de dispoziţiile art. 248 Cod Procedură Civilă, excepţiile procesuale invocate în cauză, Curtea urmează a le respinge, potrivit considerentelor ce vor fi expuse în continuare:</w:t>
      </w:r>
    </w:p>
    <w:p>
      <w:pPr>
        <w:pStyle w:val="NoSpacing"/>
        <w:ind w:right="0" w:firstLine="708"/>
        <w:jc w:val="both"/>
        <w:rPr/>
      </w:pPr>
      <w:r>
        <w:rPr>
          <w:rFonts w:ascii="Times New Roman" w:hAnsi="Times New Roman" w:cs="Times New Roman"/>
          <w:i/>
          <w:iCs/>
          <w:sz w:val="24"/>
          <w:szCs w:val="24"/>
        </w:rPr>
        <w:t>În ceea ce privește excepția lipsei de obiect</w:t>
      </w:r>
      <w:r>
        <w:rPr>
          <w:rFonts w:ascii="Times New Roman" w:hAnsi="Times New Roman" w:cs="Times New Roman"/>
          <w:sz w:val="24"/>
          <w:szCs w:val="24"/>
        </w:rPr>
        <w:t xml:space="preserve"> a cererii de chemare în judecată în raport de adoptarea OUG nr. 4/2023, instanța </w:t>
      </w:r>
      <w:r>
        <w:rPr>
          <w:rFonts w:ascii="Times New Roman" w:hAnsi="Times New Roman" w:cs="Times New Roman"/>
          <w:color w:val="000000"/>
          <w:sz w:val="24"/>
          <w:szCs w:val="24"/>
        </w:rPr>
        <w:t>observă o diferenţă între obiectul acţiunii astfel cum a fost dedus judecății şi sfera obligaţiei de restituire stabilită prin acest act.</w:t>
      </w:r>
    </w:p>
    <w:p>
      <w:pPr>
        <w:pStyle w:val="NoSpacing"/>
        <w:ind w:right="0" w:firstLine="708"/>
        <w:jc w:val="both"/>
        <w:rPr/>
      </w:pPr>
      <w:r>
        <w:rPr>
          <w:rFonts w:ascii="Times New Roman" w:hAnsi="Times New Roman" w:cs="Times New Roman"/>
          <w:color w:val="000000"/>
          <w:sz w:val="24"/>
          <w:szCs w:val="24"/>
        </w:rPr>
        <w:t>În primul rând, este de subliniat că reclamantul a solicitat nu numai obligarea pârâților la restituirea sumelor reprezentând contribuţia pentru asigurări sociale de sănătate reţinută în baza </w:t>
      </w:r>
      <w:hyperlink w:tgtFrame="_blank" w:anchor="/dokument/17004369/2023-02-11?cm=DOCUMENT" r:id="rId2">
        <w:r>
          <w:rPr>
            <w:rStyle w:val="Hyperlink"/>
            <w:rFonts w:ascii="Times New Roman" w:hAnsi="Times New Roman" w:cs="Times New Roman"/>
            <w:color w:val="000000"/>
          </w:rPr>
          <w:t>O.U.G. nr. 130/2021,</w:t>
        </w:r>
      </w:hyperlink>
      <w:r>
        <w:rPr>
          <w:rFonts w:ascii="Times New Roman" w:hAnsi="Times New Roman" w:cs="Times New Roman"/>
          <w:color w:val="000000"/>
          <w:sz w:val="24"/>
          <w:szCs w:val="24"/>
        </w:rPr>
        <w:t> dar şi dobânda legală şi actualizarea sumelor reprezentând debitul principal. Aşadar, nu există identitate de obiect între obligaţia de restituire stabilită de </w:t>
      </w:r>
      <w:hyperlink w:tgtFrame="_blank" w:anchor="/dokument/17015850?cm=DOCUMENT" r:id="rId3">
        <w:r>
          <w:rPr>
            <w:rStyle w:val="Hyperlink"/>
            <w:rFonts w:ascii="Times New Roman" w:hAnsi="Times New Roman" w:cs="Times New Roman"/>
            <w:color w:val="000000"/>
          </w:rPr>
          <w:t>O.U.G. nr. 4/2023</w:t>
        </w:r>
      </w:hyperlink>
      <w:r>
        <w:rPr>
          <w:rFonts w:ascii="Times New Roman" w:hAnsi="Times New Roman" w:cs="Times New Roman"/>
          <w:color w:val="000000"/>
          <w:sz w:val="24"/>
          <w:szCs w:val="24"/>
        </w:rPr>
        <w:t> în sarcina Casei Naţionale de Pensii Publice şi pretenţiile din prezenta acţiune în justiţie, formulate în temeiul art. </w:t>
      </w:r>
      <w:hyperlink w:tgtFrame="_blank" w:anchor="/dokument/16856600/2023-02-20?unitId=art(9)&amp;cm=DOCUMENT" r:id="rId4">
        <w:r>
          <w:rPr>
            <w:rStyle w:val="Hyperlink"/>
            <w:rFonts w:ascii="Times New Roman" w:hAnsi="Times New Roman" w:cs="Times New Roman"/>
            <w:color w:val="000000"/>
          </w:rPr>
          <w:t>9</w:t>
        </w:r>
      </w:hyperlink>
      <w:r>
        <w:rPr>
          <w:rFonts w:ascii="Times New Roman" w:hAnsi="Times New Roman" w:cs="Times New Roman"/>
          <w:color w:val="000000"/>
          <w:sz w:val="24"/>
          <w:szCs w:val="24"/>
        </w:rPr>
        <w:t> din </w:t>
      </w:r>
      <w:hyperlink w:tgtFrame="_blank" w:anchor="/dokument/16856600/2023-02-20?cm=DOCUMENT" r:id="rId5">
        <w:r>
          <w:rPr>
            <w:rStyle w:val="Hyperlink"/>
            <w:rFonts w:ascii="Times New Roman" w:hAnsi="Times New Roman" w:cs="Times New Roman"/>
            <w:color w:val="000000"/>
          </w:rPr>
          <w:t>Legea contenciosului administrativ nr. 554/2004.</w:t>
        </w:r>
      </w:hyperlink>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În al doilea rând, nu numai că nu există o identitate de obiect, dar instanţa reţine că aceste pretenţii nu au fost satisfăcute, respectiv prestaţiile pretinse de reclamant nu au fost executate de Guvernul României sau de altă autoritate publică, ceea ce exclude incidenţa excepţiei lipsei obiectului acţiunii în justiţie.</w:t>
      </w:r>
    </w:p>
    <w:p>
      <w:pPr>
        <w:pStyle w:val="NoSpacing"/>
        <w:ind w:right="0" w:firstLine="708"/>
        <w:jc w:val="both"/>
        <w:rPr/>
      </w:pPr>
      <w:r>
        <w:rPr>
          <w:rFonts w:ascii="Times New Roman" w:hAnsi="Times New Roman" w:cs="Times New Roman"/>
          <w:color w:val="000000"/>
          <w:sz w:val="24"/>
          <w:szCs w:val="24"/>
        </w:rPr>
        <w:t>De aceea, instanţa nu poate reţine ca fiind rămasă fără obiect cererea de obligare a pârâților la restituirea contribuţiei pentru asigurări sociale de sănătate reţinut în baza </w:t>
      </w:r>
      <w:hyperlink w:tgtFrame="_blank" w:anchor="/dokument/17004369/2023-02-11?cm=DOCUMENT" r:id="rId6">
        <w:r>
          <w:rPr>
            <w:rStyle w:val="Hyperlink"/>
            <w:rFonts w:ascii="Times New Roman" w:hAnsi="Times New Roman" w:cs="Times New Roman"/>
            <w:color w:val="000000"/>
          </w:rPr>
          <w:t>O.U.G. nr. 130/2021,</w:t>
        </w:r>
      </w:hyperlink>
      <w:r>
        <w:rPr>
          <w:rFonts w:ascii="Times New Roman" w:hAnsi="Times New Roman" w:cs="Times New Roman"/>
          <w:color w:val="000000"/>
          <w:sz w:val="24"/>
          <w:szCs w:val="24"/>
        </w:rPr>
        <w:t> în contextul în care acest prejudiciu nu a fost reparat până la momentul pronunţării prezentei hotărâri.</w:t>
      </w:r>
    </w:p>
    <w:p>
      <w:pPr>
        <w:pStyle w:val="NoSpacing"/>
        <w:ind w:right="0" w:firstLine="708"/>
        <w:jc w:val="both"/>
        <w:rPr/>
      </w:pPr>
      <w:r>
        <w:rPr>
          <w:rFonts w:ascii="Times New Roman" w:hAnsi="Times New Roman" w:cs="Times New Roman"/>
          <w:color w:val="000000"/>
          <w:sz w:val="24"/>
          <w:szCs w:val="24"/>
        </w:rPr>
        <w:t>În acest sens, instanţa arată că excepţia lipsei de obiect nu este reglementată în mod expres de </w:t>
      </w:r>
      <w:hyperlink w:tgtFrame="_blank" w:anchor="/dokument/16910520/2023-03-09?cm=DOCUMENT" r:id="rId7">
        <w:r>
          <w:rPr>
            <w:rStyle w:val="Hyperlink"/>
            <w:rFonts w:ascii="Times New Roman" w:hAnsi="Times New Roman" w:cs="Times New Roman"/>
            <w:color w:val="000000"/>
          </w:rPr>
          <w:t>Codul de Procedură Civilă</w:t>
        </w:r>
      </w:hyperlink>
      <w:r>
        <w:rPr>
          <w:rFonts w:ascii="Times New Roman" w:hAnsi="Times New Roman" w:cs="Times New Roman"/>
          <w:color w:val="000000"/>
          <w:sz w:val="24"/>
          <w:szCs w:val="24"/>
        </w:rPr>
        <w:t>, lipsa obiectului presupunând, în principiu, inexistenţa fizică a bunurilor pretinse prin cererea de chemare în judecată sau obţinerea de către reclamant a drepturilor pretinse, nefiind însă suficientă recunoaşterea acestor drepturi.</w:t>
      </w:r>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Prin urmare, lipsa obiectului implică în mod necesar nu numai recunoaşterea pretenţiilor reclamantului de către partea litigantă adversă, dar şi executarea obligaţiilor pretinse, confundându-se, sub acest aspect, cu excepţia lipsei interesului procesual, care implică absenţa unui folos practic prin exercitarea acţiunii în justiţie, cu precizarea că lipsa interesului poate fi cauzată şi de alte împrejurări decât realizarea pretenţiei reclamantului, cum ar fi lipsa de efecte juridice a actului contestat.</w:t>
      </w:r>
    </w:p>
    <w:p>
      <w:pPr>
        <w:pStyle w:val="NoSpacing"/>
        <w:ind w:right="0" w:firstLine="708"/>
        <w:jc w:val="both"/>
        <w:rPr/>
      </w:pPr>
      <w:r>
        <w:rPr>
          <w:rFonts w:ascii="Times New Roman" w:hAnsi="Times New Roman" w:cs="Times New Roman"/>
          <w:color w:val="000000"/>
          <w:sz w:val="24"/>
          <w:szCs w:val="24"/>
        </w:rPr>
        <w:t>Din acest punct de vedere, instanţa îşi însuşeşte observaţiile teoretice formulate de instanţa supremă prin Decizia nr. 21/2016, pronunţată de Secţia de  Contencios Administrativ si Fiscal a Înaltei Curți de Casaţie şi Justiţie, în care s-a reţinut că „Practica judiciară a consacrat soluţia de respingere a cererii ca rămasă fără obiect, atunci când ceea ce s-a dedus judecăţii a fost deja executat de pârât (pârâţi) de bună voie, înainte de finalizarea procesului, urmare a unei împrejurări intervenite ulterior introducerii cererii de chemare în judecată.”</w:t>
      </w:r>
    </w:p>
    <w:p>
      <w:pPr>
        <w:pStyle w:val="NoSpacing"/>
        <w:ind w:right="0" w:firstLine="708"/>
        <w:jc w:val="both"/>
        <w:rPr/>
      </w:pPr>
      <w:r>
        <w:rPr>
          <w:rFonts w:ascii="Times New Roman" w:hAnsi="Times New Roman" w:cs="Times New Roman"/>
          <w:color w:val="000000"/>
          <w:sz w:val="24"/>
          <w:szCs w:val="24"/>
        </w:rPr>
        <w:t>În speţă, instanţa reţine că, în condiţiile în care reclamantul nu a obţinut prestaţia pretinsă, respectiv restituirea sumelor reprezentând contribuţia pentru asigurări sociale de sănătate reţinută din pensie  în baza </w:t>
      </w:r>
      <w:hyperlink w:tgtFrame="_blank" w:anchor="/dokument/17004369/2023-02-11?cm=DOCUMENT" r:id="rId8">
        <w:r>
          <w:rPr>
            <w:rStyle w:val="Hyperlink"/>
            <w:rFonts w:ascii="Times New Roman" w:hAnsi="Times New Roman" w:cs="Times New Roman"/>
            <w:color w:val="000000"/>
          </w:rPr>
          <w:t>O.U.G. nr. 130/2021</w:t>
        </w:r>
      </w:hyperlink>
      <w:r>
        <w:rPr>
          <w:rFonts w:ascii="Times New Roman" w:hAnsi="Times New Roman" w:cs="Times New Roman"/>
          <w:color w:val="000000"/>
          <w:sz w:val="24"/>
          <w:szCs w:val="24"/>
        </w:rPr>
        <w:t>, este evident că obiectul cererii de chemare în judecată nu a fost realizat, chiar dacă prin intrarea în vigoare a </w:t>
      </w:r>
      <w:hyperlink w:tgtFrame="_blank" w:anchor="/dokument/17015850?cm=DOCUMENT" r:id="rId9">
        <w:r>
          <w:rPr>
            <w:rStyle w:val="Hyperlink"/>
            <w:rFonts w:ascii="Times New Roman" w:hAnsi="Times New Roman" w:cs="Times New Roman"/>
            <w:color w:val="000000"/>
          </w:rPr>
          <w:t>O.U.G. nr. 4/2023</w:t>
        </w:r>
      </w:hyperlink>
      <w:r>
        <w:rPr>
          <w:rFonts w:ascii="Times New Roman" w:hAnsi="Times New Roman" w:cs="Times New Roman"/>
          <w:color w:val="000000"/>
          <w:sz w:val="24"/>
          <w:szCs w:val="24"/>
        </w:rPr>
        <w:t xml:space="preserve"> s-a dispus restituirea sumelor pretinse.</w:t>
      </w:r>
    </w:p>
    <w:p>
      <w:pPr>
        <w:pStyle w:val="NoSpacing"/>
        <w:ind w:right="0" w:firstLine="708"/>
        <w:jc w:val="both"/>
        <w:rPr/>
      </w:pPr>
      <w:r>
        <w:rPr>
          <w:rFonts w:ascii="Times New Roman" w:hAnsi="Times New Roman" w:cs="Times New Roman"/>
          <w:color w:val="000000"/>
          <w:sz w:val="24"/>
          <w:szCs w:val="24"/>
        </w:rPr>
        <w:t>De altfel, instanţa admite că reclamantul nu poate beneficia de o dublă restituire a aceluiaşi prejudiciu, care ar constitui o îmbogăţire fără justă cauză, însă nu se poate reţine că intrarea în vigoare a </w:t>
      </w:r>
      <w:hyperlink w:tgtFrame="_blank" w:anchor="/dokument/17015850?cm=DOCUMENT" r:id="rId10">
        <w:r>
          <w:rPr>
            <w:rStyle w:val="Hyperlink"/>
            <w:rFonts w:ascii="Times New Roman" w:hAnsi="Times New Roman" w:cs="Times New Roman"/>
            <w:color w:val="000000"/>
          </w:rPr>
          <w:t>O.U.G. nr. 4/2023</w:t>
        </w:r>
      </w:hyperlink>
      <w:r>
        <w:rPr>
          <w:rFonts w:ascii="Times New Roman" w:hAnsi="Times New Roman" w:cs="Times New Roman"/>
          <w:color w:val="000000"/>
          <w:sz w:val="24"/>
          <w:szCs w:val="24"/>
        </w:rPr>
        <w:t> ar împiedica exercitarea acţiunii în repararea prejudiciului pricinuit prin ordonanţe de guvern declarate neconstituţionale, astfel cum este reglementată de art. </w:t>
      </w:r>
      <w:hyperlink w:tgtFrame="_blank" w:anchor="/dokument/16856600/2023-02-20?unitId=art(9)&amp;cm=DOCUMENT" r:id="rId11">
        <w:r>
          <w:rPr>
            <w:rStyle w:val="Hyperlink"/>
            <w:rFonts w:ascii="Times New Roman" w:hAnsi="Times New Roman" w:cs="Times New Roman"/>
            <w:color w:val="000000"/>
          </w:rPr>
          <w:t>9</w:t>
        </w:r>
      </w:hyperlink>
      <w:r>
        <w:rPr>
          <w:rFonts w:ascii="Times New Roman" w:hAnsi="Times New Roman" w:cs="Times New Roman"/>
          <w:color w:val="000000"/>
          <w:sz w:val="24"/>
          <w:szCs w:val="24"/>
        </w:rPr>
        <w:t> din </w:t>
      </w:r>
      <w:hyperlink w:tgtFrame="_blank" w:anchor="/dokument/16856600/2023-02-20?cm=DOCUMENT" r:id="rId12">
        <w:r>
          <w:rPr>
            <w:rStyle w:val="Hyperlink"/>
            <w:rFonts w:ascii="Times New Roman" w:hAnsi="Times New Roman" w:cs="Times New Roman"/>
            <w:color w:val="000000"/>
          </w:rPr>
          <w:t>Legea nr. 554/2004.</w:t>
        </w:r>
      </w:hyperlink>
    </w:p>
    <w:p>
      <w:pPr>
        <w:pStyle w:val="NoSpacing"/>
        <w:ind w:right="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Aşadar, instanţa va respinge excepţia lipsei de obiect ca neîntemeiată.</w:t>
      </w:r>
    </w:p>
    <w:p>
      <w:pPr>
        <w:pStyle w:val="NoSpacing"/>
        <w:ind w:right="0" w:firstLine="708"/>
        <w:jc w:val="both"/>
        <w:rPr/>
      </w:pPr>
      <w:r>
        <w:rPr>
          <w:rFonts w:ascii="Times New Roman" w:hAnsi="Times New Roman" w:cs="Times New Roman"/>
          <w:i/>
          <w:iCs/>
          <w:sz w:val="24"/>
          <w:szCs w:val="24"/>
        </w:rPr>
        <w:t>În ceea ce privește excepția calității procesuale pasive a pârâtei Casa Teritorială de Pensii...</w:t>
      </w:r>
      <w:r>
        <w:rPr>
          <w:rFonts w:ascii="Times New Roman" w:hAnsi="Times New Roman" w:cs="Times New Roman"/>
          <w:sz w:val="24"/>
          <w:szCs w:val="24"/>
        </w:rPr>
        <w:t>, Curtea reaminteşte că, potrivit art. 36 teza I Cod Procedură, „calitatea procesuală rezultă din identitatea dintre părţi şi subiectele raportului juridic litigios, astfel cum acesta este dedus judecăţii".</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În cursul soluţionării litigiului a intrat în vigoare OUG nr. 4/2023 privind stabilirea unor măsuri de restituire a unor contribuţii de asigurări sociale de sănătate, publicată în Monitorul Oficial, Partea I, nr. 138 din 17 februarie 2023.</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Conform art. 1 alin. 1 din acest act normativ „(1) Sumele reţinute din veniturile din pensii realizate de persoanele fizice, cu titlu de contribuţii de asigurări sociale de sănătate de la data de 1 ianuarie 2022 până la data de 27 decembrie 2022 inclusiv, se restituie lunar în perioada 1 martie 2023-28 februarie 2024, după recalcularea venitului impozabil corespunzător lunilor pentru care se efectuează restituirea, în conformitate cu prevederile Legii nr. 227/2015  privind Codul Fiscal, cu modificările şi completările ulterioare, şi reţinerea diferenţelor de impozit pe venit datorate."</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Conform art. 2 alin. 1  „(1) Restituirea sumelor prevăzute la art. 1 se face, din oficiu, de către Casa Naţională de Pensii Publice, prin casele teritoriale de pensii, precum şi de către casele de pensii sectoriale şi de către entităţile care plătesc venituri din pensii."</w:t>
      </w:r>
    </w:p>
    <w:p>
      <w:pPr>
        <w:pStyle w:val="NoSpacing"/>
        <w:ind w:right="0" w:firstLine="708"/>
        <w:jc w:val="both"/>
        <w:rPr/>
      </w:pPr>
      <w:r>
        <w:rPr>
          <w:rFonts w:ascii="Times New Roman" w:hAnsi="Times New Roman" w:cs="Times New Roman"/>
          <w:color w:val="000000"/>
          <w:sz w:val="24"/>
          <w:szCs w:val="24"/>
        </w:rPr>
        <w:t>În aceste condiții,</w:t>
      </w:r>
      <w:r>
        <w:rPr>
          <w:rFonts w:ascii="Times New Roman" w:hAnsi="Times New Roman" w:cs="Times New Roman"/>
          <w:sz w:val="24"/>
          <w:szCs w:val="24"/>
        </w:rPr>
        <w:t xml:space="preserve"> Curtea constată că, în speță, sarcina restituirii revine autorităţii desemnate în acest sens, respectiv Casei Naţionale de Pensii Publice, prin casele teritoriale de pensii.</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Având în vedere că în prezenta cauză s-a solicitat repararea unui prejudiciu implicând restituirea unor sume ce incumbă pârâtei, Curtea reţine că aceasta are calitate procesuală pasivă în prezenta cauză, excepţia urmând a fi respinsă cu această motivare.</w:t>
      </w:r>
    </w:p>
    <w:p>
      <w:pPr>
        <w:pStyle w:val="NoSpacing"/>
        <w:ind w:right="0" w:firstLine="708"/>
        <w:jc w:val="both"/>
        <w:rPr/>
      </w:pPr>
      <w:r>
        <w:rPr>
          <w:rFonts w:ascii="Times New Roman" w:hAnsi="Times New Roman" w:cs="Times New Roman"/>
          <w:i/>
          <w:iCs/>
          <w:sz w:val="24"/>
          <w:szCs w:val="24"/>
        </w:rPr>
        <w:t xml:space="preserve">În ceea ce privește excepțiile lipsei calității procesuale a Ministerului Finanțelor - Direcția Generală Regională a Finanțelor Publice A1 - Administrația  Județeană a Finanțelor Publice A2 și a Agenției Naționale de Administrare Fiscală, </w:t>
      </w:r>
      <w:r>
        <w:rPr>
          <w:rFonts w:ascii="Times New Roman" w:hAnsi="Times New Roman" w:cs="Times New Roman"/>
          <w:sz w:val="24"/>
          <w:szCs w:val="24"/>
        </w:rPr>
        <w:t>Curtea le va respinge având în vedere următoarele dispoziții legale incidente:</w:t>
      </w:r>
    </w:p>
    <w:p>
      <w:pPr>
        <w:pStyle w:val="NoSpacing"/>
        <w:ind w:right="0" w:firstLine="708"/>
        <w:jc w:val="both"/>
        <w:rPr/>
      </w:pPr>
      <w:r>
        <w:rPr>
          <w:rFonts w:ascii="Times New Roman" w:hAnsi="Times New Roman" w:cs="Times New Roman"/>
          <w:color w:val="000000"/>
          <w:sz w:val="24"/>
          <w:szCs w:val="24"/>
        </w:rPr>
        <w:t>Conform prevederilor art. </w:t>
      </w:r>
      <w:hyperlink w:tgtFrame="_blank" w:anchor="/dokument/16869455/2023-02-03?unitId=art(265)&amp;cm=DOCUMENT" r:id="rId13">
        <w:r>
          <w:rPr>
            <w:rStyle w:val="Hyperlink"/>
            <w:rFonts w:ascii="Times New Roman" w:hAnsi="Times New Roman" w:cs="Times New Roman"/>
            <w:color w:val="000000"/>
          </w:rPr>
          <w:t>265</w:t>
        </w:r>
      </w:hyperlink>
      <w:r>
        <w:rPr>
          <w:rFonts w:ascii="Times New Roman" w:hAnsi="Times New Roman" w:cs="Times New Roman"/>
          <w:color w:val="000000"/>
          <w:sz w:val="24"/>
          <w:szCs w:val="24"/>
        </w:rPr>
        <w:t> alin. (2) din </w:t>
      </w:r>
      <w:hyperlink w:tgtFrame="_blank" w:anchor="/dokument/16869455/2023-02-03?cm=DOCUMENT" r:id="rId14">
        <w:r>
          <w:rPr>
            <w:rStyle w:val="Hyperlink"/>
            <w:rFonts w:ascii="Times New Roman" w:hAnsi="Times New Roman" w:cs="Times New Roman"/>
            <w:color w:val="000000"/>
          </w:rPr>
          <w:t>Legea nr. 95/2006</w:t>
        </w:r>
      </w:hyperlink>
      <w:r>
        <w:rPr>
          <w:rFonts w:ascii="Times New Roman" w:hAnsi="Times New Roman" w:cs="Times New Roman"/>
          <w:color w:val="000000"/>
          <w:sz w:val="24"/>
          <w:szCs w:val="24"/>
        </w:rPr>
        <w:t> privind reforma în domeniul sănătăţii „Colectarea contribuţiilor datorate de persoanele obligate să se asigure, precum şi a contribuţiei asigurătorii pentru muncă datorată de angajator se face de către Ministerul Finanţelor Publice, prin A.N.A.F. şi organele fiscale subordonate acesteia, potrivit prevederilor </w:t>
      </w:r>
      <w:hyperlink w:tgtFrame="_blank" w:anchor="/dokument/16949084/2023-03-02?cm=DOCUMENT" r:id="rId15">
        <w:r>
          <w:rPr>
            <w:rStyle w:val="Hyperlink"/>
            <w:rFonts w:ascii="Times New Roman" w:hAnsi="Times New Roman" w:cs="Times New Roman"/>
            <w:color w:val="000000"/>
          </w:rPr>
          <w:t>Codului de procedură fiscală</w:t>
        </w:r>
      </w:hyperlink>
      <w:r>
        <w:rPr>
          <w:rFonts w:ascii="Times New Roman" w:hAnsi="Times New Roman" w:cs="Times New Roman"/>
          <w:color w:val="000000"/>
          <w:sz w:val="24"/>
          <w:szCs w:val="24"/>
        </w:rPr>
        <w:t>, cu modificările şi completările ulterioare.”</w:t>
      </w:r>
    </w:p>
    <w:p>
      <w:pPr>
        <w:pStyle w:val="NoSpacing"/>
        <w:ind w:right="0" w:firstLine="708"/>
        <w:jc w:val="both"/>
        <w:rPr/>
      </w:pPr>
      <w:r>
        <w:rPr>
          <w:rFonts w:ascii="Times New Roman" w:hAnsi="Times New Roman" w:cs="Times New Roman"/>
          <w:color w:val="000000"/>
          <w:sz w:val="24"/>
          <w:szCs w:val="24"/>
        </w:rPr>
        <w:t>Potrivit dispoziţiilor art. </w:t>
      </w:r>
      <w:hyperlink w:tgtFrame="_blank" w:anchor="/dokument/16950032/2023-02-13?unitId=art(2)&amp;cm=DOCUMENT" r:id="rId16">
        <w:r>
          <w:rPr>
            <w:rStyle w:val="Hyperlink"/>
            <w:rFonts w:ascii="Times New Roman" w:hAnsi="Times New Roman" w:cs="Times New Roman"/>
            <w:color w:val="000000"/>
          </w:rPr>
          <w:t>2</w:t>
        </w:r>
      </w:hyperlink>
      <w:r>
        <w:rPr>
          <w:rFonts w:ascii="Times New Roman" w:hAnsi="Times New Roman" w:cs="Times New Roman"/>
          <w:color w:val="000000"/>
          <w:sz w:val="24"/>
          <w:szCs w:val="24"/>
        </w:rPr>
        <w:t> alin. (2) din </w:t>
      </w:r>
      <w:hyperlink w:tgtFrame="_blank" w:anchor="/dokument/16950032/2023-02-13?cm=DOCUMENT" r:id="rId17">
        <w:r>
          <w:rPr>
            <w:rStyle w:val="Hyperlink"/>
            <w:rFonts w:ascii="Times New Roman" w:hAnsi="Times New Roman" w:cs="Times New Roman"/>
            <w:color w:val="000000"/>
          </w:rPr>
          <w:t>Codul fiscal</w:t>
        </w:r>
      </w:hyperlink>
      <w:r>
        <w:rPr>
          <w:rFonts w:ascii="Times New Roman" w:hAnsi="Times New Roman" w:cs="Times New Roman"/>
          <w:color w:val="000000"/>
          <w:sz w:val="24"/>
          <w:szCs w:val="24"/>
        </w:rPr>
        <w:t xml:space="preserve"> „Contribuţiile sociale obligatorii reglementate prin prezentul cod sunt următoarele: a) contribuţiile de asigurări sociale, datorate bugetului asigurărilor sociale de stat; </w:t>
      </w:r>
      <w:r>
        <w:rPr>
          <w:rFonts w:ascii="Times New Roman" w:hAnsi="Times New Roman" w:cs="Times New Roman"/>
          <w:b/>
          <w:bCs/>
          <w:color w:val="000000"/>
          <w:sz w:val="24"/>
          <w:szCs w:val="24"/>
        </w:rPr>
        <w:t>b) contribuţia de asişurări sociale de sănătate, datorată bugetului Fondului naţional unic de asigurări sociale de sănătate</w:t>
      </w:r>
      <w:r>
        <w:rPr>
          <w:rFonts w:ascii="Times New Roman" w:hAnsi="Times New Roman" w:cs="Times New Roman"/>
          <w:color w:val="000000"/>
          <w:sz w:val="24"/>
          <w:szCs w:val="24"/>
        </w:rPr>
        <w:t>; c) contribuţia asiguratorie pentru muncă, datorată bugetului general consolidat.</w:t>
      </w:r>
    </w:p>
    <w:p>
      <w:pPr>
        <w:pStyle w:val="NoSpacing"/>
        <w:ind w:right="0" w:firstLine="708"/>
        <w:jc w:val="both"/>
        <w:rPr/>
      </w:pPr>
      <w:r>
        <w:rPr>
          <w:rFonts w:ascii="Times New Roman" w:hAnsi="Times New Roman" w:cs="Times New Roman"/>
          <w:color w:val="000000"/>
          <w:sz w:val="24"/>
          <w:szCs w:val="24"/>
        </w:rPr>
        <w:t>Potrivit art. </w:t>
      </w:r>
      <w:hyperlink w:tgtFrame="_blank" w:anchor="/dokument/16949084/2023-03-02?unitId=art(29)&amp;cm=DOCUMENT" r:id="rId18">
        <w:r>
          <w:rPr>
            <w:rStyle w:val="Hyperlink"/>
            <w:rFonts w:ascii="Times New Roman" w:hAnsi="Times New Roman" w:cs="Times New Roman"/>
            <w:color w:val="000000"/>
          </w:rPr>
          <w:t>29</w:t>
        </w:r>
      </w:hyperlink>
      <w:r>
        <w:rPr>
          <w:rFonts w:ascii="Times New Roman" w:hAnsi="Times New Roman" w:cs="Times New Roman"/>
          <w:color w:val="000000"/>
          <w:sz w:val="24"/>
          <w:szCs w:val="24"/>
        </w:rPr>
        <w:t> alin (1) din </w:t>
      </w:r>
      <w:hyperlink w:tgtFrame="_blank" w:anchor="/dokument/16949084/2023-03-02?cm=DOCUMENT" r:id="rId19">
        <w:r>
          <w:rPr>
            <w:rStyle w:val="Hyperlink"/>
            <w:rFonts w:ascii="Times New Roman" w:hAnsi="Times New Roman" w:cs="Times New Roman"/>
            <w:color w:val="000000"/>
          </w:rPr>
          <w:t>Codul de procedură fiscală</w:t>
        </w:r>
      </w:hyperlink>
      <w:r>
        <w:rPr>
          <w:rFonts w:ascii="Times New Roman" w:hAnsi="Times New Roman" w:cs="Times New Roman"/>
          <w:color w:val="000000"/>
          <w:sz w:val="24"/>
          <w:szCs w:val="24"/>
        </w:rPr>
        <w:t> „Administrarea creanţelor fiscale datorate bugetului de stat, bugetului asigurărilor sociale de stat, bugetului Fondului naţional unic de asigurări sociale de sănătate şi bugetului asigurărilor pentru şomaj se realizează prin organul fiscal central, cu excepţia cazului când prin lege se prevede altfel".</w:t>
      </w:r>
    </w:p>
    <w:p>
      <w:pPr>
        <w:pStyle w:val="NoSpacing"/>
        <w:ind w:right="0" w:firstLine="708"/>
        <w:jc w:val="both"/>
        <w:rPr/>
      </w:pPr>
      <w:r>
        <w:rPr>
          <w:rFonts w:ascii="Times New Roman" w:hAnsi="Times New Roman" w:cs="Times New Roman"/>
          <w:color w:val="000000"/>
          <w:sz w:val="24"/>
          <w:szCs w:val="24"/>
        </w:rPr>
        <w:t>Astfel, prevederile art. </w:t>
      </w:r>
      <w:hyperlink w:tgtFrame="_blank" w:anchor="/dokument/16949084/2023-03-02?unitId=art(30)&amp;cm=DOCUMENT" r:id="rId20">
        <w:r>
          <w:rPr>
            <w:rStyle w:val="Hyperlink"/>
            <w:rFonts w:ascii="Times New Roman" w:hAnsi="Times New Roman" w:cs="Times New Roman"/>
            <w:color w:val="000000"/>
          </w:rPr>
          <w:t>30</w:t>
        </w:r>
      </w:hyperlink>
      <w:r>
        <w:rPr>
          <w:rFonts w:ascii="Times New Roman" w:hAnsi="Times New Roman" w:cs="Times New Roman"/>
          <w:color w:val="000000"/>
          <w:sz w:val="24"/>
          <w:szCs w:val="24"/>
        </w:rPr>
        <w:t> alin. (1) din </w:t>
      </w:r>
      <w:hyperlink w:tgtFrame="_blank" w:anchor="/dokument/16949084/2023-03-02?cm=DOCUMENT" r:id="rId21">
        <w:r>
          <w:rPr>
            <w:rStyle w:val="Hyperlink"/>
            <w:rFonts w:ascii="Times New Roman" w:hAnsi="Times New Roman" w:cs="Times New Roman"/>
            <w:color w:val="000000"/>
          </w:rPr>
          <w:t>C. proc. fisc</w:t>
        </w:r>
      </w:hyperlink>
      <w:r>
        <w:rPr>
          <w:rFonts w:ascii="Times New Roman" w:hAnsi="Times New Roman" w:cs="Times New Roman"/>
          <w:color w:val="000000"/>
          <w:sz w:val="24"/>
          <w:szCs w:val="24"/>
        </w:rPr>
        <w:t>. indică în mod clar şi concis faptul că „Pentru administrarea creanţelor fiscale şi a altor creanţe datorate bugetelor prevăzute la art. 29 alin. (1), competenţa revine acelui organ fiscal teritorial din cadrul A.N.A.F.. stabilit prin ordin al preşedintelui A.N.A.F.”</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Dispoziţiile art. 21 alin. (l) din același act normativ statuează că „dacă legea nu prevede altfel, dreptul de creanță fiscală şi obligația fiscală corelativă se nasc în momentul în care, potrivit legii, se constituie baza de impozitare care le generează sau în momentul la care contribuabilul/pălitorul este îndreptăţit, potrivit legii, să ceara restituirea. (2) Potrivit alin.(l), se naşte dreptul organului fiscal de a stabili şi a determina obligaţia fiscală datorată sau dreptul contribuabilului/plătitorului de a solicita restituirea.</w:t>
      </w:r>
    </w:p>
    <w:p>
      <w:pPr>
        <w:pStyle w:val="NoSpacing"/>
        <w:ind w:right="0" w:firstLine="708"/>
        <w:jc w:val="both"/>
        <w:rPr/>
      </w:pPr>
      <w:r>
        <w:rPr>
          <w:rFonts w:ascii="Times New Roman" w:hAnsi="Times New Roman" w:cs="Times New Roman"/>
          <w:i/>
          <w:iCs/>
          <w:sz w:val="24"/>
          <w:szCs w:val="24"/>
        </w:rPr>
        <w:t>Pe fondul cauzei</w:t>
      </w:r>
      <w:r>
        <w:rPr>
          <w:rFonts w:ascii="Times New Roman" w:hAnsi="Times New Roman" w:cs="Times New Roman"/>
          <w:sz w:val="24"/>
          <w:szCs w:val="24"/>
        </w:rPr>
        <w:t xml:space="preserve">, instanța constată că o dată cu punerea în aplicare a prevederilor art. XXIV pct. 13 din O.U.G nr.130/2021, pensiei reclamantului i s-a aplicat o taxă nouă sub forma contribuțiilor sociale obligatorii constând în asigurări sociale de sănătate datorate de persoanele fizice care realizează venituri din pensii pentru partea care depășește suma lunară de 4.000 lei. </w:t>
      </w:r>
    </w:p>
    <w:p>
      <w:pPr>
        <w:pStyle w:val="Normal"/>
        <w:ind w:right="0" w:firstLine="709"/>
        <w:jc w:val="both"/>
        <w:rPr>
          <w:lang w:val="ro-MD"/>
        </w:rPr>
      </w:pPr>
      <w:r>
        <w:rPr>
          <w:lang w:val="ro-MD"/>
        </w:rPr>
        <w:t xml:space="preserve">Respectivele dispoziții legale au fost supuse controlului de constituționalitate, fiind declarate neconstituționale prin Decizia Curții Constituționale nr. 650 din data de 15 decembrie 2022. </w:t>
      </w:r>
    </w:p>
    <w:p>
      <w:pPr>
        <w:pStyle w:val="Normal"/>
        <w:ind w:right="0" w:firstLine="709"/>
        <w:jc w:val="both"/>
        <w:rPr>
          <w:lang w:val="ro-MD"/>
        </w:rPr>
      </w:pPr>
      <w:r>
        <w:rPr>
          <w:lang w:val="ro-MD"/>
        </w:rPr>
        <w:t xml:space="preserve">Din perspectiva art.115 alin.(6) din Constituție, Curtea Constituțională a observat că reglementarea analizată afectează cuantumul pensiei aflate în plată, diminuându-l, prin prelevarea unei cote procentuale din aceasta, cotă pe care o direcționează către bugetul FNUASS. </w:t>
      </w:r>
    </w:p>
    <w:p>
      <w:pPr>
        <w:pStyle w:val="Normal"/>
        <w:ind w:right="0" w:firstLine="709"/>
        <w:jc w:val="both"/>
        <w:rPr/>
      </w:pPr>
      <w:r>
        <w:rPr>
          <w:lang w:val="ro-MD"/>
        </w:rPr>
        <w:t xml:space="preserve">Trimițând la jurisprudența constată în materie, Curtea Constituțională </w:t>
      </w:r>
      <w:r>
        <w:rPr>
          <w:iCs/>
          <w:lang w:val="ro-MD"/>
        </w:rPr>
        <w:t>a constatat</w:t>
      </w:r>
      <w:r>
        <w:rPr>
          <w:i/>
          <w:iCs/>
          <w:lang w:val="ro-MD"/>
        </w:rPr>
        <w:t xml:space="preserve"> „că </w:t>
      </w:r>
      <w:r>
        <w:rPr>
          <w:lang w:val="ro-MD"/>
        </w:rPr>
        <w:t>reglementarea contribuției de asigurări sociale de sănătate pentru persoanele fizice care au calitatea de pensionari în privința pensiilor lor este o măsură care conduce în mod implicit la diminuarea pensiilor respective. Or, diminuarea cuantumului pensiei, fie ea contributivă sau de serviciu, cu sume de bani considerabile afectează dreptul la pensie privit lato sensu. Dacă în jurisprudența Curții s-a statuat deja că suspendarea plății pensiei (indiferent că pensia este contributivă sau de serviciu) pe perioada realizării unor venituri de altă natură constituie o afectare a dreptului fundamental la pensie, cu atât mai mult diminuarea pensiei prin prelevarea unei contribuții (fie și ea direcționată către bugetul FNUASS) pe o perioadă nedeterminată în timp (practic permanentă) reprezintă o afectare a acesteia. Rezultă, astfel, că ordonanța de urgență nu poate diminua cuantumul pensiei aflate în plată, nici prin instituirea de impozite, nici prin instituirea de alte contribuții, pentru că o asemenea măsură conduce la o diminuare inevitabilă a cuantumului pensiei. Or, afectarea dreptului fundamental la pensie se poate realiza prin cel puțin două modalități: încetarea sau suspendarea plății pensiei și diminuarea cuantumului său. În măsura în care Guvernul apelează prin intermediul ordonanței de urgență la unul dintre aceste două elemente afectatoare ale dreptului, respectiva măsură afectează dreptul la pensie prevăzut de art.47 alin.(2) din Constituție, fiind, astfel, contrară art.115 alin. (6) din Constituție”.</w:t>
      </w:r>
    </w:p>
    <w:p>
      <w:pPr>
        <w:pStyle w:val="Normal"/>
        <w:ind w:right="0" w:firstLine="709"/>
        <w:jc w:val="both"/>
        <w:rPr>
          <w:lang w:val="ro-MD"/>
        </w:rPr>
      </w:pPr>
      <w:r>
        <w:rPr>
          <w:lang w:val="ro-MD"/>
        </w:rPr>
        <w:t>În concluzie, prin impunerea unei contribuții de asigurări sociale de sănătate pentru persoanele fizice care au calitatea de pensionari în privința pensiilor care depășesc 4.000 lei, pe calea unei ordonanțe de urgență, Guvernul României a încălcat art.115 alin.(6) din Constituție, cu referire la interdicția de a afecta drepturile, libertățile și îndatoririle prevăzute de Constituție, anume  dreptul la pensie - prevăzut și garantat de art.47 alin.(2) din Constituție.</w:t>
      </w:r>
    </w:p>
    <w:p>
      <w:pPr>
        <w:pStyle w:val="Normal"/>
        <w:ind w:right="0" w:firstLine="709"/>
        <w:jc w:val="both"/>
        <w:rPr/>
      </w:pPr>
      <w:r>
        <w:rPr>
          <w:lang w:val="ro-MD"/>
        </w:rPr>
        <w:t>Potrivit dispozițiilor art.31 alin. (1) din Legea nr.47/1992 privind organizarea și funcționarea Curții Constituționale, republicată „(1</w:t>
      </w:r>
      <w:r>
        <w:rPr/>
        <w:t xml:space="preserve">)Decizia prin care se constată neconstituţionalitatea unei legi sau ordonanţe ori a unei dispoziţii dintr-o lege sau dintr-o ordonanţă în vigoare este definitivă şi obligatorie”. </w:t>
      </w:r>
    </w:p>
    <w:p>
      <w:pPr>
        <w:pStyle w:val="Normal"/>
        <w:ind w:right="0" w:firstLine="709"/>
        <w:jc w:val="both"/>
        <w:rPr>
          <w:lang w:val="ro-MD"/>
        </w:rPr>
      </w:pPr>
      <w:r>
        <w:rPr>
          <w:lang w:val="ro-MD"/>
        </w:rPr>
        <w:t xml:space="preserve">Declararea ca neconstituționale a dispozițiilor în baza cărora s-a dispus reținerea unor drepturi bănești din pensia reclamantului trebuie să profite autorilor excepției de neconstituționalitate, neputând constitui doar un instrument de drept abstract (Decizia Curții Constituționale nr. 766/2011, publicată în Monitorul Oficial al României, Partea I, nr. 549/03.08.2011, para. 30). </w:t>
      </w:r>
    </w:p>
    <w:p>
      <w:pPr>
        <w:pStyle w:val="Normal"/>
        <w:ind w:right="0" w:firstLine="709"/>
        <w:jc w:val="both"/>
        <w:rPr>
          <w:lang w:val="ro-MD"/>
        </w:rPr>
      </w:pPr>
      <w:r>
        <w:rPr>
          <w:lang w:val="ro-MD"/>
        </w:rPr>
        <w:t xml:space="preserve">Astfel, neconstituționalitatea unei dispoziții legale nu are numai o funcție de prevenție, ci și una de reparație, în sensul că vizează în primul rând situația concretă a individului lezat în drepturile sale prin norma criticată (Decizia Curții Constituționale nr. 866/2015, publicată în Monitorul Oficial al României, Partea I, nr. 69/01.02.2016, para. 30). </w:t>
      </w:r>
    </w:p>
    <w:p>
      <w:pPr>
        <w:pStyle w:val="Normal"/>
        <w:ind w:right="0" w:firstLine="709"/>
        <w:jc w:val="both"/>
        <w:rPr>
          <w:lang w:val="ro-MD"/>
        </w:rPr>
      </w:pPr>
      <w:r>
        <w:rPr>
          <w:lang w:val="ro-MD"/>
        </w:rPr>
        <w:t xml:space="preserve">În cauza dedusă judecății, funcția de prevenție este reprezentată de faptul că normele declarate neconstituționale nu își vor mai produce efectele, iar funcția de reparație constă în eliminarea prejudiciului cauzat indivizilor vizați de respectivele dispoziții de lege.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Nu în ultimul rând, Curtea reține că, în considerarea acestei decizii, la data de 17 februarie 2023, a fost publicată în Monitorul Oficial al României, Partea 1, Nr.138, Ordonanța de Urgență a Guvernului Nr.4/15.02.2023 privind stabilirea unor măsuri de restituire a unor contribuții de asigurări sociale de sănătate.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Având în vedere aceste considerente, instanța va admite cererea, obligând pârâții la plata către reclamant a unei despăgubiri egale cu sumele reținute drept contribuție de asigurări sociale de sănătate, în temeiul art. XXIV pct. 13 din OUG 130/2021, începând cu ianuarie 2022 şi până la încetarea acestora.</w:t>
      </w:r>
    </w:p>
    <w:p>
      <w:pPr>
        <w:pStyle w:val="NoSpacing"/>
        <w:ind w:right="0" w:firstLine="708"/>
        <w:jc w:val="both"/>
        <w:rPr/>
      </w:pPr>
      <w:r>
        <w:rPr>
          <w:rFonts w:ascii="Times New Roman" w:hAnsi="Times New Roman" w:cs="Times New Roman"/>
          <w:sz w:val="24"/>
          <w:szCs w:val="24"/>
        </w:rPr>
        <w:t xml:space="preserve">Cererea de chemare în judecată vizează şi plata dobânzii legale penalizatoare, precum şi actualizarea sumelor de restituit cu rata inflaţiei, fiind vorba de accesorii care urmează </w:t>
      </w:r>
      <w:r>
        <w:rPr>
          <w:rFonts w:ascii="Times New Roman" w:hAnsi="Times New Roman" w:cs="Times New Roman"/>
          <w:sz w:val="24"/>
          <w:szCs w:val="24"/>
          <w:shd w:val="clear" w:fill="FFFFFF"/>
        </w:rPr>
        <w:t xml:space="preserve">soarta debitului principal, conform </w:t>
      </w:r>
      <w:r>
        <w:rPr>
          <w:rFonts w:ascii="Times New Roman" w:hAnsi="Times New Roman" w:cs="Times New Roman"/>
          <w:i/>
          <w:iCs/>
          <w:sz w:val="24"/>
          <w:szCs w:val="24"/>
          <w:shd w:val="clear" w:fill="FFFFFF"/>
        </w:rPr>
        <w:t>principiului accesorium sequitur principalem</w:t>
      </w:r>
      <w:r>
        <w:rPr>
          <w:rFonts w:ascii="Times New Roman" w:hAnsi="Times New Roman" w:cs="Times New Roman"/>
          <w:sz w:val="24"/>
          <w:szCs w:val="24"/>
          <w:shd w:val="clear" w:fill="FFFFFF"/>
        </w:rPr>
        <w:t>.</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Curtea subliniază că neconstituţionalitatea unei ordonanţe de guvern atestă neconformitatea acesteia cu dispoziţiile Constituției României, fiind o formă sui generis de nelegalitate, o abatere de la legea supremă a statului, justificând calificarea emiterii acestei reglementări ca o faptă ilicită, în sensul dreptului comun.</w:t>
      </w:r>
    </w:p>
    <w:p>
      <w:pPr>
        <w:pStyle w:val="NoSpacing"/>
        <w:ind w:right="0" w:firstLine="708"/>
        <w:jc w:val="both"/>
        <w:rPr/>
      </w:pPr>
      <w:r>
        <w:rPr>
          <w:rFonts w:ascii="Times New Roman" w:hAnsi="Times New Roman" w:cs="Times New Roman"/>
          <w:sz w:val="24"/>
          <w:szCs w:val="24"/>
        </w:rPr>
        <w:t xml:space="preserve">Dispoziţiile Codului Civil referitoare la răspunderea civilă delictuală, deşi constituie dreptul comun în materia răspunderii – nu sunt aplicabile în mod direct în materia contenciosului administrativ, ci numai în condiţiile art. 28  alin. 1 </w:t>
      </w:r>
      <w:r>
        <w:rPr>
          <w:rFonts w:ascii="Times New Roman" w:hAnsi="Times New Roman" w:cs="Times New Roman"/>
          <w:color w:val="000000"/>
          <w:sz w:val="24"/>
          <w:szCs w:val="24"/>
        </w:rPr>
        <w:t>din </w:t>
      </w:r>
      <w:hyperlink w:tgtFrame="_blank" w:anchor="/dokument/16856600/2023-02-20?cm=DOCUMENT" r:id="rId22">
        <w:r>
          <w:rPr>
            <w:rStyle w:val="Hyperlink"/>
            <w:rFonts w:ascii="Times New Roman" w:hAnsi="Times New Roman" w:cs="Times New Roman"/>
            <w:color w:val="000000"/>
          </w:rPr>
          <w:t>Legea contenciosului administrativ nr. 554/2004,</w:t>
        </w:r>
      </w:hyperlink>
      <w:r>
        <w:rPr>
          <w:rFonts w:ascii="Times New Roman" w:hAnsi="Times New Roman" w:cs="Times New Roman"/>
          <w:sz w:val="24"/>
          <w:szCs w:val="24"/>
        </w:rPr>
        <w:t> dispoziţii conform cărora „(1) Dispoziţiile prezentei legi se completează cu prevederile </w:t>
      </w:r>
      <w:hyperlink w:tgtFrame="_blank" w:anchor="/dokument/16901347/2022-08-18?cm=DOCUMENT" r:id="rId23">
        <w:r>
          <w:rPr>
            <w:rStyle w:val="Hyperlink"/>
            <w:rFonts w:ascii="Times New Roman" w:hAnsi="Times New Roman" w:cs="Times New Roman"/>
            <w:color w:val="000000"/>
          </w:rPr>
          <w:t>Codului civil</w:t>
        </w:r>
      </w:hyperlink>
      <w:r>
        <w:rPr>
          <w:rFonts w:ascii="Times New Roman" w:hAnsi="Times New Roman" w:cs="Times New Roman"/>
          <w:color w:val="000000"/>
          <w:sz w:val="24"/>
          <w:szCs w:val="24"/>
        </w:rPr>
        <w:t> şi cu cele ale </w:t>
      </w:r>
      <w:hyperlink w:tgtFrame="_blank" w:anchor="/dokument/16910520/2023-03-09?cm=DOCUMENT" r:id="rId24">
        <w:r>
          <w:rPr>
            <w:rStyle w:val="Hyperlink"/>
            <w:rFonts w:ascii="Times New Roman" w:hAnsi="Times New Roman" w:cs="Times New Roman"/>
            <w:color w:val="000000"/>
          </w:rPr>
          <w:t>Codului de procedură civilă</w:t>
        </w:r>
      </w:hyperlink>
      <w:r>
        <w:rPr>
          <w:rFonts w:ascii="Times New Roman" w:hAnsi="Times New Roman" w:cs="Times New Roman"/>
          <w:color w:val="000000"/>
          <w:sz w:val="24"/>
          <w:szCs w:val="24"/>
        </w:rPr>
        <w:t>, în măsura în care nu sunt incompatibile cu specificul raporturilor de putere dintre autorităţile publice, pe de o parte, şi persoanele vătămate în drepturile sau interesele lor legitime, pe de altă parte."</w:t>
      </w:r>
    </w:p>
    <w:p>
      <w:pPr>
        <w:pStyle w:val="NoSpacing"/>
        <w:ind w:right="0" w:firstLine="708"/>
        <w:jc w:val="both"/>
        <w:rPr/>
      </w:pPr>
      <w:r>
        <w:rPr>
          <w:rFonts w:ascii="Times New Roman" w:hAnsi="Times New Roman" w:eastAsia="Times New Roman" w:cs="Times New Roman"/>
          <w:color w:val="000000"/>
          <w:sz w:val="24"/>
          <w:szCs w:val="24"/>
        </w:rPr>
        <w:t xml:space="preserve"> </w:t>
      </w:r>
      <w:r>
        <w:rPr>
          <w:rFonts w:ascii="Times New Roman" w:hAnsi="Times New Roman" w:cs="Times New Roman"/>
          <w:color w:val="000000"/>
          <w:sz w:val="24"/>
          <w:szCs w:val="24"/>
        </w:rPr>
        <w:t>Or, răspunderea Guvernului României pentru prejudiciile aduse particularilor prin ordonanţe declarate neconstituţionale este o răspundere guvernată de dispoziţiile art. </w:t>
      </w:r>
      <w:hyperlink w:tgtFrame="_blank" w:anchor="/dokument/16856600/2023-02-20?unitId=art(9)&amp;cm=DOCUMENT" r:id="rId25">
        <w:r>
          <w:rPr>
            <w:rStyle w:val="Hyperlink"/>
            <w:rFonts w:ascii="Times New Roman" w:hAnsi="Times New Roman" w:cs="Times New Roman"/>
            <w:color w:val="000000"/>
          </w:rPr>
          <w:t>9</w:t>
        </w:r>
      </w:hyperlink>
      <w:r>
        <w:rPr>
          <w:rFonts w:ascii="Times New Roman" w:hAnsi="Times New Roman" w:cs="Times New Roman"/>
          <w:color w:val="000000"/>
          <w:sz w:val="24"/>
          <w:szCs w:val="24"/>
        </w:rPr>
        <w:t> din </w:t>
      </w:r>
      <w:hyperlink w:tgtFrame="_blank" w:anchor="/dokument/16856600/2023-02-20?cm=DOCUMENT" r:id="rId26">
        <w:r>
          <w:rPr>
            <w:rStyle w:val="Hyperlink"/>
            <w:rFonts w:ascii="Times New Roman" w:hAnsi="Times New Roman" w:cs="Times New Roman"/>
            <w:color w:val="000000"/>
          </w:rPr>
          <w:t>Legea nr. 554/2004,</w:t>
        </w:r>
      </w:hyperlink>
      <w:r>
        <w:rPr>
          <w:rFonts w:ascii="Times New Roman" w:hAnsi="Times New Roman" w:cs="Times New Roman"/>
          <w:color w:val="000000"/>
          <w:sz w:val="24"/>
          <w:szCs w:val="24"/>
        </w:rPr>
        <w:t> coroborate cu dispoziţiile art. </w:t>
      </w:r>
      <w:hyperlink w:tgtFrame="_blank" w:anchor="/dokument/16777906?unitId=art(126)&amp;cm=DOCUMENT" r:id="rId27">
        <w:r>
          <w:rPr>
            <w:rStyle w:val="Hyperlink"/>
            <w:rFonts w:ascii="Times New Roman" w:hAnsi="Times New Roman" w:cs="Times New Roman"/>
            <w:color w:val="000000"/>
          </w:rPr>
          <w:t>126</w:t>
        </w:r>
      </w:hyperlink>
      <w:r>
        <w:rPr>
          <w:rFonts w:ascii="Times New Roman" w:hAnsi="Times New Roman" w:cs="Times New Roman"/>
          <w:color w:val="000000"/>
          <w:sz w:val="24"/>
          <w:szCs w:val="24"/>
        </w:rPr>
        <w:t> alin. 6 din </w:t>
      </w:r>
      <w:hyperlink w:tgtFrame="_blank" w:anchor="/dokument/16777906?cm=DOCUMENT" r:id="rId28">
        <w:r>
          <w:rPr>
            <w:rStyle w:val="Hyperlink"/>
            <w:rFonts w:ascii="Times New Roman" w:hAnsi="Times New Roman" w:cs="Times New Roman"/>
            <w:color w:val="000000"/>
          </w:rPr>
          <w:t>Constituţia</w:t>
        </w:r>
      </w:hyperlink>
      <w:r>
        <w:rPr>
          <w:rFonts w:ascii="Times New Roman" w:hAnsi="Times New Roman" w:cs="Times New Roman"/>
          <w:color w:val="000000"/>
          <w:sz w:val="24"/>
          <w:szCs w:val="24"/>
        </w:rPr>
        <w:t> României, dispoziţii din care nu rezultă nici cerinţa existenţei unei fapte ilicite şi nici cerinţa vinovăţiei</w:t>
      </w:r>
      <w:r>
        <w:rPr>
          <w:rFonts w:ascii="Times New Roman" w:hAnsi="Times New Roman" w:cs="Times New Roman"/>
          <w:sz w:val="24"/>
          <w:szCs w:val="24"/>
        </w:rPr>
        <w:t xml:space="preserve"> guvernului, ci numai constatarea existenţei unui prejudiciu adus prin dispoziţiile unei ordonanţe de guvern declarate neconstituţională.</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În ceea ce priveşte condiţiile reparării prejudiciului, trebuie avute în vedere următoarele prevederi legale:</w:t>
      </w:r>
    </w:p>
    <w:p>
      <w:pPr>
        <w:pStyle w:val="NoSpacing"/>
        <w:ind w:right="0" w:firstLine="708"/>
        <w:jc w:val="both"/>
        <w:rPr/>
      </w:pPr>
      <w:r>
        <w:rPr>
          <w:rFonts w:ascii="Times New Roman" w:hAnsi="Times New Roman" w:cs="Times New Roman"/>
          <w:sz w:val="24"/>
          <w:szCs w:val="24"/>
        </w:rPr>
        <w:t>Potrivit art. </w:t>
      </w:r>
      <w:hyperlink w:tgtFrame="_blank" w:anchor="/dokument/16901347/2022-08-18?unitId=art(1531)&amp;cm=DOCUMENT" r:id="rId29">
        <w:r>
          <w:rPr>
            <w:rStyle w:val="Hyperlink"/>
            <w:rFonts w:ascii="Times New Roman" w:hAnsi="Times New Roman" w:cs="Times New Roman"/>
            <w:color w:val="000000"/>
          </w:rPr>
          <w:t>1531</w:t>
        </w:r>
      </w:hyperlink>
      <w:r>
        <w:rPr>
          <w:rFonts w:ascii="Times New Roman" w:hAnsi="Times New Roman" w:cs="Times New Roman"/>
          <w:color w:val="000000"/>
          <w:sz w:val="24"/>
          <w:szCs w:val="24"/>
        </w:rPr>
        <w:t> alin. (1) şi (2) din </w:t>
      </w:r>
      <w:hyperlink w:tgtFrame="_blank" w:anchor="/dokument/16901347/2022-08-18?cm=DOCUMENT" r:id="rId30">
        <w:r>
          <w:rPr>
            <w:rStyle w:val="Hyperlink"/>
            <w:rFonts w:ascii="Times New Roman" w:hAnsi="Times New Roman" w:cs="Times New Roman"/>
            <w:color w:val="000000"/>
          </w:rPr>
          <w:t>Codul civil</w:t>
        </w:r>
      </w:hyperlink>
      <w:r>
        <w:rPr>
          <w:rFonts w:ascii="Times New Roman" w:hAnsi="Times New Roman" w:cs="Times New Roman"/>
          <w:color w:val="000000"/>
          <w:sz w:val="24"/>
          <w:szCs w:val="24"/>
        </w:rPr>
        <w:t>:"(</w:t>
      </w:r>
      <w:r>
        <w:rPr>
          <w:rFonts w:ascii="Times New Roman" w:hAnsi="Times New Roman" w:cs="Times New Roman"/>
          <w:sz w:val="24"/>
          <w:szCs w:val="24"/>
        </w:rPr>
        <w:t>1) Creditorul are dreptul la repararea integrală a prejudiciului pe care l-a suferit din faptul neexecutării. (2) Prejudiciul cuprinde pierderea efectiv suferită de creditor şi beneficiul de care acesta este lipsit. La stabilirea întinderii prejudiciului se ţine seama şi de cheltuielile pe care creditorul le-a făcut, într-o limită rezonabilă, pentru evitarea sau limitarea prejudiciului."</w:t>
      </w:r>
    </w:p>
    <w:p>
      <w:pPr>
        <w:pStyle w:val="NoSpacing"/>
        <w:ind w:right="0" w:firstLine="708"/>
        <w:jc w:val="both"/>
        <w:rPr/>
      </w:pPr>
      <w:r>
        <w:rPr>
          <w:rFonts w:ascii="Times New Roman" w:hAnsi="Times New Roman" w:cs="Times New Roman"/>
          <w:sz w:val="24"/>
          <w:szCs w:val="24"/>
        </w:rPr>
        <w:t xml:space="preserve">De asemenea, </w:t>
      </w:r>
      <w:r>
        <w:rPr>
          <w:rFonts w:ascii="Times New Roman" w:hAnsi="Times New Roman" w:cs="Times New Roman"/>
          <w:color w:val="000000"/>
          <w:sz w:val="24"/>
          <w:szCs w:val="24"/>
        </w:rPr>
        <w:t>art. </w:t>
      </w:r>
      <w:hyperlink w:tgtFrame="_blank" w:anchor="/dokument/16901347/2022-08-18?unitId=art(1535)&amp;cm=DOCUMENT" r:id="rId31">
        <w:r>
          <w:rPr>
            <w:rStyle w:val="Hyperlink"/>
            <w:rFonts w:ascii="Times New Roman" w:hAnsi="Times New Roman" w:cs="Times New Roman"/>
            <w:color w:val="000000"/>
          </w:rPr>
          <w:t>1535</w:t>
        </w:r>
      </w:hyperlink>
      <w:r>
        <w:rPr>
          <w:rFonts w:ascii="Times New Roman" w:hAnsi="Times New Roman" w:cs="Times New Roman"/>
          <w:color w:val="000000"/>
          <w:sz w:val="24"/>
          <w:szCs w:val="24"/>
        </w:rPr>
        <w:t> alin. (1) din </w:t>
      </w:r>
      <w:hyperlink w:tgtFrame="_blank" w:anchor="/dokument/16901347/2022-08-18?cm=DOCUMENT" r:id="rId32">
        <w:r>
          <w:rPr>
            <w:rStyle w:val="Hyperlink"/>
            <w:rFonts w:ascii="Times New Roman" w:hAnsi="Times New Roman" w:cs="Times New Roman"/>
            <w:color w:val="000000"/>
          </w:rPr>
          <w:t>Codul civil</w:t>
        </w:r>
      </w:hyperlink>
      <w:r>
        <w:rPr>
          <w:rFonts w:ascii="Times New Roman" w:hAnsi="Times New Roman" w:cs="Times New Roman"/>
          <w:sz w:val="24"/>
          <w:szCs w:val="24"/>
        </w:rPr>
        <w:t> prevede că: "În cazul în care o sumă de bani nu este plătită la scadenţă, creditorul are dreptul la daune moratorii, de la scadenţă până în momentul plăţii, în cuantumul convenit de părţi sau, în lipsă, în cel prevăzut de lege, fără a trebui să dovedească vreun prejudiciu. În acest caz, debitorul nu are dreptul să facă dovada că prejudiciul suferit de creditor ca urmare a întârzierii plăţii ar fi mai mic."</w:t>
      </w:r>
    </w:p>
    <w:p>
      <w:pPr>
        <w:pStyle w:val="NoSpacing"/>
        <w:ind w:right="0" w:firstLine="708"/>
        <w:jc w:val="both"/>
        <w:rPr/>
      </w:pPr>
      <w:r>
        <w:rPr>
          <w:rFonts w:ascii="Times New Roman" w:hAnsi="Times New Roman" w:cs="Times New Roman"/>
          <w:sz w:val="24"/>
          <w:szCs w:val="24"/>
        </w:rPr>
        <w:t>Totodată, art. </w:t>
      </w:r>
      <w:hyperlink w:tgtFrame="_blank" w:anchor="/dokument/16901347/2022-08-18?unitId=art(1385)&amp;cm=DOCUMENT" r:id="rId33">
        <w:r>
          <w:rPr>
            <w:rStyle w:val="Hyperlink"/>
            <w:rFonts w:ascii="Times New Roman" w:hAnsi="Times New Roman" w:cs="Times New Roman"/>
            <w:color w:val="000000"/>
          </w:rPr>
          <w:t>1385</w:t>
        </w:r>
      </w:hyperlink>
      <w:r>
        <w:rPr>
          <w:rFonts w:ascii="Times New Roman" w:hAnsi="Times New Roman" w:cs="Times New Roman"/>
          <w:color w:val="000000"/>
          <w:sz w:val="24"/>
          <w:szCs w:val="24"/>
        </w:rPr>
        <w:t> alin. 1-3 din </w:t>
      </w:r>
      <w:hyperlink w:tgtFrame="_blank" w:anchor="/dokument/16901347/2022-08-18?cm=DOCUMENT" r:id="rId34">
        <w:r>
          <w:rPr>
            <w:rStyle w:val="Hyperlink"/>
            <w:rFonts w:ascii="Times New Roman" w:hAnsi="Times New Roman" w:cs="Times New Roman"/>
            <w:color w:val="000000"/>
          </w:rPr>
          <w:t>Codul civil</w:t>
        </w:r>
      </w:hyperlink>
      <w:r>
        <w:rPr>
          <w:rFonts w:ascii="Times New Roman" w:hAnsi="Times New Roman" w:cs="Times New Roman"/>
          <w:color w:val="000000"/>
          <w:sz w:val="24"/>
          <w:szCs w:val="24"/>
        </w:rPr>
        <w:t> prevăd că:</w:t>
      </w:r>
      <w:r>
        <w:rPr>
          <w:rFonts w:ascii="Times New Roman" w:hAnsi="Times New Roman" w:cs="Times New Roman"/>
          <w:sz w:val="24"/>
          <w:szCs w:val="24"/>
        </w:rPr>
        <w:t xml:space="preserve"> „(1) Prejudiciul se repară integral, dacă prin lege nu se prevede altfel. (2) Se vor putea acorda despăgubiri şi pentru un prejudiciu viitor dacă producerea lui este neîndoielnică. (3) Despăgubirea trebuie să cuprindă pierderea suferită de cel prejudiciat, câştigul pe care în condiţii obişnuite el ar fi putut să îl realizeze şi de care a fost lipsit, precum şi cheltuielile pe care le-a făcut pentru evitarea sau limitarea prejudiciului."</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Aceste prevederi legale generale sunt aplicabile şi în materia raporturilor de pensie, în lipsa unor reglementări speciale contrare. Ele permit cumulul între actualizarea creanţei cu rata inflaţiei şi dobânda, deoarece actualizarea creanţelor este admisibilă ca urmare a existenţei fluctuaţiilor monetare ce se produc după expirarea scadenţei obligaţiilor de plată, reprezentând o daună efectivă produsă patrimoniului creditorului -„damnum emergens”, iar câştigul nerealizat îl reprezintă dobânda - „lucrum cessans”.</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Caracterul compensatoriu al actualizării rezidă în faptul că prin aceasta se repară partea din beneficiul nerealizat care nu este acoperit de dobânda legală. În timp ce dobânda reprezintă preţul lipsei de folosinţă, actualizarea cu rata inflaţiei urmăreşte conservarea valorii reale a obligaţiilor băneşti.</w:t>
      </w:r>
    </w:p>
    <w:p>
      <w:pPr>
        <w:pStyle w:val="NoSpacing"/>
        <w:ind w:right="0" w:firstLine="708"/>
        <w:jc w:val="both"/>
        <w:rPr/>
      </w:pPr>
      <w:r>
        <w:rPr>
          <w:rFonts w:ascii="Times New Roman" w:hAnsi="Times New Roman" w:cs="Times New Roman"/>
          <w:sz w:val="24"/>
          <w:szCs w:val="24"/>
        </w:rPr>
        <w:t xml:space="preserve">Curtea reaminteşte în acest sens şi Decizia nr. 2/2014 pronunţată de Înalta Curte de Casaţie şi Justiţie în soluţionarea unui recurs în interesul legii </w:t>
      </w:r>
      <w:r>
        <w:rPr>
          <w:rFonts w:ascii="Times New Roman" w:hAnsi="Times New Roman" w:cs="Times New Roman"/>
          <w:color w:val="000000"/>
          <w:sz w:val="24"/>
          <w:szCs w:val="24"/>
        </w:rPr>
        <w:t>prin care s-a statuat că „în aplicarea dispoziţiilor art. </w:t>
      </w:r>
      <w:hyperlink w:tgtFrame="_blank" w:anchor="/dokument/16825325/2002-06-18?unitId=art(1082)&amp;cm=DOCUMENT" r:id="rId35">
        <w:r>
          <w:rPr>
            <w:rStyle w:val="Hyperlink"/>
            <w:rFonts w:ascii="Times New Roman" w:hAnsi="Times New Roman" w:cs="Times New Roman"/>
            <w:color w:val="000000"/>
          </w:rPr>
          <w:t>1082</w:t>
        </w:r>
      </w:hyperlink>
      <w:r>
        <w:rPr>
          <w:rFonts w:ascii="Times New Roman" w:hAnsi="Times New Roman" w:cs="Times New Roman"/>
          <w:color w:val="000000"/>
          <w:sz w:val="24"/>
          <w:szCs w:val="24"/>
        </w:rPr>
        <w:t> şi 1088 din </w:t>
      </w:r>
      <w:hyperlink w:tgtFrame="_blank" w:anchor="/dokument/16825325/2012-04-20?cm=DOCUMENT" r:id="rId36">
        <w:r>
          <w:rPr>
            <w:rStyle w:val="Hyperlink"/>
            <w:rFonts w:ascii="Times New Roman" w:hAnsi="Times New Roman" w:cs="Times New Roman"/>
            <w:color w:val="000000"/>
          </w:rPr>
          <w:t>Codul civil din 1864</w:t>
        </w:r>
      </w:hyperlink>
      <w:r>
        <w:rPr>
          <w:rFonts w:ascii="Times New Roman" w:hAnsi="Times New Roman" w:cs="Times New Roman"/>
          <w:color w:val="000000"/>
          <w:sz w:val="24"/>
          <w:szCs w:val="24"/>
        </w:rPr>
        <w:t>, respectiv art. 1531 alin. (1), alin. (2) teza I şi art. 1535 alin. (1) din </w:t>
      </w:r>
      <w:r>
        <w:rPr/>
        <w:t xml:space="preserve"> </w:t>
      </w:r>
      <w:hyperlink w:tgtFrame="_blank" w:anchor="/dokument/16901347/2022-08-18?cm=DOCUMENT" r:id="rId37">
        <w:r>
          <w:rPr>
            <w:rStyle w:val="Hyperlink"/>
            <w:rFonts w:ascii="Times New Roman" w:hAnsi="Times New Roman" w:cs="Times New Roman"/>
            <w:color w:val="000000"/>
          </w:rPr>
          <w:t>Codul civil</w:t>
        </w:r>
      </w:hyperlink>
      <w:r>
        <w:rPr>
          <w:rFonts w:ascii="Times New Roman" w:hAnsi="Times New Roman" w:cs="Times New Roman"/>
          <w:color w:val="000000"/>
          <w:sz w:val="24"/>
          <w:szCs w:val="24"/>
        </w:rPr>
        <w:t>, pot fi acordate daune-interese moratorii sub forma dobânzii legale pentru plata eşalonată a sumelor prevăzute în titluri executorii având ca obiect acordarea unor drepturi salariale personalului din sectorul bugetar în condiţiile art. </w:t>
      </w:r>
      <w:hyperlink w:tgtFrame="_blank" w:anchor="/dokument/16900373/2011-12-11?unitId=art(1)&amp;cm=DOCUMENT" r:id="rId38">
        <w:r>
          <w:rPr>
            <w:rStyle w:val="Hyperlink"/>
            <w:rFonts w:ascii="Times New Roman" w:hAnsi="Times New Roman" w:cs="Times New Roman"/>
            <w:color w:val="000000"/>
          </w:rPr>
          <w:t>1</w:t>
        </w:r>
      </w:hyperlink>
      <w:r>
        <w:rPr>
          <w:rFonts w:ascii="Times New Roman" w:hAnsi="Times New Roman" w:cs="Times New Roman"/>
          <w:color w:val="000000"/>
          <w:sz w:val="24"/>
          <w:szCs w:val="24"/>
        </w:rPr>
        <w:t> şi 2 din </w:t>
      </w:r>
      <w:hyperlink w:tgtFrame="_blank" w:anchor="/dokument/16900373/2011-12-11?cm=DOCUMENT" r:id="rId39">
        <w:r>
          <w:rPr>
            <w:rStyle w:val="Hyperlink"/>
            <w:rFonts w:ascii="Times New Roman" w:hAnsi="Times New Roman" w:cs="Times New Roman"/>
            <w:color w:val="000000"/>
          </w:rPr>
          <w:t>Ordonanţa de urgenţă a Guvernului nr. 71/2009</w:t>
        </w:r>
      </w:hyperlink>
      <w:r>
        <w:rPr>
          <w:rFonts w:ascii="Times New Roman" w:hAnsi="Times New Roman" w:cs="Times New Roman"/>
          <w:color w:val="000000"/>
          <w:sz w:val="24"/>
          <w:szCs w:val="24"/>
        </w:rPr>
        <w:t> privind plata unor sume prevăzute în titluri executorii având ca obiect acordarea de drepturi salariale personalului din sectorul bugetar, aprobată cu modificări prin </w:t>
      </w:r>
      <w:hyperlink w:tgtFrame="_blank" w:anchor="/dokument/16921671/2011-12-08?cm=DOCUMENT" r:id="rId40">
        <w:r>
          <w:rPr>
            <w:rStyle w:val="Hyperlink"/>
            <w:rFonts w:ascii="Times New Roman" w:hAnsi="Times New Roman" w:cs="Times New Roman"/>
            <w:color w:val="000000"/>
          </w:rPr>
          <w:t>Legea nr. 230/2011.</w:t>
        </w:r>
      </w:hyperlink>
      <w:r>
        <w:rPr>
          <w:rFonts w:ascii="Times New Roman" w:hAnsi="Times New Roman" w:cs="Times New Roman"/>
          <w:color w:val="000000"/>
          <w:sz w:val="24"/>
          <w:szCs w:val="24"/>
        </w:rPr>
        <w:t>”</w:t>
      </w:r>
    </w:p>
    <w:p>
      <w:pPr>
        <w:pStyle w:val="NoSpacing"/>
        <w:ind w:right="0" w:firstLine="708"/>
        <w:jc w:val="both"/>
        <w:rPr>
          <w:rFonts w:ascii="Times New Roman" w:hAnsi="Times New Roman" w:cs="Times New Roman"/>
          <w:sz w:val="24"/>
          <w:szCs w:val="24"/>
        </w:rPr>
      </w:pPr>
      <w:r>
        <w:rPr>
          <w:rFonts w:ascii="Times New Roman" w:hAnsi="Times New Roman" w:cs="Times New Roman"/>
          <w:sz w:val="24"/>
          <w:szCs w:val="24"/>
        </w:rPr>
        <w:t xml:space="preserve">Dat fiind că aceste despăgubiri nu au fost reglementate prin Ordonanța de Urgență a Guvernului nr. 4/15.02.2023, Curtea va admite acţiunea şi va obliga pârâții la plata către reclamant și a accesoriilor constând în dobânzile legale penalizatoare şi sumele cuvenite cu titlul de inflaţie, aferente sumelor reţinute cu titlul de contribuţii de asigurări sociale de sănătate, cu o bază lunară de calcul de 10% din partea care depăşeşte suma lunară de 4000 lei, calculate începând cu data primei reţineri şi până la acoperirea integrală a prejudiciului.  </w:t>
      </w:r>
    </w:p>
    <w:p>
      <w:pPr>
        <w:pStyle w:val="NoSpacing"/>
        <w:ind w:right="0" w:firstLine="708"/>
        <w:jc w:val="both"/>
        <w:rPr/>
      </w:pPr>
      <w:r>
        <w:rPr>
          <w:rFonts w:ascii="Times New Roman" w:hAnsi="Times New Roman" w:cs="Times New Roman"/>
          <w:sz w:val="24"/>
          <w:szCs w:val="24"/>
          <w:shd w:val="clear" w:fill="FFFFFF"/>
        </w:rPr>
        <w:t xml:space="preserve">Relativ la cererea de acordare a cheltuielilor de judecată, instanţa, in temeiul disp. art. 453 alin.1 Cod Procedură Civilă, reţinând culpa procesuală a pârâților în promovarea cererii de chemare în judecată, va dispune obligarea acestora </w:t>
      </w:r>
      <w:r>
        <w:rPr>
          <w:rFonts w:ascii="Times New Roman" w:hAnsi="Times New Roman" w:cs="Times New Roman"/>
          <w:sz w:val="24"/>
          <w:szCs w:val="24"/>
        </w:rPr>
        <w:t xml:space="preserve">în solidar </w:t>
      </w:r>
      <w:r>
        <w:rPr>
          <w:rFonts w:ascii="Times New Roman" w:hAnsi="Times New Roman" w:cs="Times New Roman"/>
          <w:sz w:val="24"/>
          <w:szCs w:val="24"/>
          <w:shd w:val="clear" w:fill="FFFFFF"/>
        </w:rPr>
        <w:t>la plata către reclamant a sumei de 190 lei reprezentând cheltuieli de judecată, respectiv taxă judiciară de timbru conform chitanței nr. ...2/14.02.2023 aflată la fila 11 dosar.</w:t>
      </w:r>
    </w:p>
    <w:p>
      <w:pPr>
        <w:pStyle w:val="Normal"/>
        <w:jc w:val="both"/>
        <w:rPr>
          <w:rFonts w:ascii="Times New Roman" w:hAnsi="Times New Roman" w:cs="Times New Roman"/>
          <w:b/>
          <w:sz w:val="24"/>
          <w:szCs w:val="24"/>
        </w:rPr>
      </w:pPr>
      <w:r>
        <w:rPr>
          <w:rFonts w:cs="Times New Roman"/>
          <w:b/>
          <w:sz w:val="24"/>
          <w:szCs w:val="24"/>
        </w:rPr>
      </w:r>
    </w:p>
    <w:p>
      <w:pPr>
        <w:pStyle w:val="Normal"/>
        <w:jc w:val="center"/>
        <w:rPr>
          <w:b/>
        </w:rPr>
      </w:pPr>
      <w:r>
        <w:rPr>
          <w:b/>
        </w:rPr>
        <w:t>PENTRU ACESTE MOTIVE,</w:t>
        <w:br/>
        <w:t>ÎN NUMELE LEGII</w:t>
      </w:r>
    </w:p>
    <w:p>
      <w:pPr>
        <w:pStyle w:val="Normal"/>
        <w:jc w:val="center"/>
        <w:rPr/>
      </w:pPr>
      <w:r>
        <w:rPr/>
      </w:r>
      <w:r>
        <w:rPr/>
      </w:r>
      <w:r>
        <w:rPr/>
      </w:r>
      <w:r>
        <w:rPr/>
      </w:r>
      <w:r>
        <w:rPr>
          <w:b/>
        </w:rPr>
        <w:t>HOTĂRĂŞTE</w:t>
      </w:r>
      <w:r>
        <w:rPr/>
      </w:r>
      <w:r>
        <w:rPr/>
      </w:r>
      <w:r>
        <w:rPr>
          <w:b/>
        </w:rPr>
        <w:t>:</w:t>
      </w:r>
    </w:p>
    <w:p>
      <w:pPr>
        <w:pStyle w:val="Normal"/>
        <w:jc w:val="center"/>
        <w:rPr>
          <w:b/>
        </w:rPr>
      </w:pPr>
      <w:r>
        <w:rPr>
          <w:b/>
        </w:rPr>
      </w:r>
    </w:p>
    <w:p>
      <w:pPr>
        <w:pStyle w:val="Normal"/>
        <w:jc w:val="both"/>
        <w:rPr/>
      </w:pPr>
      <w:r>
        <w:rPr/>
      </w:r>
    </w:p>
    <w:p>
      <w:pPr>
        <w:pStyle w:val="Normal"/>
        <w:autoSpaceDE w:val="false"/>
        <w:ind w:right="0" w:firstLine="708"/>
        <w:jc w:val="both"/>
        <w:rPr/>
      </w:pPr>
      <w:r>
        <w:rPr/>
        <w:t>Respinge excepțiile.</w:t>
      </w:r>
    </w:p>
    <w:p>
      <w:pPr>
        <w:pStyle w:val="Normal"/>
        <w:ind w:right="0" w:firstLine="709"/>
        <w:jc w:val="both"/>
        <w:rPr/>
      </w:pPr>
      <w:r>
        <w:rPr/>
        <w:t xml:space="preserve">Admite acțiunea precizată formulată de reclamantul </w:t>
      </w:r>
      <w:r>
        <w:rPr>
          <w:b/>
        </w:rPr>
        <w:t>R1</w:t>
      </w:r>
      <w:r>
        <w:rPr/>
        <w:t>, cu reşedinţa în comuna ...., sat ..., str. ..., nr. ..., judeţul....,</w:t>
      </w:r>
      <w:r>
        <w:rPr>
          <w:b/>
        </w:rPr>
        <w:t xml:space="preserve"> </w:t>
      </w:r>
      <w:r>
        <w:rPr/>
        <w:t xml:space="preserve">în contradictoriu cu pârâţii </w:t>
      </w:r>
      <w:r>
        <w:rPr>
          <w:b/>
        </w:rPr>
        <w:t>Guvernul României</w:t>
      </w:r>
      <w:r>
        <w:rPr/>
        <w:t xml:space="preserve">, cu sediul în ...., </w:t>
      </w:r>
      <w:r>
        <w:rPr>
          <w:b/>
        </w:rPr>
        <w:t xml:space="preserve">Ministerul Finanțelor Publice, </w:t>
      </w:r>
      <w:r>
        <w:rPr/>
        <w:t xml:space="preserve">cu sediul în ...., </w:t>
      </w:r>
      <w:r>
        <w:rPr>
          <w:b/>
        </w:rPr>
        <w:t xml:space="preserve">Agenția Națională de Administrare Fiscală, </w:t>
      </w:r>
      <w:r>
        <w:rPr/>
        <w:t xml:space="preserve">cu sediul în ...., </w:t>
      </w:r>
      <w:r>
        <w:rPr>
          <w:b/>
        </w:rPr>
        <w:t>Direcția Generală Regională a Finanțelor Publice A1</w:t>
      </w:r>
      <w:r>
        <w:rPr/>
        <w:t>, cu sediul în ....,</w:t>
      </w:r>
      <w:r>
        <w:rPr>
          <w:b/>
        </w:rPr>
        <w:t xml:space="preserve"> Administrația  Județeană a Finanțelor Publice A2</w:t>
      </w:r>
      <w:r>
        <w:rPr/>
        <w:t>, cu sediul în ....</w:t>
      </w:r>
      <w:r>
        <w:rPr>
          <w:b/>
        </w:rPr>
        <w:t xml:space="preserve"> </w:t>
      </w:r>
      <w:r>
        <w:rPr/>
        <w:t>şi</w:t>
      </w:r>
      <w:r>
        <w:rPr>
          <w:b/>
        </w:rPr>
        <w:t xml:space="preserve"> Casa Judeţeană de Pensii...,</w:t>
      </w:r>
      <w:r>
        <w:rPr>
          <w:bCs/>
        </w:rPr>
        <w:t xml:space="preserve"> cu sediul în ..., având ca obiect „</w:t>
      </w:r>
      <w:r>
        <w:rPr/>
        <w:t>despăgubire”.</w:t>
      </w:r>
      <w:r>
        <w:rPr>
          <w:b/>
        </w:rPr>
        <w:t xml:space="preserve"> </w:t>
      </w:r>
    </w:p>
    <w:p>
      <w:pPr>
        <w:pStyle w:val="Normal"/>
        <w:autoSpaceDE w:val="false"/>
        <w:ind w:right="0" w:firstLine="708"/>
        <w:jc w:val="both"/>
        <w:rPr/>
      </w:pPr>
      <w:r>
        <w:rPr/>
        <w:t>Obligă pe pârâți la plata despăgubirilor aferente contribuțiilor de 10% CASS actualizate cu inflația şi dobânda legală.</w:t>
      </w:r>
    </w:p>
    <w:p>
      <w:pPr>
        <w:pStyle w:val="Normal"/>
        <w:autoSpaceDE w:val="false"/>
        <w:ind w:right="0" w:firstLine="708"/>
        <w:jc w:val="both"/>
        <w:rPr/>
      </w:pPr>
      <w:r>
        <w:rPr/>
        <w:t>Obligă pârâții în solidar la 190 lei cheltuieli de judecată în favoarea reclamantului.</w:t>
      </w:r>
    </w:p>
    <w:p>
      <w:pPr>
        <w:pStyle w:val="Normal"/>
        <w:autoSpaceDE w:val="false"/>
        <w:ind w:right="0" w:firstLine="708"/>
        <w:jc w:val="both"/>
        <w:rPr/>
      </w:pPr>
      <w:r>
        <w:rPr/>
        <w:t>Cu recurs în 15 zile ce se depune la sediul Curții de Apel.</w:t>
      </w:r>
    </w:p>
    <w:p>
      <w:pPr>
        <w:pStyle w:val="Normal"/>
        <w:ind w:right="0" w:firstLine="708"/>
        <w:jc w:val="both"/>
        <w:rPr>
          <w:b/>
          <w:bCs/>
        </w:rPr>
      </w:pPr>
      <w:r>
        <w:rPr>
          <w:b/>
          <w:bCs/>
        </w:rPr>
        <w:t>Pronunțată la ..., prin punerea soluţiei la dispoziţia părţilor prin Grefa Curţii.</w:t>
      </w:r>
      <w:r>
        <w:rPr>
          <w:b/>
          <w:bCs/>
        </w:rPr>
      </w:r>
      <w:r>
        <w:rPr>
          <w:b/>
          <w:bCs/>
        </w:rPr>
      </w:r>
      <w:r>
        <w:rPr>
          <w:b/>
          <w:bCs/>
        </w:rPr>
      </w:r>
      <w:r>
        <w:rPr>
          <w:b/>
          <w:bCs/>
        </w:rPr>
      </w:r>
      <w:r>
        <w:rPr>
          <w:b/>
          <w:bCs/>
          <w:lang w:val="en-US" w:eastAsia="en-US"/>
        </w:rPr>
        <w:t>  </w:t>
      </w:r>
    </w:p>
    <w:tbl>
      <w:tblPr>
        <w:tblW w:w="9286" w:type="dxa"/>
        <w:jc w:val="center"/>
        <w:tblInd w:w="0" w:type="dxa"/>
        <w:tblLayout w:type="fixed"/>
        <w:tblCellMar>
          <w:top w:w="284" w:type="dxa"/>
          <w:left w:w="108" w:type="dxa"/>
          <w:bottom w:w="284" w:type="dxa"/>
          <w:right w:w="108" w:type="dxa"/>
        </w:tblCellMar>
      </w:tblPr>
      <w:tblGrid>
        <w:gridCol w:w="3095"/>
        <w:gridCol w:w="3096"/>
        <w:gridCol w:w="3095"/>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spacing w:line="254" w:lineRule="auto"/>
              <w:jc w:val="center"/>
              <w:rPr>
                <w:b/>
                <w:lang w:val="en-US" w:eastAsia="en-US"/>
              </w:rPr>
            </w:pPr>
            <w:r>
              <w:rPr>
                <w:b/>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lang w:val="en-US" w:eastAsia="en-US"/>
              </w:rPr>
            </w:pPr>
            <w:r>
              <w:rPr>
                <w:b/>
                <w:lang w:val="en-US" w:eastAsia="en-US"/>
              </w:rPr>
              <w:t>Preşedinte,</w:t>
            </w:r>
          </w:p>
          <w:p>
            <w:pPr>
              <w:pStyle w:val="Normal"/>
              <w:spacing w:line="254" w:lineRule="auto"/>
              <w:jc w:val="center"/>
              <w:rPr>
                <w:b/>
                <w:lang w:val="en-US" w:eastAsia="en-US"/>
              </w:rPr>
            </w:pPr>
            <w:r>
              <w:rPr>
                <w:b/>
                <w:lang w:val="en-US" w:eastAsia="en-US"/>
              </w:rPr>
              <w:t>A0006</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spacing w:line="254" w:lineRule="auto"/>
              <w:jc w:val="center"/>
              <w:rPr>
                <w:b/>
                <w:lang w:val="en-US" w:eastAsia="en-US"/>
              </w:rPr>
            </w:pPr>
            <w:r>
              <w:rPr>
                <w:b/>
                <w:lang w:val="en-US" w:eastAsia="en-US"/>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spacing w:line="254" w:lineRule="auto"/>
              <w:jc w:val="center"/>
              <w:rPr>
                <w:b/>
                <w:lang w:val="en-US" w:eastAsia="en-US"/>
              </w:rPr>
            </w:pPr>
            <w:r>
              <w:rPr>
                <w:b/>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lang w:val="en-US" w:eastAsia="en-US"/>
              </w:rPr>
            </w:pPr>
            <w:r>
              <w:rPr>
                <w:b/>
                <w:lang w:val="en-US" w:eastAsia="en-US"/>
              </w:rPr>
              <w:t>Grefier,</w:t>
            </w:r>
          </w:p>
          <w:p>
            <w:pPr>
              <w:pStyle w:val="Normal"/>
              <w:spacing w:line="254" w:lineRule="auto"/>
              <w:jc w:val="center"/>
              <w:rPr>
                <w:b/>
                <w:lang w:val="en-US" w:eastAsia="en-US"/>
              </w:rPr>
            </w:pPr>
            <w:r>
              <w:rPr>
                <w:b/>
                <w:lang w:val="en-US" w:eastAsia="en-US"/>
              </w:rPr>
              <w:t xml:space="preserve"> </w:t>
            </w:r>
            <w:r>
              <w:rPr>
                <w:b/>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spacing w:line="254" w:lineRule="auto"/>
              <w:jc w:val="center"/>
              <w:rPr>
                <w:b/>
                <w:lang w:val="en-US" w:eastAsia="en-US"/>
              </w:rPr>
            </w:pPr>
            <w:r>
              <w:rPr>
                <w:b/>
                <w:lang w:val="en-US" w:eastAsia="en-US"/>
              </w:rPr>
            </w:r>
          </w:p>
        </w:tc>
      </w:tr>
    </w:tbl>
    <w:p>
      <w:pPr>
        <w:pStyle w:val="Normal"/>
        <w:ind w:right="0" w:firstLine="708"/>
        <w:jc w:val="both"/>
        <w:rPr/>
      </w:pPr>
      <w:r>
        <w:rPr>
          <w:b/>
          <w:lang w:val="en-US" w:eastAsia="en-US"/>
        </w:rPr>
        <w:t>   </w:t>
      </w:r>
      <w:r>
        <w:rPr/>
      </w:r>
      <w:r>
        <w:rPr/>
      </w:r>
    </w:p>
    <w:p>
      <w:pPr>
        <w:pStyle w:val="Normal"/>
        <w:rPr>
          <w:sz w:val="16"/>
          <w:szCs w:val="16"/>
        </w:rPr>
      </w:pPr>
      <w:r>
        <w:rPr>
          <w:sz w:val="16"/>
          <w:szCs w:val="16"/>
        </w:rPr>
      </w:r>
    </w:p>
    <w:p>
      <w:pPr>
        <w:pStyle w:val="Normal"/>
        <w:rPr>
          <w:sz w:val="16"/>
          <w:szCs w:val="16"/>
        </w:rPr>
      </w:pPr>
      <w:r>
        <w:rPr>
          <w:sz w:val="16"/>
          <w:szCs w:val="16"/>
        </w:rPr>
        <w:t>Red. jud.    A0006</w:t>
      </w:r>
    </w:p>
    <w:p>
      <w:pPr>
        <w:pStyle w:val="Normal"/>
        <w:rPr/>
      </w:pPr>
      <w:bookmarkStart w:name="_Hlk83891334" w:id="15"/>
      <w:r>
        <w:rPr>
          <w:sz w:val="16"/>
          <w:szCs w:val="16"/>
        </w:rPr>
        <w:t>Tehnored</w:t>
      </w:r>
      <w:bookmarkEnd w:id="15"/>
      <w:r>
        <w:rPr>
          <w:sz w:val="16"/>
          <w:szCs w:val="16"/>
        </w:rPr>
        <w:t>....</w:t>
      </w:r>
    </w:p>
    <w:sectPr>
      <w:footerReference w:type="default" r:id="rId41"/>
      <w:type w:val="nextPage"/>
      <w:pgSz w:w="11906" w:h="16838"/>
      <w:pgMar w:top="851" w:right="1418" w:bottom="851" w:left="1418"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15</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erver3:80/ecris_cdms/document_upload.aspx?id_document=5400000001658082&amp;id_departament=5&amp;id_sesiune=2446882&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DefaultParagraphFont">
    <w:name w:val="Default Paragraph Font"/>
    <w:qFormat/>
    <w:rPr/>
  </w:style>
  <w:style w:type="character" w:styleId="HeaderChar">
    <w:name w:val="Header Char"/>
    <w:qFormat/>
    <w:rPr>
      <w:sz w:val="24"/>
      <w:szCs w:val="24"/>
    </w:rPr>
  </w:style>
  <w:style w:type="character" w:styleId="FooterChar">
    <w:name w:val="Footer Char"/>
    <w:qFormat/>
    <w:rPr>
      <w:sz w:val="24"/>
      <w:szCs w:val="24"/>
    </w:rPr>
  </w:style>
  <w:style w:type="character" w:styleId="Hyperlink">
    <w:name w:val="Hyperlink"/>
    <w:rPr>
      <w:color w:val="0000FF"/>
      <w:u w:val="single"/>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NoSpacing">
    <w:name w:val="No Spacing"/>
    <w:qFormat/>
    <w:pPr>
      <w:widowControl/>
      <w:kinsoku w:val="true"/>
      <w:overflowPunct w:val="true"/>
      <w:autoSpaceDE w:val="true"/>
      <w:bidi w:val="0"/>
    </w:pPr>
    <w:rPr>
      <w:rFonts w:ascii="Calibri" w:hAnsi="Calibri" w:eastAsia="Calibri" w:cs="Arial"/>
      <w:color w:val="auto"/>
      <w:sz w:val="22"/>
      <w:szCs w:val="22"/>
      <w:lang w:val="ro-MD" w:bidi="ar-SA" w:eastAsia="zh-C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intact.ro/" TargetMode="External"/><Relationship Id="rId3" Type="http://schemas.openxmlformats.org/officeDocument/2006/relationships/hyperlink" Target="https://sintact.ro/" TargetMode="External"/><Relationship Id="rId4" Type="http://schemas.openxmlformats.org/officeDocument/2006/relationships/hyperlink" Target="https://sintact.ro/" TargetMode="External"/><Relationship Id="rId5" Type="http://schemas.openxmlformats.org/officeDocument/2006/relationships/hyperlink" Target="https://sintact.ro/" TargetMode="External"/><Relationship Id="rId6" Type="http://schemas.openxmlformats.org/officeDocument/2006/relationships/hyperlink" Target="https://sintact.ro/" TargetMode="External"/><Relationship Id="rId7" Type="http://schemas.openxmlformats.org/officeDocument/2006/relationships/hyperlink" Target="https://sintact.ro/" TargetMode="External"/><Relationship Id="rId8" Type="http://schemas.openxmlformats.org/officeDocument/2006/relationships/hyperlink" Target="https://sintact.ro/" TargetMode="External"/><Relationship Id="rId9" Type="http://schemas.openxmlformats.org/officeDocument/2006/relationships/hyperlink" Target="https://sintact.ro/" TargetMode="External"/><Relationship Id="rId10" Type="http://schemas.openxmlformats.org/officeDocument/2006/relationships/hyperlink" Target="https://sintact.ro/" TargetMode="External"/><Relationship Id="rId11" Type="http://schemas.openxmlformats.org/officeDocument/2006/relationships/hyperlink" Target="https://sintact.ro/" TargetMode="External"/><Relationship Id="rId12" Type="http://schemas.openxmlformats.org/officeDocument/2006/relationships/hyperlink" Target="https://sintact.ro/" TargetMode="External"/><Relationship Id="rId13" Type="http://schemas.openxmlformats.org/officeDocument/2006/relationships/hyperlink" Target="https://sintact.ro/" TargetMode="External"/><Relationship Id="rId14" Type="http://schemas.openxmlformats.org/officeDocument/2006/relationships/hyperlink" Target="https://sintact.ro/" TargetMode="External"/><Relationship Id="rId15" Type="http://schemas.openxmlformats.org/officeDocument/2006/relationships/hyperlink" Target="https://sintact.ro/" TargetMode="External"/><Relationship Id="rId16" Type="http://schemas.openxmlformats.org/officeDocument/2006/relationships/hyperlink" Target="https://sintact.ro/" TargetMode="External"/><Relationship Id="rId17" Type="http://schemas.openxmlformats.org/officeDocument/2006/relationships/hyperlink" Target="https://sintact.ro/" TargetMode="External"/><Relationship Id="rId18" Type="http://schemas.openxmlformats.org/officeDocument/2006/relationships/hyperlink" Target="https://sintact.ro/" TargetMode="External"/><Relationship Id="rId19" Type="http://schemas.openxmlformats.org/officeDocument/2006/relationships/hyperlink" Target="https://sintact.ro/" TargetMode="External"/><Relationship Id="rId20" Type="http://schemas.openxmlformats.org/officeDocument/2006/relationships/hyperlink" Target="https://sintact.ro/" TargetMode="External"/><Relationship Id="rId21" Type="http://schemas.openxmlformats.org/officeDocument/2006/relationships/hyperlink" Target="https://sintact.ro/" TargetMode="External"/><Relationship Id="rId22" Type="http://schemas.openxmlformats.org/officeDocument/2006/relationships/hyperlink" Target="https://sintact.ro/" TargetMode="External"/><Relationship Id="rId23" Type="http://schemas.openxmlformats.org/officeDocument/2006/relationships/hyperlink" Target="https://sintact.ro/" TargetMode="External"/><Relationship Id="rId24" Type="http://schemas.openxmlformats.org/officeDocument/2006/relationships/hyperlink" Target="https://sintact.ro/" TargetMode="External"/><Relationship Id="rId25" Type="http://schemas.openxmlformats.org/officeDocument/2006/relationships/hyperlink" Target="https://sintact.ro/" TargetMode="External"/><Relationship Id="rId26" Type="http://schemas.openxmlformats.org/officeDocument/2006/relationships/hyperlink" Target="https://sintact.ro/" TargetMode="External"/><Relationship Id="rId27" Type="http://schemas.openxmlformats.org/officeDocument/2006/relationships/hyperlink" Target="https://sintact.ro/" TargetMode="External"/><Relationship Id="rId28" Type="http://schemas.openxmlformats.org/officeDocument/2006/relationships/hyperlink" Target="https://sintact.ro/" TargetMode="External"/><Relationship Id="rId29" Type="http://schemas.openxmlformats.org/officeDocument/2006/relationships/hyperlink" Target="https://sintact.ro/" TargetMode="External"/><Relationship Id="rId30" Type="http://schemas.openxmlformats.org/officeDocument/2006/relationships/hyperlink" Target="https://sintact.ro/" TargetMode="External"/><Relationship Id="rId31" Type="http://schemas.openxmlformats.org/officeDocument/2006/relationships/hyperlink" Target="https://sintact.ro/" TargetMode="External"/><Relationship Id="rId32" Type="http://schemas.openxmlformats.org/officeDocument/2006/relationships/hyperlink" Target="https://sintact.ro/" TargetMode="External"/><Relationship Id="rId33" Type="http://schemas.openxmlformats.org/officeDocument/2006/relationships/hyperlink" Target="https://sintact.ro/" TargetMode="External"/><Relationship Id="rId34" Type="http://schemas.openxmlformats.org/officeDocument/2006/relationships/hyperlink" Target="https://sintact.ro/" TargetMode="External"/><Relationship Id="rId35" Type="http://schemas.openxmlformats.org/officeDocument/2006/relationships/hyperlink" Target="https://sintact.ro/" TargetMode="External"/><Relationship Id="rId36" Type="http://schemas.openxmlformats.org/officeDocument/2006/relationships/hyperlink" Target="https://sintact.ro/" TargetMode="External"/><Relationship Id="rId37" Type="http://schemas.openxmlformats.org/officeDocument/2006/relationships/hyperlink" Target="https://sintact.ro/" TargetMode="External"/><Relationship Id="rId38" Type="http://schemas.openxmlformats.org/officeDocument/2006/relationships/hyperlink" Target="https://sintact.ro/" TargetMode="External"/><Relationship Id="rId39" Type="http://schemas.openxmlformats.org/officeDocument/2006/relationships/hyperlink" Target="https://sintact.ro/" TargetMode="External"/><Relationship Id="rId40" Type="http://schemas.openxmlformats.org/officeDocument/2006/relationships/hyperlink" Target="https://sintact.ro/" TargetMode="External"/><Relationship Id="rId41" Type="http://schemas.openxmlformats.org/officeDocument/2006/relationships/footer" Target="footer1.xml"/><Relationship Id="rId42" Type="http://schemas.openxmlformats.org/officeDocument/2006/relationships/numbering" Target="numbering.xml"/><Relationship Id="rId43" Type="http://schemas.openxmlformats.org/officeDocument/2006/relationships/fontTable" Target="fontTable.xml"/><Relationship Id="rId44" Type="http://schemas.openxmlformats.org/officeDocument/2006/relationships/settings" Target="settings.xml"/><Relationship Id="rId4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163</ap:TotalTime>
  <ap:Application>LibreOffice/24.2.7.2$Linux_X86_64 LibreOffice_project/420$Build-2</ap:Application>
  <ap:AppVersion>15.0000</ap:AppVersion>
  <ap:Pages>15</ap:Pages>
  <ap:Words>8623</ap:Words>
  <ap:Characters>50165</ap:Characters>
  <ap:CharactersWithSpaces>58698</ap:CharactersWithSpaces>
  <ap:Paragraphs>184</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