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9</w:t>
      </w:r>
    </w:p>
    <w:p>
      <w:pPr>
        <w:pStyle w:val="Normal"/>
        <w:rPr/>
      </w:pPr>
      <w:r>
        <w:rPr/>
        <w:t>Dosar nr. D1</w:t>
      </w:r>
    </w:p>
    <w:p>
      <w:pPr>
        <w:pStyle w:val="Normal"/>
        <w:jc w:val="center"/>
        <w:rPr/>
      </w:pPr>
      <w:r>
        <w:rPr/>
      </w:r>
    </w:p>
    <w:p>
      <w:pPr>
        <w:pStyle w:val="Normal"/>
        <w:jc w:val="center"/>
        <w:rPr/>
      </w:pPr>
      <w:r>
        <w:rPr/>
        <w:t>R O M Â N I A</w:t>
      </w:r>
    </w:p>
    <w:p>
      <w:pPr>
        <w:pStyle w:val="Normal"/>
        <w:jc w:val="center"/>
        <w:rPr/>
      </w:pPr>
      <w:r>
        <w:rPr/>
        <w:t>CURTEA DE APEL ...</w:t>
      </w:r>
    </w:p>
    <w:p>
      <w:pPr>
        <w:pStyle w:val="Normal"/>
        <w:jc w:val="center"/>
        <w:rPr>
          <w:lang w:val="fr-FR"/>
        </w:rPr>
      </w:pPr>
      <w:r>
        <w:rPr/>
        <w:t>SECŢIA ....</w:t>
      </w:r>
    </w:p>
    <w:p>
      <w:pPr>
        <w:pStyle w:val="Normal"/>
        <w:jc w:val="center"/>
        <w:rPr/>
      </w:pPr>
      <w:r>
        <w:rPr/>
      </w:r>
      <w:r>
        <w:rPr/>
      </w:r>
      <w:r>
        <w:rPr/>
      </w:r>
      <w:r>
        <w:rPr/>
        <w:t>DECIZIE</w:t>
      </w:r>
      <w:r>
        <w:rPr/>
      </w:r>
      <w:r>
        <w:rPr/>
      </w:r>
      <w:r>
        <w:rPr/>
        <w:t xml:space="preserve"> Nr. ...</w:t>
      </w:r>
    </w:p>
    <w:p>
      <w:pPr>
        <w:pStyle w:val="Normal"/>
        <w:jc w:val="center"/>
        <w:rPr/>
      </w:pPr>
      <w:r>
        <w:rPr/>
        <w:t>Şedinţa </w:t>
      </w:r>
      <w:r>
        <w:rPr/>
      </w:r>
      <w:r>
        <w:rPr/>
      </w:r>
      <w:r>
        <w:rPr/>
      </w:r>
      <w:r>
        <w:rPr/>
        <w:t>publică</w:t>
      </w:r>
      <w:r>
        <w:rPr/>
      </w:r>
      <w:r>
        <w:rPr/>
      </w:r>
      <w:r>
        <w:rPr/>
        <w:t xml:space="preserve"> de la ...</w:t>
      </w:r>
    </w:p>
    <w:p>
      <w:pPr>
        <w:pStyle w:val="Normal"/>
        <w:jc w:val="center"/>
        <w:rPr/>
      </w:pPr>
      <w:r>
        <w:rPr/>
        <w:t>Completul compus din:</w:t>
      </w:r>
    </w:p>
    <w:p>
      <w:pPr>
        <w:pStyle w:val="Normal"/>
        <w:ind w:left="2835" w:right="0"/>
        <w:jc w:val="both"/>
        <w:rPr>
          <w:b/>
        </w:rPr>
      </w:pPr>
      <w:r>
        <w:rPr>
          <w:b/>
        </w:rPr>
        <w:t>PREŞEDINTE: A0006</w:t>
      </w:r>
    </w:p>
    <w:p>
      <w:pPr>
        <w:pStyle w:val="Normal"/>
        <w:ind w:left="2835" w:right="0"/>
        <w:jc w:val="both"/>
        <w:rPr>
          <w:b/>
        </w:rPr>
      </w:pPr>
      <w:r>
        <w:rPr>
          <w:b/>
        </w:rPr>
        <w:t>Judecător: ...</w:t>
      </w:r>
    </w:p>
    <w:p>
      <w:pPr>
        <w:pStyle w:val="Normal"/>
        <w:ind w:left="2835" w:right="0"/>
        <w:jc w:val="both"/>
        <w:rPr>
          <w:b/>
        </w:rPr>
      </w:pPr>
      <w:r>
        <w:rPr>
          <w:b/>
        </w:rPr>
        <w:t>Judecător: ...</w:t>
      </w:r>
    </w:p>
    <w:p>
      <w:pPr>
        <w:pStyle w:val="Normal"/>
        <w:ind w:left="2835" w:right="0"/>
        <w:jc w:val="both"/>
        <w:rPr>
          <w:b/>
        </w:rPr>
      </w:pPr>
      <w:r>
        <w:rPr>
          <w:b/>
        </w:rPr>
        <w:t>Grefier: ...</w:t>
      </w:r>
    </w:p>
    <w:p>
      <w:pPr>
        <w:pStyle w:val="Normal"/>
        <w:ind w:left="2835" w:right="0"/>
        <w:jc w:val="both"/>
        <w:rPr>
          <w:b/>
        </w:rPr>
      </w:pPr>
      <w:r>
        <w:rPr>
          <w:b/>
        </w:rPr>
      </w:r>
    </w:p>
    <w:p>
      <w:pPr>
        <w:pStyle w:val="Normal"/>
        <w:jc w:val="center"/>
        <w:rPr/>
      </w:pPr>
      <w:r>
        <w:rPr/>
        <w:t>x.x</w:t>
      </w:r>
    </w:p>
    <w:p>
      <w:pPr>
        <w:pStyle w:val="Normal"/>
        <w:jc w:val="center"/>
        <w:rPr/>
      </w:pPr>
      <w:r>
        <w:rPr/>
      </w:r>
    </w:p>
    <w:p>
      <w:pPr>
        <w:pStyle w:val="Normal"/>
        <w:jc w:val="both"/>
        <w:rPr/>
      </w:pPr>
      <w:r>
        <w:rPr/>
        <w:tab/>
        <w:t>Pe rol judecarea recursului formulat de pârâta DIRECŢIA GENERALĂ REGIONALĂ A FINANŢELOR A1 PRIN AJFP A2, împotriva sentinţei nr.SC1, pronunţată de Tribunalul ..., în dosarul nr.D1, în contradictoriu cu intimatul reclamant SINDICATUL ...-ÎN NUMELE ŞI PENTRU MEMBRUL DE SINDICAT- B1, având ca obiect litigiu privind funcţionarii publici (Legea Nr.188/1999) DISJUNS DIN DOSARUL NR. D2.</w:t>
      </w:r>
    </w:p>
    <w:p>
      <w:pPr>
        <w:pStyle w:val="Normal"/>
        <w:jc w:val="both"/>
        <w:rPr/>
      </w:pPr>
      <w:r>
        <w:rPr/>
        <w:tab/>
        <w:t>La apelul nominal făcut în şedinţa publică au lipsit părţile.</w:t>
      </w:r>
    </w:p>
    <w:p>
      <w:pPr>
        <w:pStyle w:val="Normal"/>
        <w:jc w:val="both"/>
        <w:rPr/>
      </w:pPr>
      <w:r>
        <w:rPr/>
        <w:t xml:space="preserve">      </w:t>
      </w:r>
      <w:r>
        <w:rPr/>
        <w:tab/>
        <w:t>Procedura legal îndeplinită.</w:t>
      </w:r>
    </w:p>
    <w:p>
      <w:pPr>
        <w:pStyle w:val="Normal"/>
        <w:jc w:val="both"/>
        <w:rPr/>
      </w:pPr>
      <w:r>
        <w:rPr/>
        <w:tab/>
        <w:t>S-a făcut referatul cauzei de către grefierul de şedinţă, care învederează că recursul au fost declarat în termenul legal, iar părţile au solicitat judecarea cauzei în lipsă potrivit dispoziţiilor art. 242 alin. 1 pct. 2 Codul de procedură civilă.</w:t>
      </w:r>
    </w:p>
    <w:p>
      <w:pPr>
        <w:pStyle w:val="Normal"/>
        <w:jc w:val="both"/>
        <w:rPr/>
      </w:pPr>
      <w:r>
        <w:rPr/>
        <w:tab/>
        <w:t>Apreciindu-se îndeplinite dispoziţiile art. 150 Codul de procedură civilă, instanţa reţine cauza spre soluţionare.</w:t>
      </w:r>
    </w:p>
    <w:p>
      <w:pPr>
        <w:pStyle w:val="Normal"/>
        <w:jc w:val="both"/>
        <w:rPr/>
      </w:pPr>
      <w:r>
        <w:rPr/>
        <w:tab/>
        <w:t xml:space="preserve">Deliberând,      </w:t>
      </w:r>
    </w:p>
    <w:p>
      <w:pPr>
        <w:pStyle w:val="Normal"/>
        <w:rPr/>
      </w:pPr>
      <w:r>
        <w:rPr/>
      </w:r>
    </w:p>
    <w:p>
      <w:pPr>
        <w:pStyle w:val="Normal"/>
        <w:jc w:val="center"/>
        <w:rPr/>
      </w:pPr>
      <w:r>
        <w:rPr/>
        <w:t>C U R T E A:</w:t>
      </w:r>
    </w:p>
    <w:p>
      <w:pPr>
        <w:pStyle w:val="Normal"/>
        <w:rPr/>
      </w:pPr>
      <w:r>
        <w:rPr/>
        <w:tab/>
        <w:t>Asupra recursului de faţă;</w:t>
      </w:r>
    </w:p>
    <w:p>
      <w:pPr>
        <w:pStyle w:val="Normal"/>
        <w:ind w:right="0" w:firstLine="708"/>
        <w:jc w:val="both"/>
        <w:rPr/>
      </w:pPr>
      <w:r>
        <w:rPr/>
        <w:tab/>
        <w:t xml:space="preserve">Prin sentinţa nr.SC1, pronunţată de Tribunalul ..., în dosarul nr.D1, s-a admis cererea de chemare în judecată precizată formulată de </w:t>
      </w:r>
      <w:bookmarkStart w:name="_Hlk14433477" w:id="0"/>
      <w:r>
        <w:rPr/>
        <w:t>reclamantul SINDICATUL .... PENTRU MEMBRUL DE SINDICAT B1, în contradictoriu cu pârâta DIRECŢIA GENERALĂ REGIONALĂ A FINANŢELOR A1, reprezentată de DIRECŢIA GENERALĂ REGIONALĂ A FINANŢELOR PUBLICE A3 PRIN ADMINISTRAŢIA JUDEŢEANĂ A FINANŢELOR PUBLICE A2</w:t>
      </w:r>
      <w:bookmarkStart w:name="_Hlk14433517" w:id="1"/>
      <w:bookmarkEnd w:id="0"/>
      <w:r>
        <w:rPr/>
        <w:t>.</w:t>
      </w:r>
    </w:p>
    <w:p>
      <w:pPr>
        <w:pStyle w:val="Normal"/>
        <w:ind w:right="0" w:firstLine="708"/>
        <w:jc w:val="both"/>
        <w:rPr/>
      </w:pPr>
      <w:r>
        <w:rPr/>
        <w:t>A obligat pârâta să calculeze şi să plătească reclamantului diferenţele salariale dintre salariul efectiv încasat şi salariul maxim aflat în plată în cadrul Direcţiei Generale Regionale A Finanţelor A1 pentru aceeaşi funcţie/grad/treaptă şi gradaţie, începând cu data de 05.12.2019 până la data de 31.12.2022, sume actualizate cu indicele de inflaţie, la care se va adăuga dobânda penalizatoare la data plăţii efective.</w:t>
      </w:r>
    </w:p>
    <w:p>
      <w:pPr>
        <w:pStyle w:val="Normal"/>
        <w:ind w:right="0" w:firstLine="708"/>
        <w:jc w:val="both"/>
        <w:rPr/>
      </w:pPr>
      <w:r>
        <w:rPr/>
        <w:t>A obligat pârâta să plătească reclamantului suma de 113 lei, cu titlul de cheltuieli de judecată.</w:t>
      </w:r>
    </w:p>
    <w:p>
      <w:pPr>
        <w:pStyle w:val="Normal"/>
        <w:ind w:right="0" w:firstLine="709"/>
        <w:jc w:val="both"/>
        <w:rPr/>
      </w:pPr>
      <w:bookmarkEnd w:id="1"/>
      <w:r>
        <w:rPr>
          <w:b/>
        </w:rPr>
        <w:t>Împotriva acestei sentinţe, a declarat recurs recurenta pârâta</w:t>
      </w:r>
      <w:r>
        <w:rPr/>
        <w:t>, solicitând admiterea recursului, casarea hotărârii şi, rejudecând, respingerea acţiunii ca nefondată.</w:t>
      </w:r>
    </w:p>
    <w:p>
      <w:pPr>
        <w:pStyle w:val="Normal"/>
        <w:ind w:right="0" w:firstLine="709"/>
        <w:jc w:val="both"/>
        <w:rPr>
          <w:i/>
          <w:i/>
        </w:rPr>
      </w:pPr>
      <w:r>
        <w:rPr>
          <w:i/>
        </w:rPr>
        <w:t>Dezvoltarea motivelor de recurs:</w:t>
      </w:r>
    </w:p>
    <w:p>
      <w:pPr>
        <w:pStyle w:val="Normal"/>
        <w:ind w:right="0" w:firstLine="709"/>
        <w:jc w:val="both"/>
        <w:rPr/>
      </w:pPr>
      <w:r>
        <w:rPr/>
        <w:t>A apreciat că, instanța de fond a aplicat greșit normele de drept material prevăzute de Legea-cadru nr.153/2017 privind salarizarea personalului plătit din fonduri publice și O.G. nr. 13/2011.</w:t>
      </w:r>
    </w:p>
    <w:p>
      <w:pPr>
        <w:pStyle w:val="Normal"/>
        <w:ind w:right="0" w:firstLine="709"/>
        <w:jc w:val="both"/>
        <w:rPr/>
      </w:pPr>
      <w:r>
        <w:rPr/>
        <w:t>Recurenta pârâtă a învederat că, reclamanta, funcționar public în cadrul D.G.R.F.P. A1 a solicitat aplicarea Deciziei nr.794/2016, motivat de faptul că la nivelul direcțiilor regionale aflate în subordinea ANAF există majorări ale salariilor de bază ale angajaților ca urmare a pronunţării unor hotărâri judecătorești definitive, iar aceste majorări salariale nu au caracter unitar pentru toți angajații din cadrul ANAF.</w:t>
        <w:tab/>
      </w:r>
    </w:p>
    <w:p>
      <w:pPr>
        <w:pStyle w:val="Normal"/>
        <w:ind w:right="0" w:firstLine="709"/>
        <w:jc w:val="both"/>
        <w:rPr/>
      </w:pPr>
      <w:r>
        <w:rPr/>
        <w:t>De asemenea că, potrivit art.435 din Codul de procedură civilă hotărârea judecătorească este obligatorie și produce efecte numai între părti și succesorii acestora. Plata majorării pentru complexitate de 15% în discuție către reclamanții menționați în hotărâri este consecința caracterului obligatoriu al hotărârii, instituția pârâtă conformându-se obligațiilor stabilite de instanță.</w:t>
      </w:r>
    </w:p>
    <w:p>
      <w:pPr>
        <w:pStyle w:val="Normal"/>
        <w:ind w:right="0" w:firstLine="709"/>
        <w:jc w:val="both"/>
        <w:rPr/>
      </w:pPr>
      <w:r>
        <w:rPr/>
        <w:t>Față de cele de mai sus, apreciază că argumentul potrivit căruia se impune plata drepturilor bănești în discuție pentru evitarea unei discriminări între salariații care ocupă aceleași funcții și desfășoară aceleași activități, nu poate fi primit.</w:t>
      </w:r>
    </w:p>
    <w:p>
      <w:pPr>
        <w:pStyle w:val="Normal"/>
        <w:ind w:right="0" w:firstLine="709"/>
        <w:jc w:val="both"/>
        <w:rPr/>
      </w:pPr>
      <w:r>
        <w:rPr/>
        <w:t>Referitor la Decizia nr.794/2016 a Curții Constituționale a României, menționează faptul că în aplicarea acestei decizii se vor avea în vedere numai hotărârile judecătorești care au aplicabilitate generală, care au interpretat și aplicat acte normative cu caracter general din domeniul salarizării și care nu introduc elemente noi în sistemul de salarizare.</w:t>
      </w:r>
    </w:p>
    <w:p>
      <w:pPr>
        <w:pStyle w:val="Normal"/>
        <w:ind w:right="0" w:firstLine="709"/>
        <w:jc w:val="both"/>
        <w:rPr/>
      </w:pPr>
      <w:r>
        <w:rPr/>
        <w:t>Arătă instanței ca atunci când se referă la „sentințe judecătorești”, reclamanții nu se referă la hotărâri judecătorești care să fi fost pronunțate în contradictoriu cu ei, deci opozabile numai lor, ci la alte sentințe pronunțate de instanțele din România în spețe diferite.</w:t>
      </w:r>
    </w:p>
    <w:p>
      <w:pPr>
        <w:pStyle w:val="Normal"/>
        <w:ind w:right="0" w:firstLine="709"/>
        <w:jc w:val="both"/>
        <w:rPr/>
      </w:pPr>
      <w:r>
        <w:rPr/>
        <w:t>În ceea ce îi privește pe aceștia, menționează că nu există hotărâri judecătorești definitive care să nu fi fost puse în executare sau care urmează a fi puse în executare, motiv pentru care argumentele reclamanților cu privire la efectele erga omnes pe care le-ar produce sentințele judecătorești pronunțate în alte dosare nu pot fi primite.</w:t>
      </w:r>
    </w:p>
    <w:p>
      <w:pPr>
        <w:pStyle w:val="Normal"/>
        <w:ind w:right="0" w:firstLine="709"/>
        <w:jc w:val="both"/>
        <w:rPr/>
      </w:pPr>
      <w:r>
        <w:rPr/>
        <w:t xml:space="preserve">Sub acest aspect, a arătat că devine aplicabil principiul de drept potrivit căruia hotărârile judecătorești produc efecte numai față de părțile din proces. </w:t>
      </w:r>
    </w:p>
    <w:p>
      <w:pPr>
        <w:pStyle w:val="Normal"/>
        <w:ind w:right="0" w:firstLine="709"/>
        <w:jc w:val="both"/>
        <w:rPr/>
      </w:pPr>
      <w:r>
        <w:rPr/>
        <w:t>A mai arătat că opozabilitatea este acea calitate a unui act juridic ori a unui drept subiectiv de a impune respectarea lui de către alte persoane decât părțile, o hotărâre judecătoreasca fiind opozabilă doar părţilor din proces, în timp ce o hotărâre judecătorească este obligatorie și produce efecte numai între părți și succesorii acestora. Prin cerere, reclamanții au solicitat ca pârâta să includă în salariul de bază și drepturile stabilite și recunoscute prin hotărâri judecătorești definitive și irevocabile, altele decât cele ce privesc părțile din litigiu.</w:t>
      </w:r>
    </w:p>
    <w:p>
      <w:pPr>
        <w:pStyle w:val="Normal"/>
        <w:ind w:right="0" w:firstLine="709"/>
        <w:jc w:val="both"/>
        <w:rPr/>
      </w:pPr>
      <w:r>
        <w:rPr/>
        <w:t>Legat de acest fapt, învederează instanței că, sub aspectul obligativității, aceste hotărâri își produc efectele doar între părti, iar, sub aspectul opozabilității, hotărârile impun respectarea lor de către alte persoane decât părțile.</w:t>
      </w:r>
    </w:p>
    <w:p>
      <w:pPr>
        <w:pStyle w:val="Normal"/>
        <w:ind w:right="0" w:firstLine="709"/>
        <w:jc w:val="both"/>
        <w:rPr/>
      </w:pPr>
      <w:r>
        <w:rPr/>
        <w:t>Ca atare, invocarea unei hotărâri judecătorești pronunțată de către o instanță din România, cu părți- altele decât în speța prezentă, este lipsită de relevanță și nu ar trebui să fie avută în vedere la pronunțarea hotărârii, în baza principiului că, în România, practica judiciară nu este izvor de drept.</w:t>
      </w:r>
    </w:p>
    <w:p>
      <w:pPr>
        <w:pStyle w:val="Normal"/>
        <w:ind w:right="0" w:firstLine="709"/>
        <w:jc w:val="both"/>
        <w:rPr/>
      </w:pPr>
      <w:r>
        <w:rPr/>
        <w:t>A mai arătat că, din motivarea deciziei mentionate, rezultă că urmare a intrării în vigoare a OUG nr.20/2016 este aceea că, pentru fiecare funcție, grad/treaptă, gradație, vechime în funcție sau în specialitate, indemnizația de încadrare personalului bugetar este aceeași.</w:t>
      </w:r>
    </w:p>
    <w:p>
      <w:pPr>
        <w:pStyle w:val="Normal"/>
        <w:ind w:right="0" w:firstLine="709"/>
        <w:jc w:val="both"/>
        <w:rPr/>
      </w:pPr>
      <w:r>
        <w:rPr/>
        <w:t>Recurenta pârâtă a invocat prevederile art.1, punctul 1 din Legea nr.71/2015, dispoziţiile art.1 alin.1 alin.5 ind.1 şi art.5 alin.3  din OUG nr.83/2014.</w:t>
      </w:r>
    </w:p>
    <w:p>
      <w:pPr>
        <w:pStyle w:val="Normal"/>
        <w:ind w:right="0" w:firstLine="709"/>
        <w:jc w:val="both"/>
        <w:rPr/>
      </w:pPr>
      <w:r>
        <w:rPr/>
        <w:t>De asemenea că, deși dispozițiile art.3 ind.1 alin.1 ind. 2 din OUG nr. 57/2015 au fost declarate neconstituționale prin Decizia nr.794/2016 pronunțată de Curtea Constituțională, a arătat instanţei că au rămas în vigoare  disp. art.3 ind.1 alin.1, art.3 ind. 1 alin. 1 ind. 2,</w:t>
        <w:tab/>
        <w:t>art.3 ind.1 alin.1 ind. 3 din OUG nr.57/2015.</w:t>
      </w:r>
    </w:p>
    <w:p>
      <w:pPr>
        <w:pStyle w:val="Normal"/>
        <w:ind w:right="0" w:firstLine="709"/>
        <w:jc w:val="both"/>
        <w:rPr/>
      </w:pPr>
      <w:r>
        <w:rPr/>
        <w:t>Totodată că, analiza diferențelor de tratament juridic aplicabil persoanelor salarizate în conformitate cu prevederile Legii cadru nr. 284/2010 și aflate în condiții/situaţii juridice identice se impune a fi circumscrisă aceleiași instituții sau autorități publice (definită ca fiind aceea instituție sau autoritate publică cu personalitate juridică care are patrimoniu propriu, buget propriu de venituri și cheltuieli, conducere, contabilitate proprie, iar conducătorul acesteia are calitatea de ordonator de credite) sau acelorași instituţii/autorități publice aflate în subordinea aceluiași ordonator de credite, având același scop, îndeplinind aceleași funcții și atribuții, având același nivel de subordonare din punct de vedere financiar.</w:t>
      </w:r>
    </w:p>
    <w:p>
      <w:pPr>
        <w:pStyle w:val="Normal"/>
        <w:ind w:right="0" w:firstLine="709"/>
        <w:jc w:val="both"/>
        <w:rPr/>
      </w:pPr>
      <w:r>
        <w:rPr/>
        <w:t>Recurenta pârâtă a invocat  prevederilor art.4 alin.(2) din O.U.G. nr.57/2015 arătând că, prin nivel de salarizare în plată pentru funcțiile similare se înțelege „același cuantum al salariului de bază cu cel al salariaților având aceeași funcție, în care au fost incluse, după data de 31 decembrie 2009 sumele aferente salariului de încadrare, precum și sumele aferente sporurilor de care au beneficiat înainte de această dată, dacă salariatul angajat, numit sau promovat îndeplinește aceleași condiții de studii medii, superioare, postuniversitare, doctorale, de vechime și își desfășoară activitatea în aceleași condiții, specifice locului de muncă la data angajării sau promovării”.</w:t>
      </w:r>
    </w:p>
    <w:p>
      <w:pPr>
        <w:pStyle w:val="Normal"/>
        <w:ind w:right="0" w:firstLine="709"/>
        <w:jc w:val="both"/>
        <w:rPr/>
      </w:pPr>
      <w:r>
        <w:rPr/>
        <w:t>A mai arătat că, aceeași reglementare a fost preluată și în cuprinsul art. 5 alin. (3) din OUG nr. 83/2014 privind salarizarea personalului plătit din fonduri publice în anul 2015, precum și alte măsuri în domeniul cheltuielilor publice, aprobată cu modificări și completări prin Legea nr.71/2015. Conform prevederilor art.6 alin.1 si 2 din OUG nr.83/2014 modificată și completată prin Legea nr.71/ 015, coroborat cu art.5 alin.1 si alin.1 indice 1, în anul 2015, pentru personalul numit/încadrat pe funcții, pentru personalul numit/ încadrat în aceeași autoritate publică, precum si pentru personalul promovat în funcții sau în grade/trepte, salarizarea se face la nivelul de salarizare în plată pentru funcțiile similare din instituția în care acesta este încadrat sau din instituțiile subordonate acestora, în cazul în care nu există o funcție similară în plată.</w:t>
      </w:r>
    </w:p>
    <w:p>
      <w:pPr>
        <w:pStyle w:val="Normal"/>
        <w:ind w:right="0" w:firstLine="709"/>
        <w:jc w:val="both"/>
        <w:rPr/>
      </w:pPr>
      <w:r>
        <w:rPr/>
        <w:t>De asemenea că, toate aceste acte normative au avut aplicabilitate temporară, după cum rezultă din chiar titlul acestora.</w:t>
      </w:r>
    </w:p>
    <w:p>
      <w:pPr>
        <w:pStyle w:val="Normal"/>
        <w:ind w:right="0" w:firstLine="709"/>
        <w:jc w:val="both"/>
        <w:rPr/>
      </w:pPr>
      <w:r>
        <w:rPr/>
        <w:t>Totodată că, în esență, diferențele salariale „au survenit între funcționarii publici care au fost încadrați și promovați înainte de anul 2009, aceștia având un salariu mai mare, față de cei încadrați sau promovați după anul 2010, care nu au avut nici măcar vocația de a obține același nivel salarial. Începând cu data de 01.01.2011, s-a făcut aplicabilitatea dispozițiilor art. 1 alin.1 si 3 Legea nr.285/2010 privind salarizarea în anul 2011 a personalului plătit din fonduri publice.</w:t>
      </w:r>
    </w:p>
    <w:p>
      <w:pPr>
        <w:pStyle w:val="Normal"/>
        <w:ind w:right="0" w:firstLine="709"/>
        <w:jc w:val="both"/>
        <w:rPr/>
      </w:pPr>
      <w:r>
        <w:rPr/>
        <w:t>De asemenea că, în conformitate cu dispozițiile precizate, la reîncadrare (01.01.2011), conform art.1 alin.(1) și alin.(3) din Legea nr.285/2010, întreg personalul și implicit reclamanta a beneficiat de salariul de bază deținut la data de 31.12.2010 (diferențiat pe trepte de salarizare) majorat cu un procent de 15% în vederea recuperării parțiale a reducerilor salariale operate în anul 2010.</w:t>
      </w:r>
    </w:p>
    <w:p>
      <w:pPr>
        <w:pStyle w:val="Normal"/>
        <w:ind w:right="0" w:firstLine="709"/>
        <w:jc w:val="both"/>
        <w:rPr/>
      </w:pPr>
      <w:r>
        <w:rPr/>
        <w:t>A mai arătat că salarizarea personalului bugetar este reglementată prin Legea-cadru nr. 284/2010 privind salarizarea unitară a personalului plătit din fonduri publice, cu modificările și completările ulterioare, dispozițiile art.7 din acest act normativ stipulând că aplicarea prevederilor acestei legi se va efectua etapizat, prin legi anuale de aplicare.</w:t>
      </w:r>
    </w:p>
    <w:p>
      <w:pPr>
        <w:pStyle w:val="Normal"/>
        <w:ind w:right="0" w:firstLine="709"/>
        <w:jc w:val="both"/>
        <w:rPr/>
      </w:pPr>
      <w:r>
        <w:rPr/>
        <w:t>Totodată că, pentru rezolvarea diferențelor salariale și a inechităților existente, a fost emisă Legea nr.71/2015 pentru aprobarea OUG nr.83/2014 privind salarizarea personalului plătit din fonduri publice în anul 2015.</w:t>
      </w:r>
    </w:p>
    <w:p>
      <w:pPr>
        <w:pStyle w:val="Normal"/>
        <w:ind w:right="0" w:firstLine="709"/>
        <w:jc w:val="both"/>
        <w:rPr/>
      </w:pPr>
      <w:r>
        <w:rPr/>
        <w:t xml:space="preserve">A învederat că, prin Legea nr.71/2015 s-a creat totuși posibilitatea ca personalul încadrat în instituțiile și autoritățile publice care avea un nivel al salariului de bază și al sporurilor, mai mic decât cel stabilit la nivel maxim în cadrul aceleiași instituții sau autorități publice pentru fiecare funcție/grad/treaptă și gradație, să fie salarizat la nivelul maxim dacă își desfășoară activitatea în aceleași condiții, în cadrul aceleiași instituții. Astfel, prin Legea nr. 71/2015 a fost introdus alin.5 ind.1 : „prin excepție de la prevederile alin. (1) si (2), personalul din aparatul de lucru al Parlamentului și din celelalte instituții și autorități publice, salarizat la același nivel, precum și personalul din cadrul Consiliului Concurentei și al Curții de Conturi, inclusiv personalul prevăzut la art.5 din aceste instituții, care beneficiază de un cuantum al salariilor de bază și al sporurilor mai mici decât cele stabilite la nivel maxim în cadrul aceleiași instituţii sau autorități publice pentru fiecare funcţie/grad/treaptă și gradație, va fi salarizat la nivelul maxim dacă își desfășoară activitatea în aceleași condiții.” </w:t>
      </w:r>
    </w:p>
    <w:p>
      <w:pPr>
        <w:pStyle w:val="Normal"/>
        <w:ind w:right="0" w:firstLine="709"/>
        <w:jc w:val="both"/>
        <w:rPr/>
      </w:pPr>
      <w:r>
        <w:rPr/>
        <w:t>De asemenea că amendamentul a fost introdus pentru eliminarea discriminării între persoane care ocupă aceleași funcții, în aceleași condiții de studii și vechime.</w:t>
      </w:r>
    </w:p>
    <w:p>
      <w:pPr>
        <w:pStyle w:val="Normal"/>
        <w:ind w:right="0" w:firstLine="709"/>
        <w:jc w:val="both"/>
        <w:rPr/>
      </w:pPr>
      <w:r>
        <w:rPr/>
        <w:t>A arătat că, în 2016 a fost adoptată OUG nr. 20/2016, prin care s-a dorit soluţionarea acestei inechități. Prin această Ordonanță de Urgență a fost modificată OUG 57/2015 privind salarizarea personalului plătit din fonduri publice în anul 2016.</w:t>
      </w:r>
    </w:p>
    <w:p>
      <w:pPr>
        <w:pStyle w:val="Normal"/>
        <w:ind w:right="0" w:firstLine="709"/>
        <w:jc w:val="both"/>
        <w:rPr/>
      </w:pPr>
      <w:r>
        <w:rPr/>
        <w:t>Au fost invocate prevederile art.1 din O.U.G. nr. 57/2015.</w:t>
      </w:r>
    </w:p>
    <w:p>
      <w:pPr>
        <w:pStyle w:val="Normal"/>
        <w:ind w:right="0" w:firstLine="709"/>
        <w:jc w:val="both"/>
        <w:rPr/>
      </w:pPr>
      <w:r>
        <w:rPr/>
        <w:t>Totodată că, prin  O.U.G. nr.20/2016 s-a introdus un nou articol în cuprinsul O.U.G. nr. 57/2015, respectiv art.3 ind.1, care la alin. (1 ) prevedea că „prin excepție de la prevederile art.1 alin.(1), începând cu luna august 2016, personalul plătit din fonduri publice care beneficiază de un cuantum al salariilor de baza/ indemnizațiilor de încadrare mai mic decât cel stabilit la nivel maxim pentru fiecare funcție, grad/ treaptă, gradație, vechime în funcție sau in specialitate, după caz, va fi salarizat la nivelul maxim al salariului de baza/ indemnizației de încadrare din cadrul instituției sau autorității publice respective, dacă își desfășoară activitatea în aceleași condiții”.</w:t>
      </w:r>
    </w:p>
    <w:p>
      <w:pPr>
        <w:pStyle w:val="Normal"/>
        <w:ind w:right="0" w:firstLine="709"/>
        <w:jc w:val="both"/>
        <w:rPr/>
      </w:pPr>
      <w:r>
        <w:rPr/>
        <w:t>A învederat că, prin Nota de fundamentare a O.U.G. nr.20/2016 s-a reținut că, aplicând actul reparator din perspectiva salarială, respectiv OUG 20/2016, ordonatorii de credite trebuie să emită noi ordine de salarizare care să corespundă rațiunii de egalizare, în interesul salariatului, a câștigurilor de natură salarială.</w:t>
      </w:r>
    </w:p>
    <w:p>
      <w:pPr>
        <w:pStyle w:val="Normal"/>
        <w:ind w:right="0" w:firstLine="709"/>
        <w:jc w:val="both"/>
        <w:rPr/>
      </w:pPr>
      <w:r>
        <w:rPr/>
        <w:t>Astfel, începând cu data de 01.08.2016, au fost puse în aplicare prevederile OUG nr. 20/2016 pentru modificarea și completarea OUG nr. 57/2015 privind salarizarea personalului plătit din fonduri publice în anul 2016, prorogarea unor termene, precum și unele măsuri fiscal bugetare și pentru modificarea și completarea unor acte normative.</w:t>
      </w:r>
    </w:p>
    <w:p>
      <w:pPr>
        <w:pStyle w:val="Normal"/>
        <w:ind w:right="0" w:firstLine="709"/>
        <w:jc w:val="both"/>
        <w:rPr/>
      </w:pPr>
      <w:r>
        <w:rPr/>
        <w:t>Precizează că potrivit O.U.G. nr.43/31.08.2016: „în cazul instituțiilor sau autorităților publice aflate în subordinea aceluiași ordonator de credite, având același scop, îndeplinind aceleași funcții si atribuții, aflate la același nivel de subordonare din punct de vedere financiar, nivelul maxim al salariului de bază/ indemnizației de încadrare se va stabili la nivelul maxim aflat în plată in cadrul tuturor acestor instituții sau autorități publice subordonate”.</w:t>
      </w:r>
    </w:p>
    <w:p>
      <w:pPr>
        <w:pStyle w:val="Normal"/>
        <w:ind w:right="0" w:firstLine="709"/>
        <w:jc w:val="both"/>
        <w:rPr/>
      </w:pPr>
      <w:r>
        <w:rPr/>
        <w:t>În ceea ce privește principiul nediscriminării, susţine că pot exista diferenţe salariale între cei salarizați potrivit noii legi și cei salarizați în baza vechii legi (deși persoanele sunt încadrate pe posturi identice). Curtea Constituționala a reţinut în Decizia nr. 820/2006 ca „situația diferită în care se afla cetățenii în funcție de reglementarea aplicabilă potrivit principiului tempus regit actum nu poate fi privită ca o încălcare a dispozițiilor constituționale care consacră egalitatea în fața legii și a autorităților publice, fără privilegii și fără discriminări ” .</w:t>
      </w:r>
    </w:p>
    <w:p>
      <w:pPr>
        <w:pStyle w:val="Normal"/>
        <w:ind w:right="0" w:firstLine="709"/>
        <w:jc w:val="both"/>
        <w:rPr/>
      </w:pPr>
      <w:r>
        <w:rPr/>
        <w:t>Cu privire la principiul nediscriminării și la principiul egalității, face mențiunea că acestea sunt reglementate de un act normativ a cărui aplicare este una etapizată, așa cum rezultă fără echivoc din dispozițiile art.38 din Legea cadru.</w:t>
      </w:r>
    </w:p>
    <w:p>
      <w:pPr>
        <w:pStyle w:val="Normal"/>
        <w:ind w:right="0" w:firstLine="709"/>
        <w:jc w:val="both"/>
        <w:rPr/>
      </w:pPr>
      <w:r>
        <w:rPr/>
        <w:t>Totodată, învederează faptul ca, la art.6 lit. h) din Legea - cadru, unde sunt enunțate principiile care au stat la baza elaborării legii, este reglementat și principiul sustenabilităţii financiare, în sensul stabilirii nivelului de salarizare pentru personalul bugetar, astfel încât sa se asigure respectarea plafoanelor cheltuielilor de personal ale bugetului general consolidat, stabilite în condițiile legii.</w:t>
      </w:r>
    </w:p>
    <w:p>
      <w:pPr>
        <w:pStyle w:val="Normal"/>
        <w:ind w:right="0" w:firstLine="709"/>
        <w:jc w:val="both"/>
        <w:rPr/>
      </w:pPr>
      <w:r>
        <w:rPr/>
        <w:t>Astfel, trebuie reţinut faptul că, potrivit art.12 alin. (1) din Legea - cadru, salariile de bază, soldele de funcție/salariile de funcție, soldele de grad/salariile gradului profesional deținut, gradațiile, soldele de comandă/salariile de comanda, indemnizațiile de încadrare și indemnizațiile lunare se stabilesc potrivit prevederilor prezentei legi și anexelor nr. I-IX,  astfel încât, împreună cu celelalte elemente ale sistemului de salarizare, să se încadreze in fondurile aprobate de la bugetul de stat, bugetul asigurărilor sociale de stat, bugetele locale și bugetele fondurilor speciale pentru cheltuielile de personal, în vederea realizării obiectivelor, programelor și proiectelor stabilite.</w:t>
      </w:r>
    </w:p>
    <w:p>
      <w:pPr>
        <w:pStyle w:val="Normal"/>
        <w:ind w:right="0" w:firstLine="709"/>
        <w:jc w:val="both"/>
        <w:rPr/>
      </w:pPr>
      <w:r>
        <w:rPr/>
        <w:t xml:space="preserve">De asemenea, potrivit art.3 alin.(4) din același act normativ, ordonatorii de credite au obligația să stabilească salariile de baza/soldele de funcție/ salariile de funcție/ soldele de grad/salariile gradului profesional deținut, gradațiile, soldele de comanda/ salariile de comanda, indemnizațiile de încadrare/indemnizațiile lunare, sporurile, alte drepturi salariale în bani și în natura prevăzute de lege, sa asigure promovarea personalului în funcții, grade şi trepte profesionale și avansarea în gradații, în condițiile legii, astfel încât să se încadreze în sumele aprobate cu aceasta destinație in bugetul propriu. </w:t>
      </w:r>
    </w:p>
    <w:p>
      <w:pPr>
        <w:pStyle w:val="Normal"/>
        <w:ind w:right="0" w:firstLine="709"/>
        <w:jc w:val="both"/>
        <w:rPr/>
      </w:pPr>
      <w:r>
        <w:rPr/>
        <w:t>Totodată că, trebuie avută în considerare şi Decizia nr.8/2021 a ICCJ .</w:t>
      </w:r>
    </w:p>
    <w:p>
      <w:pPr>
        <w:pStyle w:val="Normal"/>
        <w:ind w:right="0" w:firstLine="709"/>
        <w:jc w:val="both"/>
        <w:rPr/>
      </w:pPr>
      <w:r>
        <w:rPr/>
        <w:t>A mai arătat că, instanța de fond în mod nelegal a dispus ca plata sumelor reprezentând diferențele de drepturi salariale să fie actualizate cu dobânda penalizatoare prevăzută de dispozițiile art.3 alin.2 din OG nr.13/2011, reținând în mod eronat că acest lucru este justificat în vederea reparării integrale a prejudiciului suferit, dobânda reprezentând câștigul nerealizat de către reclamantă ca urmare a neacordării indemnizației din momentul în care era îndreptățită la această sumă.</w:t>
      </w:r>
    </w:p>
    <w:p>
      <w:pPr>
        <w:pStyle w:val="Normal"/>
        <w:ind w:right="0" w:firstLine="709"/>
        <w:jc w:val="both"/>
        <w:rPr/>
      </w:pPr>
      <w:r>
        <w:rPr/>
        <w:t>A învederat că, reclamantul nu a precizat cuantumul dobânzilor și nici nu a motivat solicitarea dobânzii legale în nici un fel, în fapt și în drept acest capăt de cerere, așa cum dispun dispozițiile art.194 lit.d) din Codul de Procedură Civită, potrivit cărora cererea de chemare în judecată va cuprinde arătarea motivelor de fapt și de drept pe care se întemeiază cererea, admiterea unui astfel de capăt de cerere ar însemna o dublă reparare a presupusului prejudiciu și o îmbogățire fără justă cauză.</w:t>
      </w:r>
    </w:p>
    <w:p>
      <w:pPr>
        <w:pStyle w:val="Normal"/>
        <w:ind w:right="0" w:firstLine="709"/>
        <w:jc w:val="both"/>
        <w:rPr/>
      </w:pPr>
      <w:r>
        <w:rPr>
          <w:i/>
        </w:rPr>
        <w:t>Temeiul de drept:</w:t>
      </w:r>
      <w:r>
        <w:rPr/>
        <w:t xml:space="preserve"> art.488 alin.1 pct.8 C.p.c..</w:t>
      </w:r>
    </w:p>
    <w:p>
      <w:pPr>
        <w:pStyle w:val="Normal"/>
        <w:ind w:right="0" w:firstLine="709"/>
        <w:jc w:val="both"/>
        <w:rPr/>
      </w:pPr>
      <w:r>
        <w:rPr/>
        <w:t>În termeiul art.411 alin.1 pct.2 CPC, solicită judecarea cauzei şi în lipsă.</w:t>
      </w:r>
    </w:p>
    <w:p>
      <w:pPr>
        <w:pStyle w:val="Normal"/>
        <w:ind w:right="0" w:firstLine="720"/>
        <w:jc w:val="both"/>
        <w:rPr/>
      </w:pPr>
      <w:r>
        <w:rPr>
          <w:b/>
        </w:rPr>
        <w:t>Considerentele instanţei de recurs în raport de motivele de recurs invocate şi de disp. art. 488 alin.1 pct. 8 N.C.p.c:</w:t>
      </w:r>
      <w:r>
        <w:rPr/>
        <w:t xml:space="preserve"> atunci când hotărârea a fost dată cu încălcarea sau greşita aplicare  a normelor de drept material.</w:t>
      </w:r>
    </w:p>
    <w:p>
      <w:pPr>
        <w:pStyle w:val="Normal"/>
        <w:ind w:right="0" w:firstLine="720"/>
        <w:jc w:val="both"/>
        <w:rPr>
          <w:rFonts w:eastAsia="Calibri"/>
          <w:lang w:val="ro-MD" w:eastAsia="en-US"/>
        </w:rPr>
      </w:pPr>
      <w:r>
        <w:rPr>
          <w:lang w:val="ro-MD"/>
        </w:rPr>
        <w:t xml:space="preserve">Indicând motivul de casare reglementat de dispozițiile art.488 alin.(1) pct.8 Cod de procedură civilă, recurenta-pârâtă invocă aplicarea și interpretarea eronată a dispozițiilor art. 39 din Legea 153/2017 privind salarizarea personalului plătit din fonduri publice, prin raportare la Decizia CCR nr.794/2016, respectiv Decizia ÎCCJ nr. 8/2021. </w:t>
      </w:r>
    </w:p>
    <w:p>
      <w:pPr>
        <w:pStyle w:val="Normal"/>
        <w:ind w:right="0" w:firstLine="720"/>
        <w:jc w:val="both"/>
        <w:rPr>
          <w:lang w:val="ro-MD"/>
        </w:rPr>
      </w:pPr>
      <w:r>
        <w:rPr>
          <w:lang w:val="ro-MD"/>
        </w:rPr>
        <w:t>Contrar susținerilor recurentei-pârâte, Curtea constată că instanța de fond a făcut o corectă aplicare a normelor de drept material incidente, astfel cum au fost interpretate prin jurisprudența obligatorie a Înaltei Curți de Casație și Justiție, pe care le-a aplicat judicios împrejurărilor factuale rezultate din materialul probator al cauzei.</w:t>
      </w:r>
    </w:p>
    <w:p>
      <w:pPr>
        <w:pStyle w:val="Normal"/>
        <w:ind w:right="0" w:firstLine="720"/>
        <w:jc w:val="both"/>
        <w:rPr>
          <w:lang w:val="ro-MD"/>
        </w:rPr>
      </w:pPr>
      <w:r>
        <w:rPr>
          <w:lang w:val="ro-MD"/>
        </w:rPr>
        <w:t>Astfel cum rezultă din cererea de chemare în judecată înregistrată pe rolul Tribunalului ....la data de 15.12.2022, reclamanta a solicitat obligarea pârâtei DGRFP A1, ca incepând cu data de 05.12.2019 şi in continuare să calculeze şi să plătească, potrivit disp. art. 39 alin.1 şi 4 din Legea nr. 153/2017, diferenţa dintre salariul efectiv achitat şi salariul de bază cuvenit la nivel maxim de salarizare pentru funcţie similară aflat in plată în cadrul DGRFP A1 sau ANAF, precum şi la nivelul maxim stabilit pentru celelalte instituţii aflate în subordinea ANAF, pentru aceeaşi funcţie/grad/treaptă/gradaţie, cu luarea in considerare a tuturor majorărilor salariale stabilite prin hotărâri judecătoreşti definitive, in considerarea Deciziei Curţii Constituţionale nr. 794/2016.</w:t>
      </w:r>
    </w:p>
    <w:p>
      <w:pPr>
        <w:pStyle w:val="Normal"/>
        <w:ind w:right="0" w:firstLine="720"/>
        <w:jc w:val="both"/>
        <w:rPr>
          <w:lang w:val="ro-MD"/>
        </w:rPr>
      </w:pPr>
      <w:r>
        <w:rPr>
          <w:lang w:val="ro-MD"/>
        </w:rPr>
        <w:t>Aşadar, pretenţiile au fost intemeiate  pe disp.art.39 alin.1 şi 4 din Legea nr. 153/2017, dar şi pe Decizia Curţii Constituţionale nr. 794/2016.</w:t>
      </w:r>
    </w:p>
    <w:p>
      <w:pPr>
        <w:pStyle w:val="Normal"/>
        <w:ind w:right="0" w:firstLine="720"/>
        <w:jc w:val="both"/>
        <w:rPr/>
      </w:pPr>
      <w:r>
        <w:rPr>
          <w:lang w:val="ro-MD"/>
        </w:rPr>
        <w:t>În drept, Curtea reţine că, potrivit art.39 alin.1 din Legea 153/2017 „</w:t>
      </w:r>
      <w:r>
        <w:rPr>
          <w:rStyle w:val="rvts5"/>
        </w:rPr>
        <w:t> </w:t>
      </w:r>
      <w:r>
        <w:rPr>
          <w:rStyle w:val="rvts8"/>
        </w:rPr>
        <w:t>(1) până la aplicarea integrală a prevederilor prezentei legi, pentru personalul nou-încadrat, pentru personalul numit/încadrat în aceeaşi instituţie/autoritate publică pe funcţii de acelaşi fel, inclusiv pentru personalul promovat în funcţii sau în grade/trepte profesionale, salarizarea se face la nivelul de salarizare pentru funcţii similare din cadrul instituţiei/autorităţii publice în care acesta este numit/încadrat sau din instituţiile subordonate acestora, în cazul în care nu există o funcţie similară în plată.</w:t>
      </w:r>
      <w:r>
        <w:rPr>
          <w:lang w:val="ro-MD"/>
        </w:rPr>
        <w:t>”, iar potrivit alin. 4 al aceluiași articol „</w:t>
      </w:r>
      <w:r>
        <w:rPr>
          <w:rStyle w:val="rvts8"/>
        </w:rPr>
        <w:t>în aplicarea prevederilor alin. (1), în cazul instituţiilor sau autorităţilor publice aflate în subordinea aceluiaşi ordonator de credite, având acelaşi scop, îndeplinind aceleaşi funcţii şi atribuţii, aflate la acelaşi nivel de subordonare din punct de vedere financiar, nivelul salariului de bază/indemnizaţiei de încadrare se va stabili la nivelul maxim aflat în plată din cadrul tuturor acestor instituţii sau autorităţi publice subordonate.</w:t>
      </w:r>
      <w:r>
        <w:rPr>
          <w:lang w:val="ro-MD"/>
        </w:rPr>
        <w:t>”.</w:t>
      </w:r>
    </w:p>
    <w:p>
      <w:pPr>
        <w:pStyle w:val="Normal"/>
        <w:tabs>
          <w:tab w:val="clear" w:pos="709"/>
          <w:tab w:val="left" w:leader="none" w:pos="3756"/>
        </w:tabs>
        <w:ind w:right="0" w:firstLine="720"/>
        <w:jc w:val="both"/>
        <w:rPr/>
      </w:pPr>
      <w:r>
        <w:rPr>
          <w:lang w:val="ro-MD"/>
        </w:rPr>
        <w:t>În speță, identificând corect aplicabilitatea dispozițiilor art.39 din Legea 153/2017, instanța de fond a reținut întemeiat că, în contextul pronunțării Deciziei HP nr.8/2021, interpretarea acestui text de lege nu poate fi făcută decât în conformitate cu dezlegarea dată de instanța supremă care, statuând că „în interpretarea şi aplicarea prevederilor art. 39 alin. (4) raportat la art.39 alin. (1) din Legea-cadru nr.153/2017 privind salarizarea personalului plătit din fonduri publice, cu modificările şi completările ulterioare, în categoria „personalului numit/încadrat”, la care se referă prevederile art.39 alin. (4) raportat la art.39 alin. (1) din Legea-cadru nr.153/2017, este inclus şi personalul reîncadrat în baza prevederilor art.36 din Legea-cadru nr.153/2017”.</w:t>
      </w:r>
    </w:p>
    <w:p>
      <w:pPr>
        <w:pStyle w:val="Normal"/>
        <w:tabs>
          <w:tab w:val="clear" w:pos="709"/>
          <w:tab w:val="left" w:leader="none" w:pos="3756"/>
        </w:tabs>
        <w:ind w:right="0" w:firstLine="720"/>
        <w:jc w:val="both"/>
        <w:rPr>
          <w:lang w:val="ro-MD"/>
        </w:rPr>
      </w:pPr>
      <w:r>
        <w:rPr>
          <w:lang w:val="ro-MD"/>
        </w:rPr>
        <w:t>Relevante sunt paragrafele 112-115, potrivit cărora:</w:t>
      </w:r>
    </w:p>
    <w:p>
      <w:pPr>
        <w:pStyle w:val="Normal"/>
        <w:tabs>
          <w:tab w:val="clear" w:pos="709"/>
          <w:tab w:val="left" w:leader="none" w:pos="3756"/>
        </w:tabs>
        <w:ind w:right="0" w:firstLine="720"/>
        <w:jc w:val="both"/>
        <w:rPr>
          <w:lang w:val="ro-MD"/>
        </w:rPr>
      </w:pPr>
      <w:r>
        <w:rPr>
          <w:lang w:val="ro-MD"/>
        </w:rPr>
        <w:t>”</w:t>
      </w:r>
      <w:r>
        <w:rPr>
          <w:lang w:val="ro-MD"/>
        </w:rPr>
        <w:t>112. În altă ordine de idei, motivul pentru care legiuitorul a inserat în Legea-cadru nr. 153/2017 articolul 39, având denumirea marginală "Aplicarea tranzitorie", ce începe cu sintagma "până la aplicarea integrală a prevederilor prezentei legi", nu constă în intenția de a reglementa situația de excepție a salariaților nou-încadrați sau promovați până la aplicarea integrală a prevederilor Legii-cadru nr.153/2017, ci în aceea de a se asigura că, până la momentul în care diferențele salariale pentru persoane aflate în situații identice se vor exclude în mod natural prin încadrarea în grilele finale de salarizare, există pârghii pentru eliminarea discriminării între persoane aflate în aceeași situație profesională. Acest articol are ca obiect de reglementare tocmai aplicarea tranzitorie a legii, şi anume intervalul de timp stabilit până la aplicarea integrală a acestui act normativ.</w:t>
      </w:r>
    </w:p>
    <w:p>
      <w:pPr>
        <w:pStyle w:val="Normal"/>
        <w:tabs>
          <w:tab w:val="clear" w:pos="709"/>
          <w:tab w:val="left" w:leader="none" w:pos="3756"/>
        </w:tabs>
        <w:ind w:right="0" w:firstLine="720"/>
        <w:jc w:val="both"/>
        <w:rPr>
          <w:lang w:val="ro-MD"/>
        </w:rPr>
      </w:pPr>
      <w:r>
        <w:rPr>
          <w:lang w:val="ro-MD"/>
        </w:rPr>
        <w:t>113. Ca atare, intenția legiuitorului a fost aceea de a înlătura inechitățile de salarizare diferită pentru funcții similare pentru tot personalul plătit din fonduri publice, nu numai pentru cel nou-încadrat, pentru personalul numit/încadrat după data de 1 iulie 2017, în accepțiunea restrânsă a acestor termeni, şi cel promovat, astfel încât a prevăzut expres reguli care să asigure respectarea principiului nediscriminării, reglementat la art. 6 lit. b) din Legea-cadru nr. 153/2017.</w:t>
      </w:r>
    </w:p>
    <w:p>
      <w:pPr>
        <w:pStyle w:val="Normal"/>
        <w:tabs>
          <w:tab w:val="clear" w:pos="709"/>
          <w:tab w:val="left" w:leader="none" w:pos="3756"/>
        </w:tabs>
        <w:ind w:right="0" w:firstLine="720"/>
        <w:jc w:val="both"/>
        <w:rPr>
          <w:lang w:val="ro-MD"/>
        </w:rPr>
      </w:pPr>
      <w:r>
        <w:rPr>
          <w:lang w:val="ro-MD"/>
        </w:rPr>
        <w:t>114. Prin urmare, Înalta Curte de Casație şi Justiție reține că dispozițiile art. 39 alin. (1) şi (4) din Legea-cadru nr. 153/2017 vizează nu numai situația personalului nou-încadrat în cadrul instituțiilor/autorităților publice sau a personalului promovat după intrarea în vigoare a legii, ci şi personalul în privința căruia, în considerarea aplicării prevederilor art. 36 alin. (1) din Legea-cadru nr. 153/2017, a fost realizată o reîncadrare prin raportare la prevederile art. 38 din același act normativ, în acord cu noile funcții, grade/trepte profesionale şi gradații prevăzute în anexele nr. I - VIII la Legea-cadru nr. 153/2017.</w:t>
      </w:r>
    </w:p>
    <w:p>
      <w:pPr>
        <w:pStyle w:val="Normal"/>
        <w:tabs>
          <w:tab w:val="clear" w:pos="709"/>
          <w:tab w:val="left" w:leader="none" w:pos="3756"/>
        </w:tabs>
        <w:ind w:right="0" w:firstLine="720"/>
        <w:jc w:val="both"/>
        <w:rPr>
          <w:lang w:val="ro-MD"/>
        </w:rPr>
      </w:pPr>
      <w:r>
        <w:rPr>
          <w:lang w:val="ro-MD"/>
        </w:rPr>
        <w:t>115. De asemenea, aplicarea dispozițiilor art. 38 din Legea-cadru nr. 153/2017 nu constituie un impediment în aplicarea concomitentă şi a prevederilor art.39 din Legea-cadru nr. 153/2017, în condițiile în care din nota de fundamentare a adoptării legii respective a rezultat că aceasta a fost determinată de necesitatea eliminării disfuncționalităților salariale existente în sistemul public de salarizare, făcându-se vorbire şi de Decizia nr.794 din 15 decembrie 2016 a Curții Constituționale referitoare la admiterea excepției de neconstituționalitate a dispozițiilor art.31 alin. (12) din Ordonanța de urgență a Guvernului nr. 57/2015 privind salarizarea personalului plătit din fonduri publice în anul 2016, prorogarea unor termene, precum şi unele măsuri fiscal-bugetare”.</w:t>
      </w:r>
    </w:p>
    <w:p>
      <w:pPr>
        <w:pStyle w:val="Normal"/>
        <w:tabs>
          <w:tab w:val="clear" w:pos="709"/>
          <w:tab w:val="left" w:leader="none" w:pos="3756"/>
        </w:tabs>
        <w:ind w:right="0" w:firstLine="720"/>
        <w:jc w:val="both"/>
        <w:rPr>
          <w:lang w:val="ro-MD"/>
        </w:rPr>
      </w:pPr>
      <w:r>
        <w:rPr>
          <w:lang w:val="ro-MD"/>
        </w:rPr>
        <w:t xml:space="preserve">În acest context, plecând de la dispozițiile art.39 alin. 4 din Legea 153/2017, dispoziții interpretate potrivit deciziei menționate a ÎCCJ, prima instanță a reținut corect că intimata reclamantă, funcționar în cadrul DGRFP A1, are dreptul să beneficieze de același nivel de salarizare cu funcționari publici având aceeași încadrare și îndeplinind aceeași funcție și atribuții în cardul celorlalte Direcții Generale Regionale ale Finanțelor Publice, instituții aflate la același nivel de subordonare financiară și instituțională având același ordonator de credite așa cum rezultă din dispozițiile H.G nr. 520/2013 privind organizarea și funcționare Agenției Naționale de Administrare Fiscală. </w:t>
      </w:r>
    </w:p>
    <w:p>
      <w:pPr>
        <w:pStyle w:val="Normal"/>
        <w:tabs>
          <w:tab w:val="clear" w:pos="709"/>
          <w:tab w:val="left" w:leader="none" w:pos="3756"/>
        </w:tabs>
        <w:ind w:right="0" w:firstLine="720"/>
        <w:jc w:val="both"/>
        <w:rPr/>
      </w:pPr>
      <w:r>
        <w:rPr>
          <w:lang w:val="ro-MD"/>
        </w:rPr>
        <w:t>Ca atare,  câtă vreme, din adresele nr.... DGR ...1/02.03.2023 emisă de  ANAF-DGRFP A1, respectiv nr.... REG ...1/06.03.2023 emisă de ANAF-DGRFP A3, rezultă că funcționari publici în cadrul altor Direcții Generale Regionale a Finanțelor Publice, având aceeași funcție, clasă, grad, gradaţie și îndeplinind aceleași atribuții, în aceleași condiții cu reclamantul, încasează un salariu superior acestuia,  corect a apreciat instanța de fond că se impune obligarea pârâtei la acordarea  către acesta a diferenţei dintre salariul de bază efectiv achitat şi salariul maxim aflat în plată pentru funcţii similare in cadrul DGRFP A3 şi DGRFP A1, pentru aceaşi funcţie, grad, treaptă/gradaţie precum reclamantul.</w:t>
      </w:r>
    </w:p>
    <w:p>
      <w:pPr>
        <w:pStyle w:val="Normal"/>
        <w:ind w:right="0" w:firstLine="708"/>
        <w:jc w:val="both"/>
        <w:rPr>
          <w:rFonts w:eastAsia="Calibri"/>
        </w:rPr>
      </w:pPr>
      <w:r>
        <w:rPr>
          <w:rFonts w:eastAsia="Calibri"/>
        </w:rPr>
        <w:t>Relativ la critica recurentei pârâte potrivit căreia, în aplicarea Deciziei Curţii Constituționale a României nr.794 din 15 decembrie 2016, se vor avea în vedere numai hotărârile judecătorești care au aplicabilitate generală, care au interpretat şi aplicat acte normative cu caracter general din domeniul salarizării şi care nu introduc elemente noi in sistemul de salarizare, Curtea constată că, prin această decizie  s-a constatat că dispozițiile art. 31 alin. 12 din OUG nr. 57/2015 privind salarizarea personalului plătit din fonduri publice în anul 2016, prorogarea unor termene, precum și unele măsuri fiscal-bugetare sunt neconstituționale, întrucât contravin principiului egalității în fata legii, consacrat prin art. 16 din Constituție, deoarece stabilesc că persoanele aflate în situații profesionale identice, dar care nu au obținut hotărâri judecătorești prin care să li se fi recunoscut majorări salariale, au indemnizații de încadrare diferite (mai mici) fată de cei cărora li s-au recunoscut astfel de drepturi salariale, prin hotărâri judecătorești, generând diferențe în stabilirea salariului de bază/indemnizației de încadrare.</w:t>
      </w:r>
    </w:p>
    <w:p>
      <w:pPr>
        <w:pStyle w:val="Normal"/>
        <w:jc w:val="both"/>
        <w:rPr/>
      </w:pPr>
      <w:r>
        <w:rPr>
          <w:rFonts w:eastAsia="Times New Roman"/>
        </w:rPr>
        <w:t xml:space="preserve">  </w:t>
      </w:r>
      <w:r>
        <w:rPr>
          <w:rFonts w:eastAsia="Calibri"/>
        </w:rPr>
        <w:tab/>
        <w:t xml:space="preserve">Totodată, la pct.32 din Decizie se menționează că „în consecință, ca efect al neconstituționalității art. 3^1 alin. (10) din O.UG nr. 57/2015, ”nivelul maxim al salariului de bază/indemnizației de încadrare la care se face egalizarea prevăzută de art. alin. (l) din O.U.G nr. 57/2015, trebuie să includă si drepturile stabilite sau recunoscute prin hotărâri judecătorești. Așadar, personalul care beneficiază de aceleași condiţii trebuie să fie salarizat la nivelul maxim al salariului de bază/indemnizației de încadrare din cadrul aceleiași categorii profesionale si familii ocupaționale, indiferent de instituție sau autoritate publică”. </w:t>
      </w:r>
    </w:p>
    <w:p>
      <w:pPr>
        <w:pStyle w:val="Normal"/>
        <w:jc w:val="both"/>
        <w:rPr/>
      </w:pPr>
      <w:r>
        <w:rPr>
          <w:rFonts w:eastAsia="Times New Roman"/>
        </w:rPr>
        <w:t xml:space="preserve"> </w:t>
      </w:r>
      <w:r>
        <w:rPr>
          <w:rFonts w:eastAsia="Calibri"/>
        </w:rPr>
        <w:tab/>
      </w:r>
      <w:r>
        <w:rPr/>
        <w:t>În consecință, salariile de bază acordate în toate direcțiile generale regionale ale finanțelor publice pentru funcții similare trebuie să fie aceleași, independent dacă ele au fost acordate direct prin act administrativ sau prin hotărâri judecătorești.</w:t>
      </w:r>
    </w:p>
    <w:p>
      <w:pPr>
        <w:pStyle w:val="Normal"/>
        <w:ind w:right="0" w:firstLine="720"/>
        <w:jc w:val="both"/>
        <w:rPr/>
      </w:pPr>
      <w:r>
        <w:rPr/>
        <w:t>Relativ la critica recurentei pârâtă potrivit căreia, hotărârile judecătorești produc efecte doar intre părţi, şi că, opozabilitatea hotărârii judecătorești nu se confundă cu obligativitatea acesteia, Curtea reţine că, potrivit prevederilor art.435 alin.1 C.p.c.,” hotărârea judecătorească este obligatorie şi produce efecte numai între părţi şi succsesorii acestora”, iar conform dispoziţiilor alin.2 „ hotărârea este opozabilă oricărei terţe persoane atâta timp cât aceasta din urmă nu face, in condiţiile legii, dovada contrară”.</w:t>
      </w:r>
    </w:p>
    <w:p>
      <w:pPr>
        <w:pStyle w:val="Normal"/>
        <w:ind w:right="0" w:firstLine="720"/>
        <w:jc w:val="both"/>
        <w:rPr/>
      </w:pPr>
      <w:r>
        <w:rPr/>
        <w:t>Conţinutul textului de lege sus-redat este sintetizat în doctrină astfel: obligativitatea operează inter partes, opozabilitatea operează erga omnes. Obligativitatea este relativă, opozabilitatea este generală.</w:t>
      </w:r>
    </w:p>
    <w:p>
      <w:pPr>
        <w:pStyle w:val="Normal"/>
        <w:ind w:right="0" w:firstLine="708"/>
        <w:jc w:val="both"/>
        <w:rPr/>
      </w:pPr>
      <w:r>
        <w:rPr/>
        <w:t>În privinţa principiul relativităţii, respectiv al opozabilităţii hotărârii judecătoreşti, Curtea reţine Decizia nr.18 din data de 17.02.2020, pronunţată de Înalta Curte de Casaţie şi Justiţie, Completul pentru dezlegarea unor chestiuni de drept, relevante fiind paragrafele 95-99.</w:t>
      </w:r>
    </w:p>
    <w:p>
      <w:pPr>
        <w:pStyle w:val="Normal"/>
        <w:ind w:right="0" w:firstLine="708"/>
        <w:jc w:val="both"/>
        <w:rPr/>
      </w:pPr>
      <w:r>
        <w:rPr/>
        <w:t>În considerentele acestei hotărâri prealabile s-a reţinut că:</w:t>
      </w:r>
    </w:p>
    <w:p>
      <w:pPr>
        <w:pStyle w:val="Normal"/>
        <w:ind w:right="0" w:firstLine="708"/>
        <w:jc w:val="both"/>
        <w:rPr/>
      </w:pPr>
      <w:r>
        <w:rPr/>
        <w:t>„</w:t>
      </w:r>
      <w:r>
        <w:rPr/>
        <w:t>95. Principiul relativităţii hotărârii judecătoreşti, atât sub aspectul efectelor obligatorii, cât şi al lucrului judecat, presupune ca ceea ce a fost judecat să nu poată folosi sau, în principiu, să nu poată fi opus decât de către părţile în proces (şi succesorii acestora), fundamentul şi justificarea acestui principiu constituindu-le contradictorialitatea şi dreptul la apărare.</w:t>
      </w:r>
    </w:p>
    <w:p>
      <w:pPr>
        <w:pStyle w:val="Normal"/>
        <w:jc w:val="both"/>
        <w:rPr/>
      </w:pPr>
      <w:r>
        <w:rPr/>
        <w:t xml:space="preserve">    </w:t>
      </w:r>
      <w:r>
        <w:rPr/>
        <w:tab/>
        <w:t>96. Însă această relativitate nu antrenează consecinţa inopozabilităţii hotărârii judecătoreşti faţă de terţi.</w:t>
      </w:r>
    </w:p>
    <w:p>
      <w:pPr>
        <w:pStyle w:val="Normal"/>
        <w:jc w:val="both"/>
        <w:rPr/>
      </w:pPr>
      <w:r>
        <w:rPr/>
        <w:t xml:space="preserve">    </w:t>
      </w:r>
      <w:r>
        <w:rPr/>
        <w:tab/>
        <w:t>97. Tocmai de aceea, completându-l pe cel dintâi, principiul opozabilităţii hotărârii judecătoreşti dă expresie respectului datorat şi impus tuturor de către o situaţie juridică.”</w:t>
      </w:r>
    </w:p>
    <w:p>
      <w:pPr>
        <w:pStyle w:val="Normal"/>
        <w:ind w:right="0" w:firstLine="720"/>
        <w:jc w:val="both"/>
        <w:rPr/>
      </w:pPr>
      <w:r>
        <w:rPr/>
        <w:t>În consecinţă, o hotărâre judecătorească este, faţă de prevederile art. 435 alin.2 C.p.c., opozabilă oricărei terţe peroane până la momentul  în care va demonstra în justiţie situaţia contrară.</w:t>
      </w:r>
    </w:p>
    <w:p>
      <w:pPr>
        <w:pStyle w:val="Normal"/>
        <w:ind w:right="0" w:firstLine="720"/>
        <w:jc w:val="both"/>
        <w:rPr/>
      </w:pPr>
      <w:r>
        <w:rPr/>
        <w:t>Aşadar, până la demonstrarea situaţiei contrare, terţa persoană va suporta, in mod indirect, efectele judecăţii cauzei la care nu a participat. În consecinţă, mecanismul producerii efectelor hotărârii judecătoreşti presupune, aşadar, ca principiul relativităţii să asigure stabilitatea internă, în raporturile dintre părţi (şi succesorii lor), iar cel al opozabilităţii să asigure stabilitatea externă, în relaţia cu terţii (cel puţin până la momentul la care aceştia vor face proba contrară celor tranşate jurisdicţional).</w:t>
      </w:r>
    </w:p>
    <w:p>
      <w:pPr>
        <w:pStyle w:val="Normal"/>
        <w:ind w:right="0" w:firstLine="720"/>
        <w:jc w:val="both"/>
        <w:rPr>
          <w:rFonts w:eastAsia="Calibri"/>
          <w:lang w:val="ro-MD" w:eastAsia="en-US"/>
        </w:rPr>
      </w:pPr>
      <w:r>
        <w:rPr/>
        <w:t>Curtea constată că, reclamanta, prin cererea de chemare în judecată nu s-a prevalat de disp. art. 435 C.p.c., ci, acesta a solicitat</w:t>
      </w:r>
      <w:r>
        <w:rPr>
          <w:lang w:val="ro-MD"/>
        </w:rPr>
        <w:t xml:space="preserve"> ca la diferenţa dintre salariul efectiv achitat şi salariul de bază cuvenit la nivel maxim de salarizare pentru funcţie similară aflat in plată în cadrul DGRFP A1 sau ANAF, precum şi la nivelul maxim stabilit pentru celelalte instituţii aflate în subordinea ANAF, pentru aceeaşi funcţie/grad/treaptă/gradație, instanţa să ia în  considerare toate majorărilor salariale stabilite prin hotărâri judecătorești definitive, in considerarea Deciziei Curţii Constituţionale nr.794/2016.</w:t>
      </w:r>
    </w:p>
    <w:p>
      <w:pPr>
        <w:pStyle w:val="Normal"/>
        <w:ind w:right="0" w:firstLine="720"/>
        <w:jc w:val="both"/>
        <w:rPr/>
      </w:pPr>
      <w:r>
        <w:rPr>
          <w:lang w:val="ro-MD"/>
        </w:rPr>
        <w:t>Or, într-o astfel de situaţie, in aplicarea Deciziei anterior menţionate,  stabilirea</w:t>
      </w:r>
      <w:r>
        <w:rPr>
          <w:rFonts w:eastAsia="Calibri"/>
        </w:rPr>
        <w:t xml:space="preserve"> nivelul maxim al salariului de bază/indemnizației de încadrare trebuie să includă și drepturile stabilite sau recunoscute prin hotărâri judecătorești definitive și irevocabile/definitive.</w:t>
      </w:r>
    </w:p>
    <w:p>
      <w:pPr>
        <w:pStyle w:val="Normal"/>
        <w:ind w:right="0" w:firstLine="851"/>
        <w:jc w:val="both"/>
        <w:rPr/>
      </w:pPr>
      <w:r>
        <w:rPr/>
        <w:t>Relativ la susținerile recurentei pârâte referitoare la incidența dispozițiilor Legii nr. 284,  Legea nr.71/2015, OUG nr.83/2014, OUG nr. 57/2015, OUG nr. 20/2016, OUG nr. 43/2016, Curtea contrar susţinerii acesteia, faţă de temeiul de drept material al cererii de chemare în judecată-art. 39 alin.1 şi 4 din Legea nr. 153/2017, constată că nu sunt incidente in cauză.</w:t>
      </w:r>
    </w:p>
    <w:p>
      <w:pPr>
        <w:pStyle w:val="Normal"/>
        <w:ind w:right="0" w:firstLine="708"/>
        <w:jc w:val="both"/>
        <w:rPr/>
      </w:pPr>
      <w:r>
        <w:rPr/>
        <w:t>În ceea ce privește  principiul nediscriminării şi susținerea recurentei pârâte potrivit căreia, pot exista diferențe între cei salarizați potrivit noii legi şi cei salariați în baza vechii legi, Curtea, faţă de cele expuse anterior, constată că salariile de bază acordate în toate direcțiile generale regionale ale finanțelor publice pentru funcții similare trebuie să fie aceleași, independent dacă ele au fost acordate direct prin act administrativ sau prin hotărâri judecătorești.</w:t>
      </w:r>
    </w:p>
    <w:p>
      <w:pPr>
        <w:pStyle w:val="Normal"/>
        <w:tabs>
          <w:tab w:val="clear" w:pos="709"/>
          <w:tab w:val="left" w:leader="none" w:pos="3756"/>
        </w:tabs>
        <w:ind w:right="0" w:firstLine="720"/>
        <w:jc w:val="both"/>
        <w:rPr>
          <w:rFonts w:eastAsia="Calibri"/>
          <w:lang w:val="ro-MD" w:eastAsia="en-US"/>
        </w:rPr>
      </w:pPr>
      <w:r>
        <w:rPr>
          <w:lang w:val="ro-MD"/>
        </w:rPr>
        <w:t>În ceea ce privește critica privind admiterea capătului de cerere privind obligarea recurentei la plata către reclamantă a dobânzii legale penalizatoare şi neprecizarea cuantumului dobânzii, respectiv nemotivarea acestui capăt de cerere, Curtea constată că, prin cererea de chemare în judecată, reclamantul a solicitat obligarea pârâtei la plata dobânzii legale penalizatoare prev. de art. 3 alin.2 din OG nr. 13/2011, calculată de la data scadenţei fiecărui drept salarial lunar şi până la momentul plăţii efective.</w:t>
      </w:r>
    </w:p>
    <w:p>
      <w:pPr>
        <w:pStyle w:val="Normal"/>
        <w:tabs>
          <w:tab w:val="clear" w:pos="709"/>
          <w:tab w:val="left" w:leader="none" w:pos="3756"/>
        </w:tabs>
        <w:ind w:right="0" w:firstLine="720"/>
        <w:jc w:val="both"/>
        <w:rPr>
          <w:lang w:val="ro-MD"/>
        </w:rPr>
      </w:pPr>
      <w:r>
        <w:rPr>
          <w:lang w:val="ro-MD"/>
        </w:rPr>
        <w:t>Așadar, pretențiile reclamantei vizând acordarea dobânzii sunt motivate, acesta indicând totodată momentul de la care solicită acordarea dobânzii.</w:t>
      </w:r>
    </w:p>
    <w:p>
      <w:pPr>
        <w:pStyle w:val="Normal"/>
        <w:tabs>
          <w:tab w:val="clear" w:pos="709"/>
          <w:tab w:val="left" w:leader="none" w:pos="3756"/>
        </w:tabs>
        <w:ind w:right="0" w:firstLine="720"/>
        <w:jc w:val="both"/>
        <w:rPr>
          <w:lang w:val="ro-MD"/>
        </w:rPr>
      </w:pPr>
      <w:r>
        <w:rPr>
          <w:lang w:val="ro-MD"/>
        </w:rPr>
        <w:t>In privința dobânzii acordate, Curtea constată că, prin admiterea acestui capăt de cerere accesoriu prima instanță a respectat principiului acoperirii integrale a prejudiciului produs intimatului reclamant prin neplata drepturilor salariale restante, păstrarea valorii reale a obligațiilor bănești şi acoperirea prejudiciului efectiv cauzat în intervalul scurs de la data scadenței şi cea a plății efective a sumei datorate.</w:t>
      </w:r>
    </w:p>
    <w:p>
      <w:pPr>
        <w:pStyle w:val="Normal"/>
        <w:ind w:right="0" w:firstLine="708"/>
        <w:jc w:val="both"/>
        <w:rPr/>
      </w:pPr>
      <w:r>
        <w:rPr/>
        <w:t>Concluzionând, Curtea constată că motivul de casare prev. de art. 488 alin.1 pct. 8 C.p.c. este nefondat, astfel încât, in temeiul disp. art. 496 alin.1 C.p.c., va respinge recursul recurentei pârâte.</w:t>
      </w:r>
    </w:p>
    <w:p>
      <w:pPr>
        <w:pStyle w:val="Normal"/>
        <w:rPr/>
      </w:pPr>
      <w:r>
        <w:rPr/>
      </w:r>
    </w:p>
    <w:p>
      <w:pPr>
        <w:pStyle w:val="Normal"/>
        <w:jc w:val="center"/>
        <w:rPr/>
      </w:pPr>
      <w:r>
        <w:rPr/>
        <w:t>PENTRU ACESTE MOTIVE,</w:t>
        <w:br/>
        <w:t>ÎN NUMELE LEGII</w:t>
      </w:r>
    </w:p>
    <w:p>
      <w:pPr>
        <w:pStyle w:val="Normal"/>
        <w:jc w:val="center"/>
        <w:rPr/>
      </w:pPr>
      <w:r>
        <w:rPr/>
        <w:t>D E C I D E:</w:t>
      </w:r>
    </w:p>
    <w:p>
      <w:pPr>
        <w:pStyle w:val="Normal"/>
        <w:jc w:val="center"/>
        <w:rPr/>
      </w:pPr>
      <w:r>
        <w:rPr/>
      </w:r>
    </w:p>
    <w:p>
      <w:pPr>
        <w:pStyle w:val="Normal"/>
        <w:jc w:val="both"/>
        <w:rPr/>
      </w:pPr>
      <w:r>
        <w:rPr/>
        <w:tab/>
        <w:t>Respinge recursul formulat de pârâta DIRECŢIA GENERALĂ REGIONALĂ A FINANŢELOR A1 PRIN AJFP A2, împotriva sentinţei nr.SC1, pronunţată de Tribunalul ..., în dosarul nr.D1, în contradictoriu cu intimatul reclamant SINDICATUL ...-ÎN NUMELE ŞI PENTRU MEMBRUL DE SINDICAT- B1, având ca obiect litigiu privind funcţionarii publici (Legea Nr.188/1999) DISJUNS DIN DOSARUL NR. D2.</w:t>
      </w:r>
    </w:p>
    <w:p>
      <w:pPr>
        <w:pStyle w:val="Normal"/>
        <w:jc w:val="both"/>
        <w:rPr/>
      </w:pPr>
      <w:r>
        <w:rPr/>
        <w:tab/>
        <w:t>Definitivă.</w:t>
      </w:r>
    </w:p>
    <w:p>
      <w:pPr>
        <w:pStyle w:val="Normal"/>
        <w:jc w:val="both"/>
        <w:rPr/>
      </w:pPr>
      <w:r>
        <w:rPr/>
        <w:tab/>
        <w:t>Pronunţată azi, ..., în condiţiile art.402 C.pr.civ., prin punerea soluţiei la dispoziţia părţilor prin intermediul grefei instanţei.</w:t>
      </w:r>
    </w:p>
    <w:p>
      <w:pPr>
        <w:pStyle w:val="Normal"/>
        <w:jc w:val="center"/>
        <w:rPr>
          <w:lang w:val="en-US" w:eastAsia="en-US"/>
        </w:rPr>
      </w:pPr>
      <w:r>
        <w:rPr>
          <w:lang w:val="en-US" w:eastAsia="en-US"/>
        </w:rPr>
      </w:r>
      <w:r>
        <w:rPr>
          <w:lang w:val="en-US" w:eastAsia="en-US"/>
        </w:rPr>
      </w:r>
      <w:r>
        <w:rPr>
          <w:lang w:val="en-US" w:eastAsia="en-US"/>
        </w:rPr>
      </w:r>
      <w:r>
        <w:t>  </w:t>
      </w:r>
      <w:r>
        <w:rPr>
          <w:lang w:val="en-US" w:eastAsia="en-US"/>
        </w:rPr>
      </w:r>
    </w:p>
    <w:tbl>
      <w:tblPr>
        <w:tblW w:w="9286" w:type="dxa"/>
        <w:jc w:val="center"/>
        <w:tblInd w:w="0" w:type="dxa"/>
        <w:tblLayout w:type="fixed"/>
        <w:tblCellMar>
          <w:top w:w="284" w:type="dxa"/>
          <w:left w:w="108" w:type="dxa"/>
          <w:bottom w:w="284" w:type="dxa"/>
          <w:right w:w="108" w:type="dxa"/>
        </w:tblCellMar>
      </w:tblPr>
      <w:tblGrid>
        <w:gridCol w:w="3096"/>
        <w:gridCol w:w="3095"/>
        <w:gridCol w:w="3095"/>
      </w:tblGrid>
      <w:tr>
        <w:trPr/>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Preşedinte,</w:t>
            </w:r>
          </w:p>
          <w:p>
            <w:pPr>
              <w:pStyle w:val="Normal"/>
              <w:jc w:val="center"/>
              <w:rPr>
                <w:lang w:val="en-US" w:eastAsia="en-US"/>
              </w:rPr>
            </w:pPr>
            <w:r>
              <w:rPr>
                <w:lang w:val="en-US" w:eastAsia="en-US"/>
              </w:rPr>
              <w:t>A0006</w:t>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Judecător,</w:t>
            </w:r>
          </w:p>
          <w:p>
            <w:pPr>
              <w:pStyle w:val="Normal"/>
              <w:jc w:val="center"/>
              <w:rPr>
                <w:lang w:val="en-US" w:eastAsia="en-US"/>
              </w:rPr>
            </w:pPr>
            <w:r>
              <w:rPr>
                <w:lang w:val="en-US" w:eastAsia="en-US"/>
              </w:rPr>
              <w:t>...</w:t>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Judecător,</w:t>
            </w:r>
          </w:p>
          <w:p>
            <w:pPr>
              <w:pStyle w:val="Normal"/>
              <w:jc w:val="center"/>
              <w:rPr>
                <w:lang w:val="en-US" w:eastAsia="en-US"/>
              </w:rPr>
            </w:pPr>
            <w:r>
              <w:rPr>
                <w:lang w:val="en-US" w:eastAsia="en-US"/>
              </w:rPr>
              <w:t>...</w:t>
            </w:r>
          </w:p>
        </w:tc>
      </w:tr>
      <w:tr>
        <w:trPr/>
        <w:tc>
          <w:tcPr>
            <w:tcW w:w="3096" w:type="dxa"/>
            <w:tcBorders>
              <w:top w:val="single" w:color="FFFFFF" w:sz="4" w:space="0"/>
              <w:left w:val="single" w:color="FFFFFF" w:sz="4" w:space="0"/>
              <w:bottom w:val="single" w:color="FFFFFF" w:sz="4" w:space="0"/>
              <w:right w:val="single" w:color="FFFFFF" w:sz="4" w:space="0"/>
            </w:tcBorders>
          </w:tcPr>
          <w:p>
            <w:pPr>
              <w:pStyle w:val="Normal"/>
              <w:snapToGrid w:val="false"/>
              <w:jc w:val="center"/>
              <w:rPr>
                <w:lang w:val="en-US" w:eastAsia="en-US"/>
              </w:rPr>
            </w:pPr>
            <w:r>
              <w:rPr>
                <w:lang w:val="en-US" w:eastAsia="en-US"/>
              </w:rPr>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Grefier,</w:t>
            </w:r>
          </w:p>
          <w:p>
            <w:pPr>
              <w:pStyle w:val="Normal"/>
              <w:jc w:val="center"/>
              <w:rPr>
                <w:lang w:val="en-US" w:eastAsia="en-US"/>
              </w:rPr>
            </w:pPr>
            <w:r>
              <w:rPr>
                <w:lang w:val="en-US" w:eastAsia="en-US"/>
              </w:rPr>
              <w:t>...</w:t>
            </w:r>
          </w:p>
        </w:tc>
        <w:tc>
          <w:tcPr>
            <w:tcW w:w="3095" w:type="dxa"/>
            <w:tcBorders>
              <w:top w:val="single" w:color="FFFFFF" w:sz="4" w:space="0"/>
              <w:left w:val="single" w:color="FFFFFF" w:sz="4" w:space="0"/>
              <w:bottom w:val="single" w:color="FFFFFF" w:sz="4" w:space="0"/>
              <w:right w:val="single" w:color="FFFFFF" w:sz="4" w:space="0"/>
            </w:tcBorders>
          </w:tcPr>
          <w:p>
            <w:pPr>
              <w:pStyle w:val="Normal"/>
              <w:snapToGrid w:val="false"/>
              <w:jc w:val="center"/>
              <w:rPr>
                <w:lang w:val="en-US" w:eastAsia="en-US"/>
              </w:rPr>
            </w:pPr>
            <w:r>
              <w:rPr>
                <w:lang w:val="en-US" w:eastAsia="en-US"/>
              </w:rPr>
            </w:r>
          </w:p>
        </w:tc>
      </w:tr>
    </w:tbl>
    <w:p>
      <w:pPr>
        <w:pStyle w:val="Normal"/>
        <w:jc w:val="center"/>
        <w:rPr/>
      </w:pPr>
      <w:r>
        <w:rPr>
          <w:lang w:val="en-US" w:eastAsia="en-US"/>
        </w:rPr>
        <w:t>   </w:t>
      </w:r>
      <w:r>
        <w:rPr/>
      </w:r>
      <w:r>
        <w:rPr/>
      </w:r>
    </w:p>
    <w:p>
      <w:pPr>
        <w:pStyle w:val="Normal"/>
        <w:jc w:val="center"/>
        <w:rPr/>
      </w:pPr>
      <w:r>
        <w:rPr/>
      </w:r>
    </w:p>
    <w:p>
      <w:pPr>
        <w:pStyle w:val="Normal"/>
        <w:rPr/>
      </w:pPr>
      <w:r>
        <w:rPr/>
        <w:t>Red.jud.A0006/4 ex/...</w:t>
      </w:r>
    </w:p>
    <w:p>
      <w:pPr>
        <w:pStyle w:val="Normal"/>
        <w:rPr/>
      </w:pPr>
      <w:r>
        <w:rPr/>
        <w:t>Jud.fond:....</w:t>
      </w:r>
    </w:p>
    <w:sectPr>
      <w:footerReference w:type="default" r:id="rId2"/>
      <w:type w:val="nextPage"/>
      <w:pgSz w:w="11906" w:h="16838"/>
      <w:pgMar w:top="567" w:right="851" w:bottom="776" w:left="1985" w:header="0" w:footer="72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9</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mirrorMargins/>
  <w:defaultTabStop w:val="709"/>
  <w:autoHyphenation w:val="true"/>
  <w:compat>
    <w:doNotBreakWrappedTables/>
    <w:compatSetting w:name="compatibilityMode" w:uri="http://schemas.microsoft.com/office/word" w:val="12"/>
  </w:compat>
  <w:docVars>
    <w:docVar w:name="url" w:val="http://server3:80/ecris_cdms/document_upload.aspx?id_document=5400000001671107&amp;id_departament=5&amp;id_sesiune=2482240&amp;id_user=36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ejaVu Sans" w:cs="FreeSans"/>
        <w:sz w:val="24"/>
        <w:szCs w:val="24"/>
        <w:lang w:val="en-US" w:eastAsia="zh-CN" w:bidi="hi-IN"/>
      </w:rPr>
    </w:rPrDefault>
    <w:pPrDefault>
      <w:pPr>
        <w:suppressAutoHyphens w:val="true"/>
      </w:pPr>
    </w:pPrDefault>
  </w:docDefaults>
  <w:style w:type="paragraph" w:styleId="Normal">
    <w:name w:val="Normal"/>
    <w:qFormat/>
    <w:pPr>
      <w:widowControl/>
      <w:kinsoku w:val="true"/>
      <w:overflowPunct w:val="true"/>
      <w:autoSpaceDE w:val="true"/>
      <w:bidi w:val="0"/>
    </w:pPr>
    <w:rPr>
      <w:rFonts w:ascii="Times New Roman" w:hAnsi="Times New Roman" w:eastAsia="Times New Roman" w:cs="Times New Roman"/>
      <w:color w:val="auto"/>
      <w:sz w:val="24"/>
      <w:szCs w:val="24"/>
      <w:lang w:val="ro-RO" w:bidi="ar-SA" w:eastAsia="zh-CN"/>
    </w:rPr>
  </w:style>
  <w:style w:type="paragraph" w:styleId="Heading1">
    <w:name w:val="Heading 1"/>
    <w:basedOn w:val="Normal"/>
    <w:next w:val="Normal"/>
    <w:qFormat/>
    <w:pPr>
      <w:keepNext w:val="true"/>
      <w:numPr>
        <w:ilvl w:val="0"/>
        <w:numId w:val="1"/>
      </w:numPr>
      <w:jc w:val="center"/>
      <w:outlineLvl w:val="0"/>
    </w:pPr>
    <w:rPr>
      <w:b/>
      <w:bCs/>
      <w:sz w:val="28"/>
      <w:szCs w:val="15"/>
      <w:lang w:val="en-US"/>
    </w:rPr>
  </w:style>
  <w:style w:type="character" w:styleId="DefaultParagraphFont">
    <w:name w:val="Default Paragraph Font"/>
    <w:qFormat/>
    <w:rPr/>
  </w:style>
  <w:style w:type="character" w:styleId="rvts5">
    <w:name w:val="rvts5"/>
    <w:qFormat/>
    <w:rPr/>
  </w:style>
  <w:style w:type="character" w:styleId="rvts8">
    <w:name w:val="rvts8"/>
    <w:qFormat/>
    <w:rPr/>
  </w:style>
  <w:style w:type="character" w:styleId="HeaderChar">
    <w:name w:val="Header Char"/>
    <w:qFormat/>
    <w:rPr>
      <w:sz w:val="24"/>
      <w:szCs w:val="24"/>
    </w:rPr>
  </w:style>
  <w:style w:type="character" w:styleId="FooterChar">
    <w:name w:val="Footer Char"/>
    <w:qFormat/>
    <w:rPr>
      <w:sz w:val="24"/>
      <w:szCs w:val="24"/>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Normal"/>
    <w:pPr>
      <w:tabs>
        <w:tab w:val="clear" w:pos="709"/>
        <w:tab w:val="center" w:pos="4536" w:leader="none"/>
        <w:tab w:val="right" w:pos="9072" w:leader="none"/>
      </w:tabs>
    </w:pPr>
    <w:rPr/>
  </w:style>
  <w:style w:type="paragraph" w:styleId="Footer">
    <w:name w:val="Footer"/>
    <w:basedOn w:val="Normal"/>
    <w:pPr>
      <w:tabs>
        <w:tab w:val="clear" w:pos="709"/>
        <w:tab w:val="center" w:pos="4536" w:leader="none"/>
        <w:tab w:val="right" w:pos="9072" w:leader="none"/>
      </w:tabs>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
  <ap:SharedDoc>false</ap:SharedDoc>
  <ap:LinksUpToDate>false</ap:LinksUpToDate>
  <ap:HyperlinkBase/>
  <ap:Manager/>
  <ap:Company/>
  <ap:TotalTime>56</ap:TotalTime>
  <ap:Application>LibreOffice/24.2.7.2$Linux_X86_64 LibreOffice_project/420$Build-2</ap:Application>
  <ap:AppVersion>15.0000</ap:AppVersion>
  <ap:Pages>9</ap:Pages>
  <ap:Words>4788</ap:Words>
  <ap:Characters>28846</ap:Characters>
  <ap:CharactersWithSpaces>33585</ap:CharactersWithSpaces>
  <ap:Paragraphs>118</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keywords/>
  <dc:language/>
  <lastModifiedBy/>
  <revision/>
  <dc:subject/>
  <dc:title/>
  <category/>
  <contentStatus/>
  <dc:identifier/>
  <version/>
</coreProperties>
</file>