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2846DF" w14:paraId="1E57C008" w14:textId="5E556103">
      <w:pPr>
        <w:jc w:val="both"/>
      </w:pPr>
      <w:r>
        <w:t xml:space="preserve"> </w:t>
      </w:r>
    </w:p>
    <w:p w:rsidR="002846DF" w14:paraId="276EB9C1" w14:textId="77777777">
      <w:pPr>
        <w:jc w:val="both"/>
      </w:pPr>
    </w:p>
    <w:p w:rsidR="002846DF" w14:paraId="5DD8DDD7" w14:textId="77777777">
      <w:pPr>
        <w:ind w:firstLine="576"/>
        <w:jc w:val="both"/>
      </w:pPr>
    </w:p>
    <w:p w:rsidR="002846DF" w14:paraId="63C3768E" w14:textId="77777777">
      <w:pPr>
        <w:jc w:val="center"/>
        <w:rPr>
          <w:rStyle w:val="Fontdeparagrafimplicit"/>
          <w:b/>
          <w:i/>
        </w:rPr>
      </w:pPr>
      <w:r>
        <w:rPr>
          <w:rStyle w:val="Fontdeparagrafimplicit"/>
          <w:b/>
          <w:i/>
        </w:rPr>
        <w:t>ROMÂNIA</w:t>
      </w:r>
    </w:p>
    <w:p w:rsidR="002846DF" w14:paraId="5CA807E4" w14:textId="11B666D5">
      <w:pPr>
        <w:jc w:val="center"/>
        <w:rPr>
          <w:rStyle w:val="Fontdeparagrafimplicit"/>
          <w:b/>
          <w:i/>
        </w:rPr>
      </w:pPr>
      <w:r>
        <w:t xml:space="preserve">CURTEA DE APEL </w:t>
      </w:r>
      <w:r w:rsidR="001D13F5">
        <w:t xml:space="preserve">                   </w:t>
      </w:r>
      <w:r>
        <w:t xml:space="preserve"> - SECŢIA </w:t>
      </w:r>
      <w:r w:rsidR="001D13F5">
        <w:t xml:space="preserve"> </w:t>
      </w:r>
    </w:p>
    <w:p w:rsidR="002846DF" w14:paraId="35439BA8" w14:textId="77777777">
      <w:pPr>
        <w:jc w:val="center"/>
        <w:rPr>
          <w:rStyle w:val="Fontdeparagrafimplicit"/>
        </w:rPr>
      </w:pPr>
    </w:p>
    <w:p w:rsidR="002846DF" w:rsidP="00CE7AFB" w14:paraId="7DB75019" w14:textId="10FB09B3">
      <w:bookmarkStart w:name="_Hlk236753261" w:id="0"/>
      <w:r>
        <w:t xml:space="preserve">Dosar nr. </w:t>
      </w:r>
      <w:r w:rsidR="001D13F5">
        <w:t>1/</w:t>
      </w:r>
      <w:r>
        <w:t xml:space="preserve"> </w:t>
      </w:r>
      <w:r w:rsidR="001D13F5">
        <w:t xml:space="preserve"> </w:t>
      </w:r>
      <w:r>
        <w:t xml:space="preserve"> </w:t>
      </w:r>
      <w:bookmarkEnd w:id="0"/>
      <w:r w:rsidR="001D13F5">
        <w:t xml:space="preserve"> </w:t>
      </w:r>
    </w:p>
    <w:p w:rsidR="002846DF" w14:paraId="7C88C7A3" w14:textId="77777777">
      <w:pPr>
        <w:jc w:val="center"/>
      </w:pPr>
    </w:p>
    <w:p w:rsidR="002846DF" w14:paraId="265FC276" w14:textId="77777777">
      <w:pPr>
        <w:jc w:val="center"/>
      </w:pPr>
    </w:p>
    <w:p w:rsidR="002846DF" w14:paraId="42B3E14A" w14:textId="46EB23B3">
      <w:pPr>
        <w:jc w:val="center"/>
        <w:rPr>
          <w:rStyle w:val="Fontdeparagrafimplicit"/>
          <w:b/>
          <w:u w:val="single"/>
        </w:rPr>
      </w:pPr>
      <w:bookmarkStart w:name="_Hlk236753274" w:id="1"/>
      <w:r>
        <w:rPr>
          <w:rStyle w:val="Fontdeparagrafimplicit"/>
          <w:b/>
          <w:u w:val="single"/>
        </w:rPr>
        <w:t xml:space="preserve">DECIZIA </w:t>
      </w:r>
      <w:r w:rsidR="0001050C">
        <w:rPr>
          <w:rStyle w:val="Fontdeparagrafimplicit"/>
          <w:b/>
          <w:u w:val="single"/>
        </w:rPr>
        <w:t xml:space="preserve"> </w:t>
      </w:r>
      <w:r>
        <w:rPr>
          <w:rStyle w:val="Fontdeparagrafimplicit"/>
          <w:b/>
          <w:u w:val="single"/>
        </w:rPr>
        <w:t xml:space="preserve"> NR. </w:t>
      </w:r>
      <w:r w:rsidR="001D13F5">
        <w:rPr>
          <w:rStyle w:val="Fontdeparagrafimplicit"/>
          <w:b/>
          <w:u w:val="single"/>
        </w:rPr>
        <w:t>20</w:t>
      </w:r>
    </w:p>
    <w:bookmarkEnd w:id="1"/>
    <w:p w:rsidR="002846DF" w14:paraId="09D6A51C" w14:textId="77777777">
      <w:pPr>
        <w:jc w:val="center"/>
        <w:rPr>
          <w:rStyle w:val="Fontdeparagrafimplicit"/>
          <w:b/>
          <w:u w:val="single"/>
        </w:rPr>
      </w:pPr>
    </w:p>
    <w:p w:rsidR="002846DF" w14:paraId="0A88D2C1" w14:textId="19D5A29C">
      <w:pPr>
        <w:jc w:val="center"/>
      </w:pPr>
      <w:r>
        <w:t xml:space="preserve">Şedinţa publică din data de </w:t>
      </w:r>
      <w:r w:rsidR="001D13F5">
        <w:t xml:space="preserve"> </w:t>
      </w:r>
    </w:p>
    <w:p w:rsidR="002846DF" w14:paraId="3E09F6B4" w14:textId="77777777">
      <w:pPr>
        <w:jc w:val="center"/>
        <w:rPr>
          <w:rStyle w:val="Fontdeparagrafimplicit"/>
          <w:i/>
        </w:rPr>
      </w:pPr>
      <w:r>
        <w:rPr>
          <w:rStyle w:val="Fontdeparagrafimplicit"/>
          <w:i/>
        </w:rPr>
        <w:t>Curtea constituită din:</w:t>
      </w:r>
    </w:p>
    <w:p w:rsidR="002846DF" w14:paraId="1F4A20E6" w14:textId="6D82165B">
      <w:pPr>
        <w:jc w:val="center"/>
        <w:rPr>
          <w:rStyle w:val="Fontdeparagrafimplicit"/>
          <w:b/>
        </w:rPr>
      </w:pPr>
      <w:r>
        <w:rPr>
          <w:rStyle w:val="Fontdeparagrafimplicit"/>
          <w:b/>
        </w:rPr>
        <w:t xml:space="preserve">PREŞEDINTE: </w:t>
      </w:r>
      <w:r w:rsidR="001D13F5">
        <w:rPr>
          <w:rStyle w:val="Fontdeparagrafimplicit"/>
          <w:b/>
        </w:rPr>
        <w:t>A0002</w:t>
      </w:r>
    </w:p>
    <w:p w:rsidR="002846DF" w14:paraId="79DCD24C" w14:textId="571DDBAC">
      <w:pPr>
        <w:jc w:val="center"/>
        <w:rPr>
          <w:rStyle w:val="Fontdeparagrafimplicit"/>
          <w:b/>
        </w:rPr>
      </w:pPr>
      <w:r>
        <w:rPr>
          <w:rStyle w:val="Fontdeparagrafimplicit"/>
          <w:b/>
        </w:rPr>
        <w:t xml:space="preserve">JUDECĂTOR: </w:t>
      </w:r>
      <w:r w:rsidR="001D13F5">
        <w:rPr>
          <w:rStyle w:val="Fontdeparagrafimplicit"/>
          <w:b/>
        </w:rPr>
        <w:t xml:space="preserve"> </w:t>
      </w:r>
    </w:p>
    <w:p w:rsidR="002846DF" w14:paraId="277C9709" w14:textId="0BD5DFBF">
      <w:pPr>
        <w:jc w:val="center"/>
        <w:rPr>
          <w:rStyle w:val="Fontdeparagrafimplicit"/>
          <w:b/>
        </w:rPr>
      </w:pPr>
      <w:r>
        <w:rPr>
          <w:rStyle w:val="Fontdeparagrafimplicit"/>
          <w:b/>
        </w:rPr>
        <w:t xml:space="preserve">GREFIER:  </w:t>
      </w:r>
      <w:r w:rsidR="001D13F5">
        <w:rPr>
          <w:rStyle w:val="Fontdeparagrafimplicit"/>
          <w:b/>
        </w:rPr>
        <w:t xml:space="preserve"> </w:t>
      </w:r>
    </w:p>
    <w:p w:rsidR="002846DF" w14:paraId="71BAFD9F" w14:textId="77777777">
      <w:pPr>
        <w:ind w:firstLine="576"/>
        <w:jc w:val="both"/>
        <w:rPr>
          <w:rStyle w:val="Fontdeparagrafimplicit"/>
        </w:rPr>
      </w:pPr>
    </w:p>
    <w:p w:rsidR="002846DF" w14:paraId="2DA0B64C" w14:textId="2FAC1146">
      <w:pPr>
        <w:ind w:firstLine="851"/>
        <w:jc w:val="both"/>
        <w:rPr>
          <w:rStyle w:val="Fontdeparagrafimplicit"/>
        </w:rPr>
      </w:pPr>
      <w:r>
        <w:t>Ministerul Public – Parchetul de pe lângă Î.C.C.J. – Direcţia Naţională Anticorupţie a fost reprezentat prin procuror</w:t>
      </w:r>
      <w:r>
        <w:rPr>
          <w:rStyle w:val="Fontdeparagrafimplicit"/>
          <w:b/>
        </w:rPr>
        <w:t xml:space="preserve"> </w:t>
      </w:r>
      <w:r w:rsidR="001D13F5">
        <w:rPr>
          <w:rStyle w:val="Fontdeparagrafimplicit"/>
          <w:b/>
        </w:rPr>
        <w:t xml:space="preserve"> </w:t>
      </w:r>
      <w:r>
        <w:rPr>
          <w:rStyle w:val="Fontdeparagrafimplicit"/>
          <w:b/>
        </w:rPr>
        <w:t>.</w:t>
      </w:r>
    </w:p>
    <w:p w:rsidR="002846DF" w14:paraId="097E4D11" w14:textId="68DE4023">
      <w:pPr>
        <w:ind w:firstLine="851"/>
        <w:jc w:val="both"/>
      </w:pPr>
      <w:r>
        <w:t xml:space="preserve">Pe rol, pronunţarea în cauza penală de faţă având ca obiect apelul formulat de </w:t>
      </w:r>
      <w:r>
        <w:rPr>
          <w:rStyle w:val="Fontdeparagrafimplicit"/>
          <w:b/>
          <w:i/>
        </w:rPr>
        <w:t xml:space="preserve">PARCHETUL DE PE LÂNGĂ Î.C.C.J. – DIRECŢIA NAŢIONALĂ ANTICORUPŢIE </w:t>
      </w:r>
      <w:r>
        <w:t xml:space="preserve"> împotriva sentinţei penale nr. </w:t>
      </w:r>
      <w:r w:rsidR="001D13F5">
        <w:t>2/</w:t>
      </w:r>
      <w:r>
        <w:t xml:space="preserve"> </w:t>
      </w:r>
      <w:r w:rsidR="001D13F5">
        <w:t xml:space="preserve"> </w:t>
      </w:r>
      <w:r>
        <w:t xml:space="preserve"> pronunţată de Tribunalul </w:t>
      </w:r>
      <w:r w:rsidR="001D13F5">
        <w:t xml:space="preserve">            </w:t>
      </w:r>
      <w:r>
        <w:t xml:space="preserve"> – Secţia </w:t>
      </w:r>
      <w:r w:rsidR="001D13F5">
        <w:t xml:space="preserve"> </w:t>
      </w:r>
      <w:r>
        <w:t xml:space="preserve"> în dosarul nr. 1 </w:t>
      </w:r>
      <w:r w:rsidR="001D13F5">
        <w:t xml:space="preserve"> </w:t>
      </w:r>
      <w:r>
        <w:t xml:space="preserve">. </w:t>
      </w:r>
    </w:p>
    <w:p w:rsidR="002846DF" w14:paraId="4D5F3547" w14:textId="5C0057BF">
      <w:pPr>
        <w:ind w:firstLine="851"/>
        <w:jc w:val="both"/>
      </w:pPr>
      <w:r>
        <w:t xml:space="preserve">Dezbaterile cu privire la fondul cauzei sunt cuprinse în încheierea de şedinţă din data de </w:t>
      </w:r>
      <w:r w:rsidR="001D13F5">
        <w:t xml:space="preserve"> </w:t>
      </w:r>
      <w:r>
        <w:t xml:space="preserve">, care face parte integrantă din prezenta Decizie, când Curtea, în temeiul disp. art. 391 alin. 1 C.p.p. a stabilit pronunţarea la data de </w:t>
      </w:r>
      <w:r w:rsidR="001D13F5">
        <w:t xml:space="preserve"> </w:t>
      </w:r>
      <w:r>
        <w:t xml:space="preserve">, când a hotărât următoarele: </w:t>
      </w:r>
    </w:p>
    <w:p w:rsidR="002846DF" w14:paraId="588BD629" w14:textId="77777777">
      <w:pPr>
        <w:ind w:firstLine="576"/>
        <w:jc w:val="both"/>
      </w:pPr>
    </w:p>
    <w:p w:rsidR="002846DF" w14:paraId="07A3B5EB" w14:textId="77777777">
      <w:pPr>
        <w:jc w:val="center"/>
        <w:rPr>
          <w:rStyle w:val="Fontdeparagrafimplicit"/>
          <w:b/>
        </w:rPr>
      </w:pPr>
      <w:r>
        <w:rPr>
          <w:rStyle w:val="Fontdeparagrafimplicit"/>
          <w:b/>
        </w:rPr>
        <w:t>CURTEA,</w:t>
      </w:r>
    </w:p>
    <w:p w:rsidR="002846DF" w14:paraId="2E86B5BD" w14:textId="77777777">
      <w:pPr>
        <w:jc w:val="both"/>
        <w:rPr>
          <w:rStyle w:val="Fontdeparagrafimplicit"/>
        </w:rPr>
      </w:pPr>
    </w:p>
    <w:p w:rsidR="002846DF" w14:paraId="00F6E470" w14:textId="77777777">
      <w:pPr>
        <w:tabs>
          <w:tab w:val="left" w:pos="142"/>
        </w:tabs>
        <w:ind w:firstLine="851"/>
        <w:jc w:val="both"/>
      </w:pPr>
      <w:r>
        <w:t>Deliberând asupra apelului penal de faţă, din actele şi lucrările dosarului, constată şi reţine următoarele:</w:t>
      </w:r>
    </w:p>
    <w:p w:rsidR="002846DF" w14:paraId="1AA648D3" w14:textId="3E18F5AB">
      <w:pPr>
        <w:ind w:firstLine="851"/>
        <w:jc w:val="both"/>
      </w:pPr>
      <w:r>
        <w:rPr>
          <w:rStyle w:val="Fontdeparagrafimplicit"/>
          <w:b/>
        </w:rPr>
        <w:t xml:space="preserve">Prin sentinţa penală nr. 2 </w:t>
      </w:r>
      <w:r>
        <w:t xml:space="preserve">, pronunţată de Tribunalul </w:t>
      </w:r>
      <w:r w:rsidR="001D13F5">
        <w:t xml:space="preserve">            </w:t>
      </w:r>
      <w:r>
        <w:t xml:space="preserve"> – Secţia </w:t>
      </w:r>
      <w:r w:rsidR="001D13F5">
        <w:t xml:space="preserve"> </w:t>
      </w:r>
      <w:r>
        <w:t xml:space="preserve">, în baza dispoziţiilor art.18/1 din Legea nr. 78/2000 cu aplicarea dispoziţiilor art. 5 Cod penal şi art. 396 al. 10 Cod procedură penală coroborat cu art. 375 al. 1 şi 2 Cod procedură penală şi următoarele, au fost condamnaţi inculpaţii </w:t>
      </w:r>
      <w:r w:rsidR="001D13F5">
        <w:rPr>
          <w:rStyle w:val="Fontdeparagrafimplicit"/>
          <w:b/>
        </w:rPr>
        <w:t xml:space="preserve">3 </w:t>
      </w:r>
      <w:r>
        <w:t xml:space="preserve"> cu domiciliul în sat </w:t>
      </w:r>
      <w:r w:rsidR="001D13F5">
        <w:t xml:space="preserve">                   </w:t>
      </w:r>
      <w:r>
        <w:t xml:space="preserve">, comuna </w:t>
      </w:r>
      <w:r w:rsidR="001D13F5">
        <w:t xml:space="preserve">                   </w:t>
      </w:r>
      <w:r>
        <w:t xml:space="preserve">, jud. </w:t>
      </w:r>
      <w:r w:rsidR="001D13F5">
        <w:t xml:space="preserve">            </w:t>
      </w:r>
      <w:r>
        <w:t xml:space="preserve">, CNP </w:t>
      </w:r>
      <w:r w:rsidR="001D13F5">
        <w:t xml:space="preserve"> </w:t>
      </w:r>
      <w:r>
        <w:t xml:space="preserve"> pentru săvârşirea infracţiunii prev. de art. 18</w:t>
      </w:r>
      <w:r>
        <w:rPr>
          <w:rStyle w:val="Fontdeparagrafimplicit"/>
          <w:vertAlign w:val="superscript"/>
        </w:rPr>
        <w:t>1</w:t>
      </w:r>
      <w:r>
        <w:t xml:space="preserve"> alin. 1 din Legea nr. 78/2000 cu aplic. art. 5 C.p. şi</w:t>
      </w:r>
      <w:r>
        <w:rPr>
          <w:rStyle w:val="Fontdeparagrafimplicit"/>
          <w:b/>
        </w:rPr>
        <w:t xml:space="preserve"> </w:t>
      </w:r>
      <w:r w:rsidR="001D13F5">
        <w:rPr>
          <w:rStyle w:val="Fontdeparagrafimplicit"/>
          <w:b/>
        </w:rPr>
        <w:t xml:space="preserve">4   </w:t>
      </w:r>
      <w:r>
        <w:t xml:space="preserve"> cu domiciliul în comuna                , jud. </w:t>
      </w:r>
      <w:r w:rsidR="001D13F5">
        <w:t xml:space="preserve">            </w:t>
      </w:r>
      <w:r>
        <w:t xml:space="preserve">, CNP </w:t>
      </w:r>
      <w:r w:rsidR="001D13F5">
        <w:t xml:space="preserve"> </w:t>
      </w:r>
      <w:r>
        <w:t>, pentru săvârşirea infracţiunii prev. de art. 18</w:t>
      </w:r>
      <w:r>
        <w:rPr>
          <w:rStyle w:val="Fontdeparagrafimplicit"/>
          <w:vertAlign w:val="superscript"/>
        </w:rPr>
        <w:t>1</w:t>
      </w:r>
      <w:r>
        <w:t xml:space="preserve"> alin. 1 din Legea nr.78/2000 cu aplic. art. 5 C.p. la pedeapsa de 2 (doi) ani închisoare, pentru fiecare inculpat.</w:t>
      </w:r>
    </w:p>
    <w:p w:rsidR="002846DF" w14:paraId="7844799A" w14:textId="77777777">
      <w:pPr>
        <w:ind w:firstLine="851"/>
        <w:jc w:val="both"/>
      </w:pPr>
      <w:r>
        <w:t>În baza dispoziţiilor art. 67 Cod penal, s-a aplicat fiecărui inculpat pedeapsa complementară a interzicerii drepturilor prevăzute de dispoziţiile art. 66 lit. a, b Cod penal pe o durată de 2 ani de la rămânerea definitivă a hotărârii, iar în baza dispoziţiilor art. 65 Cod penal, s-a aplicat fiecărui inculpat pedeapsa accesorie a interzicerii drepturilor prevăzute de dispoziţiile art. 66 lit. a, b Cod penal.</w:t>
      </w:r>
    </w:p>
    <w:p w:rsidR="002846DF" w14:paraId="75FA0210" w14:textId="77777777">
      <w:pPr>
        <w:ind w:firstLine="851"/>
        <w:jc w:val="both"/>
      </w:pPr>
      <w:r>
        <w:t>În baza dispoziţiilor art. 91 Cod penal, s-a dispus suspendarea executării pedepselor aplicate inculpaţilor sub supraveghere, iar în baza dispoziţiilor art. 92 Cod penal, s-a fixat termen de supraveghere pe o perioadă de 3 ani pentru fiecare inculpat.</w:t>
      </w:r>
    </w:p>
    <w:p w:rsidR="002846DF" w14:paraId="132E24D0" w14:textId="77777777">
      <w:pPr>
        <w:ind w:firstLine="851"/>
        <w:jc w:val="both"/>
      </w:pPr>
      <w:r>
        <w:t>În baza dispoziţiilor art. 93 Cod penal, inculpaţii au fost obligaţi să respecte următoarele măsuri de supraveghere:</w:t>
      </w:r>
    </w:p>
    <w:p w:rsidR="002846DF" w14:paraId="6C4702EC" w14:textId="77777777">
      <w:pPr>
        <w:ind w:firstLine="851"/>
        <w:jc w:val="both"/>
      </w:pPr>
      <w:r>
        <w:t>a) să se prezinte la serviciul de probaţiune, la datele fixate de acesta;</w:t>
      </w:r>
    </w:p>
    <w:p w:rsidR="002846DF" w14:paraId="7B47FCE2" w14:textId="77777777">
      <w:pPr>
        <w:ind w:firstLine="851"/>
        <w:jc w:val="both"/>
      </w:pPr>
      <w:r>
        <w:t>b) să primească vizitele consilierului de probaţiune desemnat cu supravegherea sa;</w:t>
      </w:r>
    </w:p>
    <w:p w:rsidR="002846DF" w14:paraId="13BD72B3" w14:textId="77777777">
      <w:pPr>
        <w:ind w:firstLine="851"/>
        <w:jc w:val="both"/>
      </w:pPr>
      <w:r>
        <w:t>c) să anunţe, în prealabil, schimbarea locuinţei şi orice deplasare care depăşeşte 5 zile;</w:t>
      </w:r>
    </w:p>
    <w:p w:rsidR="002846DF" w14:paraId="65E5F599" w14:textId="77777777">
      <w:pPr>
        <w:ind w:firstLine="851"/>
        <w:jc w:val="both"/>
      </w:pPr>
      <w:r>
        <w:t>d) să comunice schimbarea locului de muncă;</w:t>
      </w:r>
    </w:p>
    <w:p w:rsidR="002846DF" w14:paraId="420BCDBE" w14:textId="77777777">
      <w:pPr>
        <w:ind w:firstLine="851"/>
        <w:jc w:val="both"/>
      </w:pPr>
      <w:r>
        <w:t>e) să comunice informaţii şi documente de natură a permite controlul mijloacelor sale de existenţă.</w:t>
      </w:r>
    </w:p>
    <w:p w:rsidR="002846DF" w14:paraId="59E0BFB9" w14:textId="77777777">
      <w:pPr>
        <w:ind w:firstLine="851"/>
        <w:jc w:val="both"/>
      </w:pPr>
      <w:r>
        <w:t>În baza dispoziţiilor art. 93 al. 3 Cod penal, inculpaţii au fost obligaţi să presteze o muncă neremunerată în folosul comunităţii pe o perioadă de 80 zile la primăria de domiciliu.</w:t>
      </w:r>
    </w:p>
    <w:p w:rsidR="002846DF" w14:paraId="1E2803E9" w14:textId="77777777">
      <w:pPr>
        <w:ind w:firstLine="851"/>
        <w:jc w:val="both"/>
      </w:pPr>
      <w:r>
        <w:t>S-a atras atenţia inculpaţilor asupra dispoziţiilor art. 96 Cod penal şi art. 97 Cod penal.</w:t>
      </w:r>
    </w:p>
    <w:p w:rsidR="002846DF" w14:paraId="002AC41C" w14:textId="79810260">
      <w:pPr>
        <w:ind w:firstLine="851"/>
        <w:jc w:val="both"/>
      </w:pPr>
      <w:r>
        <w:t xml:space="preserve">A fost admisă acţiunea civilă şi a fost obligat inculpatul </w:t>
      </w:r>
      <w:r w:rsidR="001D13F5">
        <w:t xml:space="preserve">3 </w:t>
      </w:r>
      <w:r>
        <w:t xml:space="preserve"> la plata sumei de 177.780 lei şi inculpata </w:t>
      </w:r>
      <w:r w:rsidR="001D13F5">
        <w:t xml:space="preserve">4   </w:t>
      </w:r>
      <w:r>
        <w:t xml:space="preserve"> la plata sumei de 106.668 lei către partea civilă Agenţia pentru Finanţarea Investiţiilor Rurale.</w:t>
      </w:r>
    </w:p>
    <w:p w:rsidR="002846DF" w14:paraId="03B21E13" w14:textId="3B21AEA0">
      <w:pPr>
        <w:ind w:firstLine="851"/>
        <w:jc w:val="both"/>
      </w:pPr>
      <w:r>
        <w:t xml:space="preserve">S-a dispus anularea înscrisurilor falsificate de cei 2 inculpaţi, respectiv declaraţiile date de </w:t>
      </w:r>
      <w:r w:rsidR="001D13F5">
        <w:t xml:space="preserve">3 </w:t>
      </w:r>
      <w:r>
        <w:t xml:space="preserve"> la </w:t>
      </w:r>
      <w:r w:rsidR="001D13F5">
        <w:t xml:space="preserve"> </w:t>
      </w:r>
      <w:r>
        <w:t xml:space="preserve">.                      şi </w:t>
      </w:r>
      <w:r w:rsidR="001D13F5">
        <w:t xml:space="preserve">4   </w:t>
      </w:r>
      <w:r>
        <w:t xml:space="preserve"> la </w:t>
      </w:r>
      <w:r w:rsidR="001D13F5">
        <w:t xml:space="preserve"> </w:t>
      </w:r>
      <w:r>
        <w:t>.                     .</w:t>
      </w:r>
    </w:p>
    <w:p w:rsidR="002846DF" w14:paraId="63385F59" w14:textId="7ECD66F6">
      <w:pPr>
        <w:ind w:firstLine="851"/>
        <w:jc w:val="both"/>
      </w:pPr>
      <w:r>
        <w:t>Au fost menţinute măsurile asigurătorii dispuse asupra bunurilor celor doi inculpaţi prin ordonanţele nr.</w:t>
      </w:r>
      <w:r w:rsidR="001D13F5">
        <w:t xml:space="preserve">     </w:t>
      </w:r>
      <w:r>
        <w:t xml:space="preserve">/                din </w:t>
      </w:r>
      <w:r w:rsidR="001D13F5">
        <w:t xml:space="preserve">   </w:t>
      </w:r>
      <w:r>
        <w:t>.06.               .</w:t>
      </w:r>
    </w:p>
    <w:p w:rsidR="002846DF" w14:paraId="04AEB423" w14:textId="77777777">
      <w:pPr>
        <w:ind w:firstLine="851"/>
        <w:jc w:val="both"/>
      </w:pPr>
      <w:r>
        <w:t>A fost disjunsă cauza cu privire la ceilalţi inculpaţi.</w:t>
      </w:r>
    </w:p>
    <w:p w:rsidR="002846DF" w14:paraId="3D414508" w14:textId="77777777">
      <w:pPr>
        <w:ind w:firstLine="851"/>
        <w:jc w:val="both"/>
      </w:pPr>
      <w:r>
        <w:t>A fost obligat fiecare inculpat la plata sumei de 1.500 lei, cheltuieli judiciare către stat.</w:t>
      </w:r>
    </w:p>
    <w:p w:rsidR="002846DF" w14:paraId="0C022517" w14:textId="0D7E26E1">
      <w:pPr>
        <w:pStyle w:val="Style1"/>
        <w:widowControl/>
        <w:tabs>
          <w:tab w:val="right" w:pos="8342"/>
        </w:tabs>
        <w:spacing w:line="240" w:lineRule="auto"/>
        <w:ind w:firstLine="851"/>
      </w:pPr>
      <w:r>
        <w:rPr>
          <w:rStyle w:val="Fontdeparagrafimplicit"/>
          <w:b/>
        </w:rPr>
        <w:t>Pentru a pronunţa această sentinţă, judecătorul fondului a reţi</w:t>
      </w:r>
      <w:r>
        <w:t xml:space="preserve">nut </w:t>
      </w:r>
      <w:r>
        <w:rPr>
          <w:rStyle w:val="Fontdeparagrafimplicit"/>
          <w:b/>
        </w:rPr>
        <w:t>în fapt, că î</w:t>
      </w:r>
      <w:r>
        <w:t xml:space="preserve">n prima jumătate a anului                      , cei şase inculpaţi persoane fizice: </w:t>
      </w:r>
      <w:r w:rsidR="001D13F5">
        <w:t xml:space="preserve">5 </w:t>
      </w:r>
      <w:r>
        <w:t xml:space="preserve">, </w:t>
      </w:r>
      <w:r w:rsidR="001D13F5">
        <w:t xml:space="preserve">3 </w:t>
      </w:r>
      <w:r>
        <w:t xml:space="preserve">, </w:t>
      </w:r>
      <w:r w:rsidR="001D13F5">
        <w:t xml:space="preserve">6 </w:t>
      </w:r>
      <w:r>
        <w:t xml:space="preserve">, </w:t>
      </w:r>
      <w:r w:rsidR="001D13F5">
        <w:t xml:space="preserve">4   </w:t>
      </w:r>
      <w:r>
        <w:t xml:space="preserve">, </w:t>
      </w:r>
      <w:r w:rsidR="001D13F5">
        <w:t xml:space="preserve">7 </w:t>
      </w:r>
      <w:r>
        <w:t xml:space="preserve"> şi </w:t>
      </w:r>
      <w:r w:rsidR="001D13F5">
        <w:t xml:space="preserve">8 </w:t>
      </w:r>
      <w:r>
        <w:t xml:space="preserve"> au fost interesaţi de obţinerea de fonduri europene pentru agricultură. Inculpaţii proveneau din familii cu preocupări în domeniul agricol. În acest sens, inculpații au luat legătura cu martora </w:t>
      </w:r>
      <w:r w:rsidR="001D13F5">
        <w:t xml:space="preserve">9 </w:t>
      </w:r>
      <w:r>
        <w:t xml:space="preserve"> reprezentanta societății </w:t>
      </w:r>
      <w:r w:rsidR="001D13F5">
        <w:t xml:space="preserve"> </w:t>
      </w:r>
      <w:r>
        <w:t xml:space="preserve"> SRL, societate specializată în acordarea de consultanţă în domeniul accesării fondurilor europene.</w:t>
      </w:r>
    </w:p>
    <w:p w:rsidR="002846DF" w14:paraId="4955AD62" w14:textId="7197B40A">
      <w:pPr>
        <w:ind w:firstLine="851"/>
        <w:jc w:val="both"/>
      </w:pPr>
      <w:r>
        <w:t xml:space="preserve">În luna </w:t>
      </w:r>
      <w:r w:rsidR="001D13F5">
        <w:t xml:space="preserve">   </w:t>
      </w:r>
      <w:r>
        <w:t xml:space="preserve">                       cei șase inculpați s-au întâlnit de mai multe ori cu martora </w:t>
      </w:r>
      <w:r w:rsidR="001D13F5">
        <w:t xml:space="preserve">9 </w:t>
      </w:r>
      <w:r>
        <w:t xml:space="preserve">. Întâlnirile au avut loc separat. Cu prilejul întâlnirilor cu martora </w:t>
      </w:r>
      <w:r w:rsidR="001D13F5">
        <w:t xml:space="preserve">9 </w:t>
      </w:r>
      <w:r>
        <w:t xml:space="preserve"> s-a stabilit că faţă de nevoile expuse potrivit ar fi ca aceştia să acceseze fonduri europene prin Măsura 112.</w:t>
      </w:r>
    </w:p>
    <w:p w:rsidR="002846DF" w14:paraId="76E9741F" w14:textId="1AF690CA">
      <w:pPr>
        <w:tabs>
          <w:tab w:val="right" w:pos="9029"/>
        </w:tabs>
        <w:ind w:firstLine="851"/>
        <w:jc w:val="both"/>
      </w:pPr>
      <w:r>
        <w:t xml:space="preserve">Discuţiile au fost punctuale şi s-au axat pe întocmirea documentaţiei necesare cererii de finanţare inclusiv în ceea ce priveşte îndeplinirea condiţiilor minime de eligibilitate a proiectului printre care şi aceea ca inculpaţi să fie membri ai unei familii de fermier şi să fi lucrat mai mult de 50% din timpul lor de lucru în cadrul unei ferme (nu neapărat în ferma familiei) cu cel puţin 12 luni înaintea instalării lor pe cont propriu la conducerea unei exploataţii agricole. Momentul instalării pe cont proprie era acela al intrării în posesie a unui suprafeţe de teren agricol. În cazul tuturor celor cinci beneficiari acest moment a fost cuprins în intervalul martie - mai                      . Practic ajutorul european nerambursabil reprezenta prima de instalarea a tânărului fermier, bani cu care acesta trebuia să-şi dezvolte exploataţia agricolă.    </w:t>
      </w:r>
    </w:p>
    <w:p w:rsidR="002846DF" w14:paraId="7518BC33" w14:textId="77777777">
      <w:pPr>
        <w:ind w:firstLine="851"/>
        <w:jc w:val="both"/>
      </w:pPr>
      <w:r>
        <w:t xml:space="preserve">Pentru îndeplinirea acestor condiţii, solicitantul putea depune la dosar unul din următoarele două documente: </w:t>
      </w:r>
    </w:p>
    <w:p w:rsidR="002846DF" w14:paraId="50F8E2F1" w14:textId="77777777">
      <w:pPr>
        <w:ind w:firstLine="851"/>
        <w:jc w:val="both"/>
      </w:pPr>
      <w:r>
        <w:t>- fie carte de muncă din care să rezulte că solicitantul a desfăşurat activităţi în domeniul agricol mai mult de 50% din timpul său de lucru cu cel puţin 12 luni înaintea instalării sale pe cont propriu;</w:t>
      </w:r>
    </w:p>
    <w:p w:rsidR="002846DF" w14:paraId="77271F79" w14:textId="77777777">
      <w:pPr>
        <w:ind w:firstLine="851"/>
        <w:jc w:val="both"/>
      </w:pPr>
      <w:r>
        <w:t>- fie declaraţia pe propria răspundere că este membru al unei familii de fermieri şi că a lucrat mai mult de 50% din timpul său de lucru în cadrul fermei cu cel puţin 12 luni înaintea instalării sale pe cont propriu, însoţită de declaraţia conducătorului exploataţiei agricole unde a lucrat solicitantul.</w:t>
      </w:r>
    </w:p>
    <w:p w:rsidR="002846DF" w14:paraId="32EF62B0" w14:textId="70018F98">
      <w:pPr>
        <w:tabs>
          <w:tab w:val="right" w:pos="9029"/>
        </w:tabs>
        <w:ind w:firstLine="851"/>
        <w:jc w:val="both"/>
      </w:pPr>
      <w:r>
        <w:t xml:space="preserve">Întrucât nici unul dintre inculpaţi nu îndeplinea condiţiile în discuţie cu consecinţa respingerii în mod automat a cererii de finanţare, inculpaţii au acceptat ca martora </w:t>
      </w:r>
      <w:r w:rsidR="001D13F5">
        <w:t xml:space="preserve">9 </w:t>
      </w:r>
      <w:r>
        <w:t xml:space="preserve"> să se ocupe de rezolvarea problemei în cauză prin identificarea unei persoane conducătoare a unei familii de fermier şi obţinerea informaţiilor şi declaraţiilor necesare.</w:t>
      </w:r>
    </w:p>
    <w:p w:rsidR="002846DF" w14:paraId="24A9CBFC" w14:textId="42C87807">
      <w:pPr>
        <w:tabs>
          <w:tab w:val="right" w:pos="9029"/>
        </w:tabs>
        <w:ind w:firstLine="851"/>
        <w:jc w:val="both"/>
      </w:pPr>
      <w:r>
        <w:tab/>
        <w:t xml:space="preserve">La vremea respectivă, martora </w:t>
      </w:r>
      <w:r w:rsidR="001D13F5">
        <w:t xml:space="preserve">9 </w:t>
      </w:r>
      <w:r>
        <w:t xml:space="preserve"> cunoştea că martorul </w:t>
      </w:r>
      <w:r w:rsidR="001D13F5">
        <w:t xml:space="preserve">10 </w:t>
      </w:r>
      <w:r>
        <w:t xml:space="preserve"> deţine o fermă pe raza comunei </w:t>
      </w:r>
      <w:r w:rsidR="001D13F5">
        <w:t xml:space="preserve">              </w:t>
      </w:r>
      <w:r>
        <w:t xml:space="preserve">, judeţul </w:t>
      </w:r>
      <w:r w:rsidR="001D13F5">
        <w:t xml:space="preserve">            </w:t>
      </w:r>
      <w:r>
        <w:t>.</w:t>
      </w:r>
    </w:p>
    <w:p w:rsidR="002846DF" w14:paraId="2103586B" w14:textId="7EB7A623">
      <w:pPr>
        <w:ind w:firstLine="851"/>
        <w:jc w:val="both"/>
      </w:pPr>
      <w:r>
        <w:t xml:space="preserve">Astfel, în cursul lunii iunie                      , martora </w:t>
      </w:r>
      <w:r w:rsidR="001D13F5">
        <w:t xml:space="preserve">9 </w:t>
      </w:r>
      <w:r>
        <w:t xml:space="preserve"> a tehnoredactat şase declaraţii ulterior semnate de inculpaţii </w:t>
      </w:r>
      <w:r w:rsidR="001D13F5">
        <w:t xml:space="preserve">5 </w:t>
      </w:r>
      <w:r>
        <w:t xml:space="preserve">, </w:t>
      </w:r>
      <w:r w:rsidR="001D13F5">
        <w:t xml:space="preserve">3 </w:t>
      </w:r>
      <w:r>
        <w:t xml:space="preserve">, </w:t>
      </w:r>
      <w:r w:rsidR="001D13F5">
        <w:t xml:space="preserve">6 </w:t>
      </w:r>
      <w:r>
        <w:t xml:space="preserve">, </w:t>
      </w:r>
      <w:r w:rsidR="001D13F5">
        <w:t xml:space="preserve">4   </w:t>
      </w:r>
      <w:r>
        <w:t xml:space="preserve">, </w:t>
      </w:r>
      <w:r w:rsidR="001D13F5">
        <w:t xml:space="preserve">7 </w:t>
      </w:r>
      <w:r>
        <w:t xml:space="preserve"> şi </w:t>
      </w:r>
      <w:r w:rsidR="001D13F5">
        <w:t xml:space="preserve">8 </w:t>
      </w:r>
      <w:r>
        <w:t xml:space="preserve"> prin care se atesta în fals că aceştia sunt membri ai familiei de fermier </w:t>
      </w:r>
      <w:r w:rsidR="001D13F5">
        <w:t xml:space="preserve">10 </w:t>
      </w:r>
      <w:r>
        <w:t xml:space="preserve"> şi că au lucrat în cadrul fermei acestuia timp de un an de zile.</w:t>
      </w:r>
    </w:p>
    <w:p w:rsidR="002846DF" w14:paraId="1863BA7E" w14:textId="56D0BBB5">
      <w:pPr>
        <w:ind w:firstLine="851"/>
        <w:jc w:val="both"/>
      </w:pPr>
      <w:r>
        <w:t xml:space="preserve">În continuare, martora </w:t>
      </w:r>
      <w:r w:rsidR="001D13F5">
        <w:t xml:space="preserve">9 </w:t>
      </w:r>
      <w:r>
        <w:t xml:space="preserve"> a tehnoredactat pentru fiecare dintre inculpaţi câte o declaraţie atribuită martorului </w:t>
      </w:r>
      <w:r w:rsidR="001D13F5">
        <w:t xml:space="preserve">10 </w:t>
      </w:r>
      <w:r>
        <w:t>, în care se atesta în fals că inculpaţii au lucrat în cadrul fermei sale timp de un an de zile.</w:t>
      </w:r>
    </w:p>
    <w:p w:rsidR="002846DF" w14:paraId="44F64166" w14:textId="301B0632">
      <w:pPr>
        <w:ind w:firstLine="851"/>
        <w:jc w:val="both"/>
      </w:pPr>
      <w:r>
        <w:t xml:space="preserve">Aşa fiind, în documentaţia aferentă cererilor de finanţare a fiecăruia dintre cei şase inculpaţi se regăsesc câte două declaraţii false, una atribuită martorului </w:t>
      </w:r>
      <w:r w:rsidR="001D13F5">
        <w:t xml:space="preserve">10 </w:t>
      </w:r>
      <w:r>
        <w:t xml:space="preserve"> şi una provenind de la solicitantul de fonduri europene.</w:t>
      </w:r>
    </w:p>
    <w:p w:rsidR="002846DF" w14:paraId="3637C6CA" w14:textId="25A8AE42">
      <w:pPr>
        <w:ind w:firstLine="851"/>
        <w:jc w:val="both"/>
      </w:pPr>
      <w:r>
        <w:t xml:space="preserve">În timpul urmăririi, martorul </w:t>
      </w:r>
      <w:r w:rsidR="001D13F5">
        <w:t xml:space="preserve">10 </w:t>
      </w:r>
      <w:r>
        <w:t xml:space="preserve"> a afirmat că nu cunoaşte pe nici unul din cei şase inculpaţi şi că aceştia, în realitate, nu au lucrat niciodată în cadrul fermei sale. </w:t>
      </w:r>
    </w:p>
    <w:p w:rsidR="002846DF" w14:paraId="14D1F9F8" w14:textId="3AEB328F">
      <w:pPr>
        <w:ind w:firstLine="851"/>
        <w:jc w:val="both"/>
      </w:pPr>
      <w:r>
        <w:t xml:space="preserve">De asemenea, inculpaţii </w:t>
      </w:r>
      <w:r w:rsidR="001D13F5">
        <w:t xml:space="preserve">5 </w:t>
      </w:r>
      <w:r>
        <w:t xml:space="preserve">, </w:t>
      </w:r>
      <w:r w:rsidR="001D13F5">
        <w:t xml:space="preserve">3 </w:t>
      </w:r>
      <w:r>
        <w:t xml:space="preserve">, </w:t>
      </w:r>
      <w:r w:rsidR="001D13F5">
        <w:t xml:space="preserve">6 </w:t>
      </w:r>
      <w:r>
        <w:t xml:space="preserve">, </w:t>
      </w:r>
      <w:r w:rsidR="001D13F5">
        <w:t xml:space="preserve">4   </w:t>
      </w:r>
      <w:r>
        <w:t xml:space="preserve">, </w:t>
      </w:r>
      <w:r w:rsidR="001D13F5">
        <w:t xml:space="preserve">7 </w:t>
      </w:r>
      <w:r>
        <w:t xml:space="preserve"> şi </w:t>
      </w:r>
      <w:r w:rsidR="001D13F5">
        <w:t xml:space="preserve">8 </w:t>
      </w:r>
      <w:r>
        <w:t xml:space="preserve"> au recunoscut că nu lucrat niciodată la ferma lui </w:t>
      </w:r>
      <w:r w:rsidR="001D13F5">
        <w:t xml:space="preserve">10 </w:t>
      </w:r>
      <w:r>
        <w:t xml:space="preserve">. </w:t>
      </w:r>
    </w:p>
    <w:p w:rsidR="002846DF" w14:paraId="566F569D" w14:textId="77777777">
      <w:pPr>
        <w:ind w:firstLine="851"/>
        <w:jc w:val="both"/>
      </w:pPr>
      <w:r>
        <w:t>Inculpaţii au semnat respectivele declaraţii cunoscând că în cuprinsul lor atestă fapte şi împrejurări nereale pe care le fac opozabile Oficiului.</w:t>
      </w:r>
    </w:p>
    <w:p w:rsidR="002846DF" w14:paraId="085AB5BB" w14:textId="77777777">
      <w:pPr>
        <w:ind w:firstLine="851"/>
        <w:jc w:val="both"/>
      </w:pPr>
      <w:r>
        <w:t xml:space="preserve">Fraudarea accesării Măsurii 112 s-a făcut în privinţa tuturor celor şase persoane în legătură cu condiţiile minime de eligibilitate. </w:t>
      </w:r>
    </w:p>
    <w:p w:rsidR="002846DF" w14:paraId="1AFA819B" w14:textId="77777777">
      <w:pPr>
        <w:ind w:firstLine="851"/>
        <w:jc w:val="both"/>
      </w:pPr>
      <w:r>
        <w:t>Condiţiile minime de eligibilitate sunt acele condiţii „sine qua non” care nu comportă nicio derogare şi fără îndeplinirea cărora nu poate să intre în discuţie în niciun fel accesarea respectivei măsuri şi implicit obţinerea vreunui eurocent din fondurile Uniunii Europene.</w:t>
      </w:r>
    </w:p>
    <w:p w:rsidR="002846DF" w14:paraId="174AD367" w14:textId="121A86A6">
      <w:pPr>
        <w:tabs>
          <w:tab w:val="right" w:pos="9029"/>
        </w:tabs>
        <w:ind w:firstLine="851"/>
        <w:jc w:val="both"/>
        <w:rPr>
          <w:rStyle w:val="Fontdeparagrafimplicit"/>
          <w:i/>
        </w:rPr>
      </w:pPr>
      <w:r>
        <w:t>În luna iunie                      , s-au înregistrat la nivelul Oficiului cererile celor şase inculpaţi pentru finanţarea a proiectelor.</w:t>
      </w:r>
      <w:r>
        <w:rPr>
          <w:rStyle w:val="Fontdeparagrafimplicit"/>
          <w:i/>
        </w:rPr>
        <w:t xml:space="preserve"> </w:t>
      </w:r>
      <w:r>
        <w:t xml:space="preserve">În perioada următoare cei şase inculpaţi au înfiinţat fiecare câte o întreprindere individuală sau un PFA, aceste entităţi juridice fiind necesare în cadrul proiectelor. </w:t>
      </w:r>
    </w:p>
    <w:p w:rsidR="002846DF" w14:paraId="2C9CE3D2" w14:textId="2D90552B">
      <w:pPr>
        <w:tabs>
          <w:tab w:val="right" w:pos="9029"/>
        </w:tabs>
        <w:ind w:firstLine="851"/>
        <w:jc w:val="both"/>
        <w:rPr>
          <w:rStyle w:val="Fontdeparagrafimplicit"/>
        </w:rPr>
      </w:pPr>
      <w:r>
        <w:t>La scurt timp, inculpaţii au fost notificaţi de către Oficiu că proiectele lor au fost declarate eligibile. În cursul anului                , inculpaţii au încheiat fiecare în calitate de reprezentanţi ai întreprinderilor individuale/PFA câte un contract de finanţare cu Agenţia. Obiectul contractelor era reprezentat de acordarea finanţării nerambursabile pentru punerea în aplicare a cererilor de finanţare.</w:t>
      </w:r>
      <w:r>
        <w:rPr>
          <w:rStyle w:val="Fontdeparagrafimplicit"/>
          <w:i/>
        </w:rPr>
        <w:t xml:space="preserve"> </w:t>
      </w:r>
    </w:p>
    <w:p w:rsidR="002846DF" w14:paraId="19DCBB1F" w14:textId="77777777">
      <w:pPr>
        <w:tabs>
          <w:tab w:val="right" w:pos="9029"/>
        </w:tabs>
        <w:ind w:firstLine="851"/>
        <w:jc w:val="both"/>
      </w:pPr>
      <w:r>
        <w:t xml:space="preserve">Valoarea fiecărui contract a fost stabilită la suma de 40.000 euro ca sprijin financiar nerambursabil sub formă de primă pentru instalarea tinerilor fermieri, plătibilă în două tranşe în cuantum de 24.000 euro şi respectiv 16.000 euro din Fondul European Agricol pentru Dezvoltare Rurală (FEADR). </w:t>
      </w:r>
    </w:p>
    <w:p w:rsidR="002846DF" w14:paraId="440340D8" w14:textId="0C7C31E2">
      <w:pPr>
        <w:ind w:firstLine="851"/>
        <w:jc w:val="both"/>
      </w:pPr>
      <w:r>
        <w:t xml:space="preserve">În intervalul                -               , Agenţia a virat în contul fiecăreia dintre întreprinderi suma de 106.668 lei, reprezentând prima tranşă din contract (60 % din valoarea eligibilă a contractului) cu excepţia Întreprinderii Individuale </w:t>
      </w:r>
      <w:r w:rsidR="001D13F5">
        <w:t xml:space="preserve">3 </w:t>
      </w:r>
      <w:r>
        <w:t xml:space="preserve"> care a beneficiat de achitarea integrală a finanţării în cuantum 177.780 lei.</w:t>
      </w:r>
    </w:p>
    <w:p w:rsidR="002846DF" w14:paraId="4BDB7B3B" w14:textId="104873FA">
      <w:pPr>
        <w:ind w:firstLine="851"/>
        <w:jc w:val="both"/>
      </w:pPr>
      <w:r>
        <w:t xml:space="preserve">Situaţia de fapt, astfel cum a fost descrisă, a fost temeinic dovedită pe baza mijloacelor de probă administrate în faza de urmărire penală, probe pe care inculpaţii </w:t>
      </w:r>
      <w:r w:rsidR="001D13F5">
        <w:t xml:space="preserve">3 </w:t>
      </w:r>
      <w:r>
        <w:t xml:space="preserve"> şi </w:t>
      </w:r>
      <w:r w:rsidR="001D13F5">
        <w:t xml:space="preserve">4   </w:t>
      </w:r>
      <w:r>
        <w:t xml:space="preserve"> şi le-au însuşit, solicitând judecarea cauzei în procedura simplificată.</w:t>
      </w:r>
    </w:p>
    <w:p w:rsidR="002846DF" w14:paraId="3E135B54" w14:textId="00374F38">
      <w:pPr>
        <w:ind w:firstLine="851"/>
        <w:jc w:val="both"/>
      </w:pPr>
      <w:r>
        <w:t xml:space="preserve">Probele se află la dosar, iar instanţa de fond le-a individualizat şi analizat pe larg, concluzionând că, </w:t>
      </w:r>
      <w:r>
        <w:rPr>
          <w:rStyle w:val="Fontdeparagrafimplicit"/>
          <w:b/>
        </w:rPr>
        <w:t>în drept</w:t>
      </w:r>
      <w:r>
        <w:t>: faptele inculpaţilor</w:t>
      </w:r>
      <w:r>
        <w:rPr>
          <w:rStyle w:val="Fontdeparagrafimplicit"/>
          <w:u w:val="single"/>
        </w:rPr>
        <w:t xml:space="preserve"> </w:t>
      </w:r>
      <w:r w:rsidR="001D13F5">
        <w:t xml:space="preserve">3 </w:t>
      </w:r>
      <w:r>
        <w:t xml:space="preserve"> şi </w:t>
      </w:r>
      <w:r w:rsidR="001D13F5">
        <w:t xml:space="preserve">4   </w:t>
      </w:r>
      <w:r>
        <w:t xml:space="preserve"> întrunesc elementele constitutive ale infracţiunii prev. de art. 18</w:t>
      </w:r>
      <w:r>
        <w:rPr>
          <w:rStyle w:val="Fontdeparagrafimplicit"/>
          <w:vertAlign w:val="superscript"/>
        </w:rPr>
        <w:t>1</w:t>
      </w:r>
      <w:r>
        <w:t xml:space="preserve"> alin. 1 din Legea nr. 78/2000 cu aplic. art. 5 C.p.</w:t>
      </w:r>
    </w:p>
    <w:p w:rsidR="002846DF" w14:paraId="07A377A4" w14:textId="77777777">
      <w:pPr>
        <w:ind w:firstLine="851"/>
        <w:jc w:val="both"/>
      </w:pPr>
      <w:r>
        <w:t>La individualizarea judiciară a pedepselor ce au fost aplicate celor doi inculpaţi, conf. art.74 Cod penal, tribunalul a avut în vedere gradul de pericol social concret al faptelor săvârşite de cei doi inculpaţi, faptul că aceştia nu au antecedente penale, au avut o poziţie procesuală sinceră şi că au înţeles să fie judecaţi în baza procedurii simplificate, astfel că, în opinia tribunalului, scopul urmărit de legislaţia penală va fi pe deplin atins prin condamnarea inculpaţilor la câte o pedeapsă de 2 ani închisoare fiecare şi constatând îndeplinite condiţiile impuse de art. 91 Cod penal, s-a dispus suspendarea executării pedepselor aplicate inculpaţilor sub supraveghere.</w:t>
      </w:r>
    </w:p>
    <w:p w:rsidR="002846DF" w14:paraId="2531850E" w14:textId="61EAC330">
      <w:pPr>
        <w:ind w:firstLine="851"/>
        <w:jc w:val="both"/>
      </w:pPr>
      <w:r>
        <w:t xml:space="preserve">Procedând la soluţionarea laturii civile a cauzei, instanţa de fond, în baza art.25 Cod procedură penală coroborat cu art.1349 C.civil, a admis acţiunea civilă şi l-a obligat pe inculpatul </w:t>
      </w:r>
      <w:r w:rsidR="001D13F5">
        <w:t xml:space="preserve">3 </w:t>
      </w:r>
      <w:r>
        <w:t xml:space="preserve"> la plata sumei de 177.780 lei şi pe inculpata </w:t>
      </w:r>
      <w:r w:rsidR="001D13F5">
        <w:t xml:space="preserve">4   </w:t>
      </w:r>
      <w:r>
        <w:t xml:space="preserve"> la plata sumei de 106.668 lei către partea civilă Agenţia pentru Finanţarea Investiţiilor Rurale.</w:t>
      </w:r>
    </w:p>
    <w:p w:rsidR="002846DF" w14:paraId="77CA1F95" w14:textId="77777777">
      <w:pPr>
        <w:pStyle w:val="Style1"/>
        <w:widowControl/>
        <w:tabs>
          <w:tab w:val="right" w:pos="8342"/>
        </w:tabs>
        <w:spacing w:line="240" w:lineRule="auto"/>
        <w:ind w:firstLine="851"/>
      </w:pPr>
      <w:r>
        <w:rPr>
          <w:rStyle w:val="Fontdeparagrafimplicit"/>
          <w:b/>
        </w:rPr>
        <w:t>Împotriva acestei sentinţe</w:t>
      </w:r>
      <w:r>
        <w:t>, în termenul legal, a declarat apel Parchetul de pe lângă Înalta Curte de Casaţie şi Justiţie – Direcţia Naţională Anticorupţie, criticând-o pentru nelegalitate şi netemeinicie, vizând următoarele aspecte:</w:t>
      </w:r>
    </w:p>
    <w:p w:rsidR="002846DF" w14:paraId="202A8B7F" w14:textId="77777777">
      <w:pPr>
        <w:numPr>
          <w:ilvl w:val="0"/>
          <w:numId w:val="1"/>
        </w:numPr>
        <w:tabs>
          <w:tab w:val="left" w:pos="845"/>
        </w:tabs>
        <w:ind w:firstLine="851"/>
        <w:jc w:val="both"/>
      </w:pPr>
      <w:r>
        <w:t>în mod nelegal, instanţa de fond a omis să stabilească şi să impună una sau mai multe dintre obligaţiile prev. de art. 93 alin.2 C.pen.;</w:t>
      </w:r>
    </w:p>
    <w:p w:rsidR="002846DF" w14:paraId="1B363E10" w14:textId="77777777">
      <w:pPr>
        <w:numPr>
          <w:ilvl w:val="0"/>
          <w:numId w:val="1"/>
        </w:numPr>
        <w:tabs>
          <w:tab w:val="left" w:pos="845"/>
        </w:tabs>
        <w:ind w:firstLine="851"/>
        <w:jc w:val="both"/>
      </w:pPr>
      <w:r>
        <w:t>în mod nelegal, instanţa de fond a nesocotit dispoziţiile art. 404 alin. 2 C.p.p privind alegerea a două entităţi din cadrul comunităţii unde urmează a se executa obligaţia de prestare munca neremunerată în folosul comunităţii, prevăzută de art. 93 alin 3 C.pen.;</w:t>
      </w:r>
    </w:p>
    <w:p w:rsidR="002846DF" w14:paraId="0AF7A4C3" w14:textId="77777777">
      <w:pPr>
        <w:numPr>
          <w:ilvl w:val="0"/>
          <w:numId w:val="1"/>
        </w:numPr>
        <w:tabs>
          <w:tab w:val="left" w:pos="845"/>
        </w:tabs>
        <w:ind w:firstLine="851"/>
        <w:jc w:val="both"/>
      </w:pPr>
      <w:r>
        <w:t>în mod nelegal instanţa, cu privire la înscrisurile falsificate a dispus anularea, deşi potrivit dispoziţiilor art. 25 alin 3 din C.P.P. - trebuia să dispună desfiinţarea totală a înscrisurilor sub semnătură privată false folosite de către inculpaţi;</w:t>
      </w:r>
    </w:p>
    <w:p w:rsidR="002846DF" w14:paraId="5978821D" w14:textId="77777777">
      <w:pPr>
        <w:numPr>
          <w:ilvl w:val="0"/>
          <w:numId w:val="1"/>
        </w:numPr>
        <w:tabs>
          <w:tab w:val="left" w:pos="845"/>
        </w:tabs>
        <w:ind w:firstLine="851"/>
        <w:jc w:val="both"/>
      </w:pPr>
      <w:r>
        <w:t>în mod greşit, instanţa a omis să facă menţiunea privind împrejurarea că pedepsele accesorii aplicate inculpaţilor urmează sa fie executate numai în cazul anularii sau revocării beneficiului suspendării supravegheate a pedepsei principale.</w:t>
      </w:r>
    </w:p>
    <w:p w:rsidR="002846DF" w14:paraId="7F2471FE" w14:textId="77777777">
      <w:pPr>
        <w:ind w:firstLine="851"/>
        <w:jc w:val="both"/>
      </w:pPr>
      <w:r>
        <w:t>Potrivit dispoziţiilor art. 93 din C. pen., pe durata termenului de supraveghere, pe lângă respectarea masurilor de supraveghere prevăzute de art. 93 alin (1) lit. a)-e) C.pen si obligaţia de a presta o munca neremunerata in folosul comunităţii, prevăzuta de art. 93 alin (3) din C.pen, instanţa trebuia sa impună, executarea uneia sau mai multor obligaţii prevăzute de. art. 93 alin. (2) lit. a) - d) din C. pen..</w:t>
      </w:r>
    </w:p>
    <w:p w:rsidR="002846DF" w14:paraId="343606D9" w14:textId="77777777">
      <w:pPr>
        <w:ind w:firstLine="851"/>
        <w:jc w:val="both"/>
      </w:pPr>
      <w:r>
        <w:t xml:space="preserve">Potrivit art. 93 alin.2 din C.pen., instanţa </w:t>
      </w:r>
      <w:r>
        <w:rPr>
          <w:rStyle w:val="Fontdeparagrafimplicit"/>
          <w:u w:val="single"/>
        </w:rPr>
        <w:t>impune</w:t>
      </w:r>
      <w:r>
        <w:t xml:space="preserve"> condamnatului să execute una sau mai multe dintre următoarele obligaţii:</w:t>
      </w:r>
    </w:p>
    <w:p w:rsidR="002846DF" w14:paraId="17B18A20" w14:textId="77777777">
      <w:pPr>
        <w:tabs>
          <w:tab w:val="left" w:pos="1085"/>
        </w:tabs>
        <w:ind w:firstLine="851"/>
        <w:jc w:val="both"/>
      </w:pPr>
      <w:r>
        <w:t>a)</w:t>
      </w:r>
      <w:r>
        <w:tab/>
        <w:t>să urmeze un curs de pregătire şcolară ori de calificare profesională;</w:t>
      </w:r>
    </w:p>
    <w:p w:rsidR="002846DF" w14:paraId="110CB88E" w14:textId="77777777">
      <w:pPr>
        <w:tabs>
          <w:tab w:val="left" w:pos="1013"/>
        </w:tabs>
        <w:ind w:firstLine="851"/>
        <w:jc w:val="both"/>
      </w:pPr>
      <w:r>
        <w:t>b)</w:t>
      </w:r>
      <w:r>
        <w:tab/>
        <w:t>să frecventeze unul sau mai multe programe de reintegrare socială derulate de către serviciul de probaţiune sau organizate în colaborare cu instituţii din comunitate;</w:t>
      </w:r>
    </w:p>
    <w:p w:rsidR="002846DF" w14:paraId="3010EBA4" w14:textId="77777777">
      <w:pPr>
        <w:numPr>
          <w:ilvl w:val="0"/>
          <w:numId w:val="2"/>
        </w:numPr>
        <w:tabs>
          <w:tab w:val="left" w:pos="1085"/>
        </w:tabs>
        <w:ind w:firstLine="851"/>
        <w:jc w:val="both"/>
      </w:pPr>
      <w:r>
        <w:t>să se supună măsurilor de control, tratament sau îngrijire medicală;</w:t>
      </w:r>
    </w:p>
    <w:p w:rsidR="002846DF" w14:paraId="142CB412" w14:textId="77777777">
      <w:pPr>
        <w:numPr>
          <w:ilvl w:val="0"/>
          <w:numId w:val="2"/>
        </w:numPr>
        <w:tabs>
          <w:tab w:val="left" w:pos="1085"/>
        </w:tabs>
        <w:ind w:firstLine="851"/>
        <w:jc w:val="both"/>
      </w:pPr>
      <w:r>
        <w:t>să nu părăsească teritoriul României, fără acordul instanţei.</w:t>
      </w:r>
    </w:p>
    <w:p w:rsidR="002846DF" w14:paraId="1204C094" w14:textId="77777777">
      <w:pPr>
        <w:ind w:firstLine="851"/>
        <w:jc w:val="both"/>
      </w:pPr>
      <w:r>
        <w:t>În motivare, s-a arătat că față de dispoziţiile art. 93 din C.pen este obligatoriu de stabilit in sarcina persoanei condamnate a cel puţin uneia dintre obligaţiile limitativ prevăzute de acest text de lege.</w:t>
      </w:r>
    </w:p>
    <w:p w:rsidR="002846DF" w14:paraId="5B5C9D6B" w14:textId="77777777">
      <w:pPr>
        <w:ind w:firstLine="851"/>
        <w:jc w:val="both"/>
      </w:pPr>
      <w:r>
        <w:t xml:space="preserve">Având în vedere infracţiunile pentru care inculpaţii au fost condamnaţi şi toate circumstanţele cauzei, s-a apreciat asupra necesității instituirii </w:t>
      </w:r>
      <w:r>
        <w:rPr>
          <w:rStyle w:val="Fontdeparagrafimplicit"/>
          <w:i/>
        </w:rPr>
        <w:t xml:space="preserve">obligației  inculpaţilor de a nu părăsi teritoriul României, fără acordul instanţei </w:t>
      </w:r>
      <w:r>
        <w:t>(art. 93 alin 2 lit. d) se impune a fi aplicată.</w:t>
      </w:r>
    </w:p>
    <w:p w:rsidR="002846DF" w14:paraId="0B0FFFCB" w14:textId="77777777">
      <w:pPr>
        <w:ind w:firstLine="851"/>
        <w:jc w:val="both"/>
      </w:pPr>
      <w:r>
        <w:t>2. În mod nelegal, instanţa de fond, prin nesocotirea dispoziţiilor art. 404 alin. 2 C.p.p., care impune indicarea a două entităţi din comunitate unde condamnaţii urmează a executa obligaţia de a presta munca neremunerată în folosul comunităţii (art. 93 alin 3 Cp.), a stabilit o singura entitate, respectiv primăria de domiciliu.</w:t>
      </w:r>
    </w:p>
    <w:p w:rsidR="002846DF" w14:paraId="7FD4D420" w14:textId="77777777">
      <w:pPr>
        <w:ind w:firstLine="851"/>
        <w:jc w:val="both"/>
      </w:pPr>
      <w:r>
        <w:t>Potrivit art. 404 alin.2 C.p.p, în cazul în care dispune suspendarea executării acesteia, în dispozitiv se indică două entităţi din comunitate unde urmează a se executa obligaţia de a presta o muncă neremunerată în folosul comunităţii, prevăzută la art. 93 alin. (3) din Codul penal, după consultarea listei privind posibilităţile concrete de executare existente la nivelul fiecărui serviciu de probaţiune.</w:t>
      </w:r>
    </w:p>
    <w:p w:rsidR="002846DF" w14:paraId="22DAD779" w14:textId="77777777">
      <w:pPr>
        <w:ind w:firstLine="851"/>
        <w:jc w:val="both"/>
      </w:pPr>
      <w:r>
        <w:t>Consilierul de probaţiune, pe baza evaluării iniţiale, va decide la care dintre cele două instituţii din comunitate menţionate în hotărârea judecătorească urmează a se executa obligaţia şi precum si tipul de activitate.</w:t>
      </w:r>
    </w:p>
    <w:p w:rsidR="002846DF" w14:paraId="4088FC92" w14:textId="77777777">
      <w:pPr>
        <w:ind w:firstLine="851"/>
        <w:jc w:val="both"/>
      </w:pPr>
      <w:r>
        <w:t>Prin cea de-a treia critică s-a arătat că referitor la înscrisurile sub semnătura privată false folosite de inculpaţi in scopul accesării fondurilor nerambursabile instanța a pronunțat o soluție eronată dispunând anularea, deşi potrivit dispoziţiilor art. 25 alin 3 din C.P.P. trebuia să dispună desfiinţarea totală.</w:t>
      </w:r>
    </w:p>
    <w:p w:rsidR="002846DF" w14:paraId="624E4F0B" w14:textId="77777777">
      <w:pPr>
        <w:ind w:firstLine="851"/>
        <w:jc w:val="both"/>
        <w:rPr>
          <w:rStyle w:val="Fontdeparagrafimplicit"/>
          <w:i/>
        </w:rPr>
      </w:pPr>
      <w:r>
        <w:t xml:space="preserve">Deşi instanţa nu a indicat temeiul legal în baza căruia a dispus cu privire la respectivele înscrisuri false, privitor la acest aspect sunt aplicabile dispoziţiile art. 25 alin 3 din C.P.P potrivit cărora - </w:t>
      </w:r>
      <w:r>
        <w:rPr>
          <w:rStyle w:val="Fontdeparagrafimplicit"/>
          <w:i/>
        </w:rPr>
        <w:t>Instanţa, chiar dacă nu exista constituire de parte civilă, se pronunţă cu privire la desfiinţarea totală sau parţială a unui inscris (...)</w:t>
      </w:r>
    </w:p>
    <w:p w:rsidR="002846DF" w14:paraId="713B4950" w14:textId="77777777">
      <w:pPr>
        <w:ind w:firstLine="851"/>
        <w:jc w:val="both"/>
      </w:pPr>
      <w:r>
        <w:t xml:space="preserve">Respectivele înscrisuri sub semnătură privată au fost falsificate şi folosite exclusiv cu scopul de a crea aparenţa îndeplinirii </w:t>
      </w:r>
      <w:r>
        <w:rPr>
          <w:rStyle w:val="Fontdeparagrafimplicit"/>
        </w:rPr>
        <w:t xml:space="preserve">de către </w:t>
      </w:r>
      <w:r>
        <w:t>cei doi inculpaţi a condiţiilor accesării fondurilor europene .</w:t>
      </w:r>
    </w:p>
    <w:p w:rsidR="002846DF" w14:paraId="0A78669F" w14:textId="77777777">
      <w:pPr>
        <w:ind w:firstLine="851"/>
        <w:jc w:val="both"/>
      </w:pPr>
      <w:r>
        <w:t xml:space="preserve">O altă critică privește omisiunea instanței de a </w:t>
      </w:r>
      <w:r>
        <w:rPr>
          <w:rStyle w:val="Fontdeparagrafimplicit"/>
        </w:rPr>
        <w:t xml:space="preserve">face </w:t>
      </w:r>
      <w:r>
        <w:t>menţiunea privind împrejurarea că pedepsele accesorii aplicate inculpaţilor urmează să fie executate în cazul anulării sau revocării beneficiului suspendării supravegheate a pedepsei principale.</w:t>
      </w:r>
    </w:p>
    <w:p w:rsidR="002846DF" w14:paraId="48058C3F" w14:textId="77777777">
      <w:pPr>
        <w:ind w:firstLine="851"/>
        <w:jc w:val="both"/>
      </w:pPr>
      <w:r>
        <w:t>În noul Cod penal nu a mai fost reglementată expres situaţia pedepsei accesorii, când executarea pedepsei închisorii a fost suspendată, aşa cum prevedea vechiul cod penal la art. 71 alin (5).</w:t>
      </w:r>
    </w:p>
    <w:p w:rsidR="002846DF" w14:paraId="17E2265B" w14:textId="77777777">
      <w:pPr>
        <w:ind w:firstLine="851"/>
        <w:jc w:val="both"/>
      </w:pPr>
      <w:r>
        <w:t>Cu toate acestea, şi în actuala reglementare executarea pedepsei accesorii urmează soarta pedepsei principale, în sensul că executarea pedepsei accesorii se suspendă odată cu executarea pedepsei principale, o astfel de soluţie rezultând din interpretarea dispoziţiilor art. 68 alin (1) lit. b şi art. 68 alin (3) din C.pen..</w:t>
      </w:r>
    </w:p>
    <w:p w:rsidR="002846DF" w14:paraId="59E61FE3" w14:textId="77777777">
      <w:pPr>
        <w:ind w:firstLine="851"/>
        <w:jc w:val="both"/>
      </w:pPr>
      <w:r>
        <w:t>Astfel, executarea pedepsei complementare a interzicerii unor drepturi începe de la rămânerea definitivă a hotărârii de condamnare prin care s-a dispus suspendarea executării pedepselor sub supraveghere.</w:t>
      </w:r>
    </w:p>
    <w:p w:rsidR="002846DF" w14:paraId="6C623575" w14:textId="77777777">
      <w:pPr>
        <w:ind w:firstLine="851"/>
        <w:jc w:val="both"/>
      </w:pPr>
      <w:r>
        <w:t>Întrucât, pedeapsa complementară începe să se execute de la rămânerea definitivă a hotărârii de condamnare cu suspendarea pedepsei, pedeapsa accesorie nu se poate executa în acelaşi timp, deoarece executarea concomitentă a acestor două pedepse nu este posibilă, executarea uneia o exclude pe cealaltă.</w:t>
      </w:r>
    </w:p>
    <w:p w:rsidR="002846DF" w14:paraId="0EA9BC39" w14:textId="77777777">
      <w:pPr>
        <w:ind w:firstLine="851"/>
        <w:jc w:val="both"/>
      </w:pPr>
      <w:r>
        <w:t>Dacă intervine revocarea suspendării executării pedepsei principale, executarea pedepsei complementare va continua după terminarea executării pedepsei închisorii. În acest caz pe parcursul executării pedepsei închisorii se va executa şi pedeapsa accesorie.</w:t>
      </w:r>
    </w:p>
    <w:p w:rsidR="002846DF" w14:paraId="20A68DC8" w14:textId="77777777">
      <w:pPr>
        <w:ind w:firstLine="851"/>
        <w:jc w:val="both"/>
      </w:pPr>
      <w:r>
        <w:t>Întrucât în actuala reglementare nu mai este expres prevăzută situaţia în care se execută pedepsele accesorii aplicate inculpaţilor în cazul suspendării sub supraveghere a pedepsei principale, apreciem că instanţa ar fi trebuit să facă această menţiune, fiind un aspect esenţial, având în vedere că înţelegerea efectelor hotărârii judecătoreşti de către persoana condamnată reprezintă situaţia premisă a posibilităţii conformării conduitei la aspectele dispuse de instanţă.</w:t>
      </w:r>
    </w:p>
    <w:p w:rsidR="002846DF" w14:paraId="3099F88A" w14:textId="77777777">
      <w:pPr>
        <w:ind w:right="-33" w:firstLine="871"/>
        <w:jc w:val="both"/>
        <w:rPr>
          <w:rStyle w:val="Fontdeparagrafimplicit"/>
          <w:b/>
        </w:rPr>
      </w:pPr>
      <w:r>
        <w:rPr>
          <w:rStyle w:val="Fontdeparagrafimplicit"/>
          <w:b/>
        </w:rPr>
        <w:t>Analizând hotărârea pronunţată de instanţa de fond, în raport cu toate actele şi lucrările dosarului, cu motivele anterior menţionate prin raportare la disp. art. 417 şi următoarele din Codul de procedură penală, Curtea constată că apelul promovat de Parchet este fondat, în limitele şi în considerarea următoarelor argumente:</w:t>
      </w:r>
    </w:p>
    <w:p w:rsidR="002846DF" w14:paraId="1DE09988" w14:textId="77777777">
      <w:pPr>
        <w:pStyle w:val="Style1"/>
        <w:widowControl/>
        <w:tabs>
          <w:tab w:val="right" w:pos="8342"/>
        </w:tabs>
        <w:spacing w:line="240" w:lineRule="auto"/>
        <w:ind w:firstLine="871"/>
      </w:pPr>
      <w:r>
        <w:t>Curtea reține că prin apelul Ministerului Public, soluția instanței de fond este criticată pentru cauze de nelegalitate decurgând, pe de o parte, din omisiunea instanței de fond de a ordona măsuri în acord cu dispozițiile legale, iar pe de altă parte decurgând, în interpretarea apelantului, din aplicarea unei alte sancțiuni decât cea prevăzută de lege.</w:t>
      </w:r>
    </w:p>
    <w:p w:rsidR="002846DF" w14:paraId="4C6EB040" w14:textId="77777777">
      <w:pPr>
        <w:pStyle w:val="Style1"/>
        <w:widowControl/>
        <w:tabs>
          <w:tab w:val="right" w:pos="8342"/>
        </w:tabs>
        <w:spacing w:line="240" w:lineRule="auto"/>
        <w:ind w:firstLine="871"/>
      </w:pPr>
      <w:r>
        <w:t>Astfel, în ceea ce privește criticile de nelegalitate decurgând din încălcarea dispozițiilor art. 93 C. pen., Curtea apreciază  că într-adevăr soluția instanței de fond necesită a fi reformată, întrucât dispozițiile art. 93 alin. 2 și alin. 3 C. pen. impun obligații judecătorului.</w:t>
      </w:r>
    </w:p>
    <w:p w:rsidR="002846DF" w14:paraId="4D6C69C8" w14:textId="77777777">
      <w:pPr>
        <w:ind w:firstLine="871"/>
        <w:jc w:val="both"/>
      </w:pPr>
      <w:r>
        <w:t>Astfel, văzând sentința atacată, Curtea reține că instanța de fond a omis, ca în aplicarea disp. art. 93 alin. 2 C. pen., să impună condamnatului să execute una sau mai multe dintre următoarele obligaţii:</w:t>
      </w:r>
    </w:p>
    <w:p w:rsidR="002846DF" w14:paraId="5322F206" w14:textId="77777777">
      <w:pPr>
        <w:tabs>
          <w:tab w:val="left" w:pos="1085"/>
        </w:tabs>
        <w:ind w:firstLine="871"/>
        <w:jc w:val="both"/>
      </w:pPr>
      <w:r>
        <w:t>a)</w:t>
      </w:r>
      <w:r>
        <w:tab/>
        <w:t>să urmeze un curs de pregătire şcolară ori de calificare profesională;</w:t>
      </w:r>
    </w:p>
    <w:p w:rsidR="002846DF" w14:paraId="7EABBE3F" w14:textId="77777777">
      <w:pPr>
        <w:tabs>
          <w:tab w:val="left" w:pos="1013"/>
        </w:tabs>
        <w:ind w:firstLine="871"/>
        <w:jc w:val="both"/>
      </w:pPr>
      <w:r>
        <w:t>b)</w:t>
      </w:r>
      <w:r>
        <w:tab/>
        <w:t>să frecventeze unul sau mai multe programe de reintegrare socială derulate de către serviciul de probaţiune sau organizate în colaborare cu instituţii din comunitate;</w:t>
      </w:r>
    </w:p>
    <w:p w:rsidR="002846DF" w14:paraId="1DAE7093" w14:textId="77777777">
      <w:pPr>
        <w:numPr>
          <w:ilvl w:val="0"/>
          <w:numId w:val="2"/>
        </w:numPr>
        <w:tabs>
          <w:tab w:val="left" w:pos="1085"/>
        </w:tabs>
        <w:ind w:firstLine="871"/>
        <w:jc w:val="both"/>
      </w:pPr>
      <w:r>
        <w:t>să se supună măsurilor de control, tratament sau îngrijire medicală;</w:t>
      </w:r>
    </w:p>
    <w:p w:rsidR="002846DF" w14:paraId="48216A47" w14:textId="77777777">
      <w:pPr>
        <w:numPr>
          <w:ilvl w:val="0"/>
          <w:numId w:val="2"/>
        </w:numPr>
        <w:tabs>
          <w:tab w:val="left" w:pos="1085"/>
        </w:tabs>
        <w:ind w:firstLine="871"/>
        <w:jc w:val="both"/>
      </w:pPr>
      <w:r>
        <w:t>să nu părăsească teritoriul României, fără acordul instanţei.</w:t>
      </w:r>
    </w:p>
    <w:p w:rsidR="002846DF" w14:paraId="44F70C72" w14:textId="1C990077">
      <w:pPr>
        <w:tabs>
          <w:tab w:val="left" w:pos="1013"/>
        </w:tabs>
        <w:ind w:firstLine="871"/>
        <w:jc w:val="both"/>
      </w:pPr>
      <w:r>
        <w:t xml:space="preserve">Apreciază Curtea că procedând la individualizarea pedepsei în acord cu disp. art. 74 C. pen. corect  reținute de judecătorul fondului, inculpații </w:t>
      </w:r>
      <w:r w:rsidR="001D13F5">
        <w:t xml:space="preserve">3 </w:t>
      </w:r>
      <w:r>
        <w:t xml:space="preserve"> și </w:t>
      </w:r>
      <w:r w:rsidR="001D13F5">
        <w:t xml:space="preserve">4   </w:t>
      </w:r>
      <w:r>
        <w:t xml:space="preserve"> vor trebui să  frecventeze unul sau mai multe programe de reintegrare socială derulate de către Serviciul de probaţiune sau organizate în colaborare cu instituţii din comunitate.</w:t>
      </w:r>
    </w:p>
    <w:p w:rsidR="002846DF" w14:paraId="54A54568" w14:textId="77777777">
      <w:pPr>
        <w:tabs>
          <w:tab w:val="left" w:pos="1013"/>
        </w:tabs>
        <w:ind w:firstLine="871"/>
        <w:jc w:val="both"/>
      </w:pPr>
      <w:r>
        <w:t>Curtea nu apreciază că față de periculozitatea concretă a inculpaților și natura infracțiunilor imputate este legitimă  obligarea inculpaților  de a nu părăsi țara fără acordul instanței.</w:t>
      </w:r>
    </w:p>
    <w:p w:rsidR="002846DF" w14:paraId="6364985F" w14:textId="77777777">
      <w:pPr>
        <w:pStyle w:val="Frspaiere"/>
        <w:ind w:firstLine="871"/>
        <w:jc w:val="both"/>
        <w:rPr>
          <w:rStyle w:val="Fontdeparagrafimplicit"/>
          <w:rFonts w:ascii="Times New Roman" w:hAnsi="Times New Roman"/>
          <w:sz w:val="24"/>
        </w:rPr>
      </w:pPr>
      <w:r>
        <w:rPr>
          <w:rStyle w:val="Fontdeparagrafimplicit"/>
          <w:rFonts w:ascii="Times New Roman" w:hAnsi="Times New Roman"/>
          <w:sz w:val="24"/>
        </w:rPr>
        <w:t xml:space="preserve">Raportat la conținutul constitutiv al infracțiunii presupus a fi fost săvârșită de cei doi inculpați și reglementată de disp. art. 18/1/Lg 78/2000, precum și la modalitatea concretă de împlinire a rezoluției infracționale, Curtea nu apreciază că se impune necesitatea instituirii unei limitări a libertății de mișcare prin interdicția de a părăsi țara fără acordul instanței. </w:t>
      </w:r>
    </w:p>
    <w:p w:rsidR="002846DF" w14:paraId="25365C70" w14:textId="77777777">
      <w:pPr>
        <w:pStyle w:val="Frspaiere"/>
        <w:ind w:firstLine="871"/>
        <w:jc w:val="both"/>
        <w:rPr>
          <w:rStyle w:val="Fontdeparagrafimplicit"/>
          <w:rFonts w:ascii="Times New Roman" w:hAnsi="Times New Roman"/>
          <w:sz w:val="24"/>
        </w:rPr>
      </w:pPr>
      <w:r>
        <w:rPr>
          <w:rStyle w:val="Fontdeparagrafimplicit"/>
          <w:rFonts w:ascii="Times New Roman" w:hAnsi="Times New Roman"/>
          <w:sz w:val="24"/>
        </w:rPr>
        <w:t>O astfel de interdicție se impune atunci când părăsirea teritoriului naţional ar reprezenta un potenţial factor favorizant al comportamentului antisocial, având rolul de a proteja societatea, dar și de a corija comportamentul infracțional .</w:t>
      </w:r>
    </w:p>
    <w:p w:rsidR="002846DF" w14:paraId="31850C0E" w14:textId="77777777">
      <w:pPr>
        <w:pStyle w:val="Frspaiere"/>
        <w:ind w:firstLine="871"/>
        <w:jc w:val="both"/>
        <w:rPr>
          <w:rStyle w:val="Fontdeparagrafimplicit"/>
          <w:rFonts w:ascii="Times New Roman" w:hAnsi="Times New Roman"/>
          <w:sz w:val="24"/>
        </w:rPr>
      </w:pPr>
      <w:r>
        <w:rPr>
          <w:rStyle w:val="Fontdeparagrafimplicit"/>
          <w:rFonts w:ascii="Times New Roman" w:hAnsi="Times New Roman"/>
          <w:sz w:val="24"/>
        </w:rPr>
        <w:t xml:space="preserve">Or față de acuzația adusă inculpaților în sensul că aceștia au falsificat niște înscrisuri sub semnătură private în scopul accesării de fonduri europene, un astfel de risc infracțional nu se poate susține ca existând în afara teritoriului naţional. </w:t>
      </w:r>
    </w:p>
    <w:p w:rsidR="002846DF" w14:paraId="582C46FB" w14:textId="77777777">
      <w:pPr>
        <w:ind w:firstLine="871"/>
        <w:jc w:val="both"/>
      </w:pPr>
      <w:r>
        <w:t>În ceea ce privește incidența în cauză a disp. art. 93 alin. 3 C. pen. rap. la disp. art. 404 alin.2 C.p.p, Curtea reține că este obligatoriu pentru instanța de judecată a indica două entități din comunitate în cadrul  cărora  se va presta munca în folosul comunității.</w:t>
      </w:r>
    </w:p>
    <w:p w:rsidR="002846DF" w14:paraId="35ABF97B" w14:textId="782DD03C">
      <w:pPr>
        <w:ind w:firstLine="871"/>
        <w:jc w:val="both"/>
      </w:pPr>
      <w:r>
        <w:t xml:space="preserve">Soluția instanței de fond de a indica numai o entitate a generat o soluție nelegală ce se impune a fi reformată, în acest sens, Curtea, în complinirea soluției, va stabili ca entități alternative în care se va presta munca neremunerată Primăria </w:t>
      </w:r>
      <w:r w:rsidR="001D13F5">
        <w:t xml:space="preserve">              </w:t>
      </w:r>
      <w:r>
        <w:t xml:space="preserve"> sau primăria </w:t>
      </w:r>
      <w:r w:rsidR="001D13F5">
        <w:t xml:space="preserve">              </w:t>
      </w:r>
      <w:r>
        <w:t>.</w:t>
      </w:r>
    </w:p>
    <w:p w:rsidR="002846DF" w14:paraId="218EA58C" w14:textId="77777777">
      <w:pPr>
        <w:ind w:firstLine="871"/>
        <w:jc w:val="both"/>
      </w:pPr>
      <w:r>
        <w:t xml:space="preserve">În ceea ce privește critica legată de lipsa mențiunii privind suspendarea executării pedepselor accesorii stabilite în sarcina inculpaților pe durata termenului de supraveghere, Curtea o apreciază, de asemenea, ca fiind întemeiată.  </w:t>
      </w:r>
    </w:p>
    <w:p w:rsidR="002846DF" w14:paraId="7871B8BC" w14:textId="77777777">
      <w:pPr>
        <w:ind w:firstLine="871"/>
        <w:jc w:val="both"/>
      </w:pPr>
      <w:r>
        <w:t xml:space="preserve">În susținerea unei astfel de soluții, Curtea are în vedere că, deși legea nu mai prevede în mod expres o astfel de soluție, interpretarea disp. art. 68 alin (1) lit. b şi art. 68 alin (3) din C.pen. rap. la art. 65 C. pen. conduce la certitudinea unei astfel de soluții. </w:t>
      </w:r>
    </w:p>
    <w:p w:rsidR="002846DF" w14:paraId="3DC8EC13" w14:textId="77777777">
      <w:pPr>
        <w:ind w:firstLine="871"/>
        <w:jc w:val="both"/>
      </w:pPr>
      <w:r>
        <w:t>Conform disp. art. 65 alin. 3 C. pen., pedeapsa accesorie a interzicerii exercițiului unor drepturi se execută din momentul rămâneri definitive a hotărârii de condamnare și până când pedeapsa principală privativă de libertate a fost executată sau considerată ca executată.</w:t>
      </w:r>
    </w:p>
    <w:p w:rsidR="002846DF" w14:paraId="60155E68" w14:textId="77777777">
      <w:pPr>
        <w:ind w:firstLine="871"/>
        <w:jc w:val="both"/>
      </w:pPr>
      <w:r>
        <w:t>Așadar, fiind aplicată inculpatului, ca formă de individualizare a pedepsei, suspendarea executării pedepsei sub supraveghere, pedeapsa accesorie se va suspenda și ea pe această durată, întrucât pedeapsa accesorie însoțește pedeapsa principală care se execută efectiv, ori în cazul suspendării, tocmai executarea a fost suspendată.</w:t>
      </w:r>
    </w:p>
    <w:p w:rsidR="002846DF" w14:paraId="2ED39CE4" w14:textId="77777777">
      <w:pPr>
        <w:ind w:firstLine="871"/>
        <w:jc w:val="both"/>
      </w:pPr>
      <w:r>
        <w:t>Pedeapsa accesorie este o pedeapsă privativă de drepturi secundare care însoțește în mod necesar pedeapsa principală a detențiunii pe viață sau a închisorii ca un accesoriu al acesteia.</w:t>
      </w:r>
    </w:p>
    <w:p w:rsidR="002846DF" w14:paraId="073699E5" w14:textId="77777777">
      <w:pPr>
        <w:ind w:firstLine="871"/>
        <w:jc w:val="both"/>
      </w:pPr>
      <w:r>
        <w:t>Scopul pedepsei accesorii rezidă în necesitatea accentuării repudierii comportamentului infractorului condamnat la pedeapsa închisorii și în incompatibilitatea menținerii drepturilor de care acesta se bucura anterior prin raportare la noul său statut, pedeapsa închisorii reflectând o gravitate deosebită a faptei.</w:t>
      </w:r>
    </w:p>
    <w:p w:rsidR="002846DF" w14:paraId="54BA891B" w14:textId="77777777">
      <w:pPr>
        <w:pStyle w:val="Style1"/>
        <w:widowControl/>
        <w:tabs>
          <w:tab w:val="right" w:pos="8342"/>
        </w:tabs>
        <w:spacing w:line="240" w:lineRule="auto"/>
        <w:ind w:firstLine="871"/>
      </w:pPr>
      <w:r>
        <w:t>Așadar, chiar dacă textul legii nu mai obligă instanța la a menționa în mod expres că pe durata termenului de supraveghere a pedepsei cu închisoarea operează și suspendarea executării pedepselor accesorii, întrucât regimul juridic al pedepselor accesorii nu s-a modificat, Curtea apreciază că pentru acuratețe juridică o astfel de mențiune trebuie să se regăsească în hotărârea pronunțată.</w:t>
      </w:r>
    </w:p>
    <w:p w:rsidR="002846DF" w14:paraId="132AC361" w14:textId="77777777">
      <w:pPr>
        <w:ind w:firstLine="871"/>
        <w:jc w:val="both"/>
      </w:pPr>
      <w:r>
        <w:t xml:space="preserve">Cu privire la critica de nelegalitate decurgând din faptul că instanța de fond a dispus sancțiunea anulării înscrisuri sub semnătură privată care au fost falsificate şi folosite exclusiv cu scopul de a crea aparenţa îndeplinirii </w:t>
      </w:r>
      <w:r>
        <w:rPr>
          <w:rStyle w:val="Fontdeparagrafimplicit"/>
        </w:rPr>
        <w:t xml:space="preserve">de către </w:t>
      </w:r>
      <w:r>
        <w:t>cei doi inculpaţi a condiţiilor accesării fondurilor europene, Curtea o apreciază ca nefondată.</w:t>
      </w:r>
    </w:p>
    <w:p w:rsidR="002846DF" w14:paraId="6A96094C" w14:textId="77777777">
      <w:pPr>
        <w:ind w:firstLine="871"/>
        <w:jc w:val="both"/>
        <w:rPr>
          <w:rStyle w:val="Fontdeparagrafimplicit"/>
          <w:i/>
        </w:rPr>
      </w:pPr>
      <w:r>
        <w:t>Văzând prevederile art. 25 alin 3 din C.proc. pen., Curtea reține că într-adevăr noțiunea utilizată de legiuitor este aceea a desființării -</w:t>
      </w:r>
      <w:r>
        <w:rPr>
          <w:rStyle w:val="Fontdeparagrafimplicit"/>
          <w:i/>
        </w:rPr>
        <w:t>Instanţa, chiar dacă nu există constituire de parte civilă, se pronunţă cu privire la desfiinţarea totală sau parţială a unui înscris (...).</w:t>
      </w:r>
    </w:p>
    <w:p w:rsidR="002846DF" w14:paraId="18EF9722" w14:textId="77777777">
      <w:pPr>
        <w:ind w:firstLine="871"/>
        <w:jc w:val="both"/>
      </w:pPr>
      <w:r>
        <w:t xml:space="preserve">Cu toate acestea, utilizarea de către instanța de fond a noțiunii de anulare a înscrisurilor nu aduce nici o atingere normei invocate, întrucât valorificând dispozițiile de drept material civil, </w:t>
      </w:r>
      <w:r>
        <w:t>desființarea unui înscris în care s-a materializat un act de voință unilateral înseamnă că actul respectiv a fost declarat ca fiind nul.</w:t>
      </w:r>
    </w:p>
    <w:p w:rsidR="002846DF" w14:paraId="3A85A3C2" w14:textId="77777777">
      <w:pPr>
        <w:ind w:firstLine="871"/>
        <w:jc w:val="both"/>
      </w:pPr>
      <w:r>
        <w:t>Astfel, noțiunea folosită de disp. art. 25 C. proc.pen. de desființare a unui înscris și noțiunea folosită de instanță, de anulare, presupune, din punct de vedere juridic, o identitate de sens, critica adusă  fiind astfel una extrem de formalistă.</w:t>
      </w:r>
    </w:p>
    <w:p w:rsidR="002846DF" w14:paraId="33E809FE" w14:textId="77777777">
      <w:pPr>
        <w:ind w:firstLine="871"/>
        <w:jc w:val="both"/>
      </w:pPr>
      <w:r>
        <w:t xml:space="preserve">Nulitatea este sancțiunea care lipsește de efecte actul juridic civil, inclusiv pe cel unilateral, edictat cu încălcarea normelor în vigoare la data emiterii lui.  Apreciind ca fiind întrunite condițiile mai sus enunțate, actul este declarat nul, adică desființat, lipsit de orice efecte juridice, părțile fiind repuse în situația anterioară. </w:t>
      </w:r>
    </w:p>
    <w:p w:rsidR="002846DF" w14:paraId="67D417CF" w14:textId="5757ACCC">
      <w:pPr>
        <w:pStyle w:val="Style1"/>
        <w:widowControl/>
        <w:tabs>
          <w:tab w:val="right" w:pos="8342"/>
        </w:tabs>
        <w:spacing w:line="240" w:lineRule="auto"/>
        <w:ind w:firstLine="871"/>
      </w:pPr>
      <w:r>
        <w:t xml:space="preserve">Față de toate aceste considerente de fapt și de drept, în baza art. 421 pct. 2 lit. a C.p.p. va admite apelul formulat de Parchetul de pe lângă Înalta Curte de Casaţie şi Justiţie DNA împotriva sentinţei penale nr. 2 </w:t>
      </w:r>
      <w:r w:rsidR="001D13F5">
        <w:t xml:space="preserve"> </w:t>
      </w:r>
      <w:r>
        <w:t xml:space="preserve"> pronunţată de Tribunalul </w:t>
      </w:r>
      <w:r w:rsidR="001D13F5">
        <w:t xml:space="preserve">            </w:t>
      </w:r>
      <w:r>
        <w:t xml:space="preserve"> în dosarul cu numărul de mai sus.</w:t>
      </w:r>
    </w:p>
    <w:p w:rsidR="002846DF" w14:paraId="4EA2456D" w14:textId="77777777">
      <w:pPr>
        <w:ind w:firstLine="871"/>
        <w:jc w:val="both"/>
      </w:pPr>
      <w:r>
        <w:t>Va desfiinţa în parte sentinţa penală atacată şi pe fond rejudecând:</w:t>
      </w:r>
    </w:p>
    <w:p w:rsidR="002846DF" w14:paraId="424E4FA6" w14:textId="69987681">
      <w:pPr>
        <w:ind w:firstLine="871"/>
        <w:jc w:val="both"/>
      </w:pPr>
      <w:r>
        <w:t xml:space="preserve">În baza art. 93 al. 2 lit. b C.p., pe durata termenului de supraveghere, inculpaţii </w:t>
      </w:r>
      <w:r w:rsidR="001D13F5">
        <w:t xml:space="preserve">3 </w:t>
      </w:r>
      <w:r>
        <w:t xml:space="preserve"> şi </w:t>
      </w:r>
      <w:r w:rsidR="001D13F5">
        <w:t xml:space="preserve">4   </w:t>
      </w:r>
      <w:r>
        <w:t xml:space="preserve"> vor avea obligaţia de a frecventa un program de reintegrare socială derulat de serviciul de probaţiune sau organizat în colaborare cu instituţii din comunitate.</w:t>
      </w:r>
    </w:p>
    <w:p w:rsidR="002846DF" w14:paraId="5152601B" w14:textId="792063A3">
      <w:pPr>
        <w:ind w:firstLine="871"/>
        <w:jc w:val="both"/>
      </w:pPr>
      <w:r>
        <w:t xml:space="preserve">În baza art. 93 al. 2 C.p., inculpatul </w:t>
      </w:r>
      <w:r w:rsidR="001D13F5">
        <w:t xml:space="preserve">3 </w:t>
      </w:r>
      <w:r>
        <w:t xml:space="preserve"> va presta munca neremunerată în folosul comunităţii pe o perioadă de 80 de zile la Primăria </w:t>
      </w:r>
      <w:r w:rsidR="001D13F5">
        <w:t xml:space="preserve">              </w:t>
      </w:r>
      <w:r>
        <w:t xml:space="preserve"> sau Primăria </w:t>
      </w:r>
      <w:r w:rsidR="001D13F5">
        <w:t xml:space="preserve">              </w:t>
      </w:r>
      <w:r>
        <w:t xml:space="preserve">, iar inculpata </w:t>
      </w:r>
      <w:r w:rsidR="001D13F5">
        <w:t xml:space="preserve">4   </w:t>
      </w:r>
      <w:r>
        <w:t xml:space="preserve"> va presta munca neremunerată în folosul comunităţii pe o perioadă de 80 de zile la Primăria </w:t>
      </w:r>
      <w:r w:rsidR="001D13F5">
        <w:t xml:space="preserve">   </w:t>
      </w:r>
      <w:r>
        <w:t xml:space="preserve"> sau Primăria </w:t>
      </w:r>
      <w:r w:rsidR="001D13F5">
        <w:t xml:space="preserve">              </w:t>
      </w:r>
      <w:r>
        <w:t>.</w:t>
      </w:r>
    </w:p>
    <w:p w:rsidR="002846DF" w14:paraId="603DCC9D" w14:textId="77777777">
      <w:pPr>
        <w:ind w:firstLine="871"/>
        <w:jc w:val="both"/>
      </w:pPr>
      <w:r>
        <w:t>Va suspendă executarea pedepselor accesorii stabilite în sarcina inculpaţilor pe durata termenului de supraveghere.</w:t>
      </w:r>
    </w:p>
    <w:p w:rsidR="002846DF" w14:paraId="3DDF96F3" w14:textId="77777777">
      <w:pPr>
        <w:ind w:firstLine="871"/>
        <w:jc w:val="both"/>
      </w:pPr>
      <w:r>
        <w:t>Va menţine celelalte dispoziţii ale sentinţei apelate.</w:t>
      </w:r>
    </w:p>
    <w:p w:rsidR="002846DF" w14:paraId="45AEC20B" w14:textId="77777777">
      <w:pPr>
        <w:ind w:firstLine="871"/>
        <w:jc w:val="both"/>
      </w:pPr>
      <w:r>
        <w:t>În baza art. 275 al. 3 C.p.p. cheltuielile judiciare avansate în apelul Parchetului vor rămân în sarcina statului.</w:t>
      </w:r>
    </w:p>
    <w:p w:rsidR="002846DF" w14:paraId="5C56EAB3" w14:textId="03BBE1CA">
      <w:pPr>
        <w:ind w:firstLine="871"/>
        <w:jc w:val="both"/>
      </w:pPr>
      <w:r>
        <w:t xml:space="preserve">Onorariul apărătorului din oficiu desemnat pentru inculpatul </w:t>
      </w:r>
      <w:r w:rsidR="00003B10">
        <w:t>3</w:t>
      </w:r>
      <w:r>
        <w:t>, în cuantum de 260 lei, va fi avansat din fondurile Ministerului Justiţiei.</w:t>
      </w:r>
    </w:p>
    <w:p w:rsidR="002846DF" w14:paraId="0D76B28B" w14:textId="77777777">
      <w:pPr>
        <w:ind w:firstLine="871"/>
        <w:jc w:val="both"/>
      </w:pPr>
    </w:p>
    <w:p w:rsidR="002846DF" w14:paraId="1DAC25FC" w14:textId="77777777">
      <w:pPr>
        <w:pStyle w:val="Style1"/>
        <w:widowControl/>
        <w:tabs>
          <w:tab w:val="right" w:pos="8342"/>
        </w:tabs>
        <w:spacing w:line="240" w:lineRule="auto"/>
        <w:ind w:firstLine="851"/>
      </w:pPr>
    </w:p>
    <w:p w:rsidR="002846DF" w14:paraId="703A03D2" w14:textId="77777777">
      <w:pPr>
        <w:pStyle w:val="Style1"/>
        <w:widowControl/>
        <w:tabs>
          <w:tab w:val="right" w:pos="8342"/>
        </w:tabs>
        <w:spacing w:line="240" w:lineRule="auto"/>
        <w:jc w:val="center"/>
        <w:rPr>
          <w:rStyle w:val="FontStyle11"/>
          <w:b/>
        </w:rPr>
      </w:pPr>
      <w:r>
        <w:rPr>
          <w:rStyle w:val="FontStyle11"/>
        </w:rPr>
        <w:t>PENTRU ACESTE MOTIVE,</w:t>
      </w:r>
    </w:p>
    <w:p w:rsidR="002846DF" w14:paraId="7CB16FDE" w14:textId="77777777">
      <w:pPr>
        <w:pStyle w:val="Style1"/>
        <w:widowControl/>
        <w:tabs>
          <w:tab w:val="right" w:pos="8342"/>
        </w:tabs>
        <w:spacing w:line="240" w:lineRule="auto"/>
        <w:jc w:val="center"/>
        <w:rPr>
          <w:rStyle w:val="FontStyle11"/>
          <w:b/>
        </w:rPr>
      </w:pPr>
      <w:r>
        <w:rPr>
          <w:rStyle w:val="FontStyle11"/>
        </w:rPr>
        <w:t>ÎN NUMELE LEGII,</w:t>
      </w:r>
    </w:p>
    <w:p w:rsidR="002846DF" w14:paraId="3E1D9D19" w14:textId="77777777">
      <w:pPr>
        <w:pStyle w:val="Style1"/>
        <w:widowControl/>
        <w:tabs>
          <w:tab w:val="right" w:pos="8342"/>
        </w:tabs>
        <w:spacing w:line="240" w:lineRule="auto"/>
        <w:jc w:val="center"/>
        <w:rPr>
          <w:rStyle w:val="FontStyle11"/>
          <w:b/>
        </w:rPr>
      </w:pPr>
      <w:r>
        <w:rPr>
          <w:rStyle w:val="FontStyle11"/>
        </w:rPr>
        <w:t>DECIDE:</w:t>
      </w:r>
    </w:p>
    <w:p w:rsidR="002846DF" w14:paraId="11208EE4" w14:textId="77777777">
      <w:pPr>
        <w:pStyle w:val="Style1"/>
        <w:widowControl/>
        <w:tabs>
          <w:tab w:val="right" w:pos="8342"/>
        </w:tabs>
        <w:spacing w:line="240" w:lineRule="auto"/>
        <w:jc w:val="center"/>
        <w:rPr>
          <w:rStyle w:val="FontStyle11"/>
          <w:b/>
        </w:rPr>
      </w:pPr>
    </w:p>
    <w:p w:rsidR="002846DF" w14:paraId="29168D42" w14:textId="77777777">
      <w:pPr>
        <w:pStyle w:val="Style1"/>
        <w:widowControl/>
        <w:tabs>
          <w:tab w:val="right" w:pos="8342"/>
        </w:tabs>
        <w:spacing w:line="240" w:lineRule="auto"/>
        <w:jc w:val="center"/>
        <w:rPr>
          <w:rStyle w:val="FontStyle11"/>
          <w:b/>
        </w:rPr>
      </w:pPr>
    </w:p>
    <w:p w:rsidR="002846DF" w14:paraId="6135DAF1" w14:textId="0F7FBD56">
      <w:pPr>
        <w:ind w:firstLine="851"/>
        <w:jc w:val="both"/>
      </w:pPr>
      <w:r>
        <w:t xml:space="preserve">În baza art. 421 pct. 2 lit. a C.p.p. admite apelul formulat de Parchetul de pe lângă Înalta Curte de Casaţie şi Justiţie DNA împotriva sentinţei penale nr. 2 </w:t>
      </w:r>
      <w:r w:rsidR="001D13F5">
        <w:t xml:space="preserve"> </w:t>
      </w:r>
      <w:r>
        <w:t xml:space="preserve"> pronunţată de Tribunalul </w:t>
      </w:r>
      <w:r w:rsidR="001D13F5">
        <w:t xml:space="preserve">            </w:t>
      </w:r>
      <w:r>
        <w:t xml:space="preserve"> în dosarul cu numărul de mai sus.</w:t>
      </w:r>
    </w:p>
    <w:p w:rsidR="002846DF" w14:paraId="6A1D31B4" w14:textId="77777777">
      <w:pPr>
        <w:ind w:firstLine="851"/>
        <w:jc w:val="both"/>
      </w:pPr>
      <w:r>
        <w:t>Desfiinţează în parte sentinţa penală atacată şi pe fond rejudecând:</w:t>
      </w:r>
    </w:p>
    <w:p w:rsidR="002846DF" w14:paraId="7D08C4A4" w14:textId="3BD70150">
      <w:pPr>
        <w:ind w:firstLine="851"/>
        <w:jc w:val="both"/>
      </w:pPr>
      <w:r>
        <w:t xml:space="preserve">În baza art. 93 al. 2 lit. b C.p., pe durata termenului de supraveghere, inculpaţii </w:t>
      </w:r>
      <w:r w:rsidR="001D13F5">
        <w:t xml:space="preserve">3 </w:t>
      </w:r>
      <w:r>
        <w:t xml:space="preserve"> şi </w:t>
      </w:r>
      <w:r w:rsidR="001D13F5">
        <w:t xml:space="preserve">4   </w:t>
      </w:r>
      <w:r>
        <w:t xml:space="preserve"> au obligaţia de a frecventa un program de reintegrare socială derulat de serviciul de probaţiune sau organizat în colaborare cu instituţii din comunitate.</w:t>
      </w:r>
    </w:p>
    <w:p w:rsidR="002846DF" w14:paraId="546CCA41" w14:textId="3A2F82CC">
      <w:pPr>
        <w:ind w:firstLine="851"/>
        <w:jc w:val="both"/>
      </w:pPr>
      <w:r>
        <w:t xml:space="preserve">În baza art. 93 al. 2 C.p., inculpatul </w:t>
      </w:r>
      <w:r w:rsidR="001D13F5">
        <w:t xml:space="preserve">3 </w:t>
      </w:r>
      <w:r>
        <w:t xml:space="preserve"> va presta munca neremunerată în folosul comunităţii pe o perioadă de 80 de zile la Primăria </w:t>
      </w:r>
      <w:r w:rsidR="001D13F5">
        <w:t xml:space="preserve">              </w:t>
      </w:r>
      <w:r>
        <w:t xml:space="preserve"> sau Primăria </w:t>
      </w:r>
      <w:r w:rsidR="001D13F5">
        <w:t xml:space="preserve">              </w:t>
      </w:r>
      <w:r>
        <w:t xml:space="preserve">, iar inculpata </w:t>
      </w:r>
      <w:r w:rsidR="001D13F5">
        <w:t xml:space="preserve">4   </w:t>
      </w:r>
      <w:r>
        <w:t xml:space="preserve"> va presta munca neremunerată în folosul comunităţii pe o perioadă de 80 de zile la Primăria </w:t>
      </w:r>
      <w:r w:rsidR="00003B10">
        <w:t xml:space="preserve">              </w:t>
      </w:r>
      <w:r>
        <w:t xml:space="preserve"> sau Primăria </w:t>
      </w:r>
      <w:r w:rsidR="001D13F5">
        <w:t xml:space="preserve">              </w:t>
      </w:r>
      <w:r>
        <w:t>.</w:t>
      </w:r>
    </w:p>
    <w:p w:rsidR="002846DF" w14:paraId="6C97F10F" w14:textId="77777777">
      <w:pPr>
        <w:ind w:firstLine="851"/>
        <w:jc w:val="both"/>
      </w:pPr>
      <w:r>
        <w:t>Suspendă executarea pedepselor accesorii stabilite în sarcina inculpaţilor pe durata termenului de supraveghere.</w:t>
      </w:r>
    </w:p>
    <w:p w:rsidR="002846DF" w14:paraId="1C07B74D" w14:textId="77777777">
      <w:pPr>
        <w:ind w:firstLine="851"/>
        <w:jc w:val="both"/>
      </w:pPr>
      <w:r>
        <w:t>Menţine celelalte dispoziţii ale sentinţei apelate.</w:t>
      </w:r>
    </w:p>
    <w:p w:rsidR="002846DF" w14:paraId="6F0FB958" w14:textId="77777777">
      <w:pPr>
        <w:ind w:firstLine="851"/>
        <w:jc w:val="both"/>
      </w:pPr>
      <w:r>
        <w:t>În baza art. 275 al. 3 C.p.p. cheltuielile judiciare avansate în apelul Parchetului rămân în sarcina statului.</w:t>
      </w:r>
    </w:p>
    <w:p w:rsidR="002846DF" w14:paraId="494663E6" w14:textId="23965BD6">
      <w:pPr>
        <w:ind w:firstLine="851"/>
        <w:jc w:val="both"/>
      </w:pPr>
      <w:r>
        <w:t xml:space="preserve">Onorariul apărătorului din oficiu desemnat pentru inculpatul </w:t>
      </w:r>
      <w:r w:rsidR="00003B10">
        <w:t xml:space="preserve">3 </w:t>
      </w:r>
      <w:r>
        <w:t>, în cuantum de 260 lei, va fi avansat din fondurile Ministerului Justiţiei.</w:t>
      </w:r>
    </w:p>
    <w:p w:rsidR="002846DF" w14:paraId="2C733D02" w14:textId="77777777">
      <w:pPr>
        <w:ind w:firstLine="851"/>
        <w:jc w:val="both"/>
      </w:pPr>
      <w:r>
        <w:t>Definitivă.</w:t>
      </w:r>
    </w:p>
    <w:p w:rsidR="002846DF" w14:paraId="5BF83005" w14:textId="7A5CB146">
      <w:pPr>
        <w:ind w:firstLine="851"/>
        <w:jc w:val="both"/>
      </w:pPr>
      <w:r>
        <w:t xml:space="preserve">Pronunţată în şedinţă publică, azi, </w:t>
      </w:r>
      <w:r w:rsidR="00003B10">
        <w:t xml:space="preserve"> </w:t>
      </w:r>
      <w:r>
        <w:t>.</w:t>
      </w:r>
    </w:p>
    <w:p w:rsidR="002846DF" w14:paraId="5B5715CB" w14:textId="77777777">
      <w:pPr>
        <w:ind w:firstLine="851"/>
        <w:jc w:val="both"/>
        <w:rPr>
          <w:rStyle w:val="Fontdeparagrafimplicit"/>
          <w:b/>
        </w:rPr>
      </w:pPr>
      <w:r>
        <w:rPr>
          <w:rStyle w:val="Fontdeparagrafimplicit"/>
          <w:b/>
        </w:rPr>
        <w:t>PREŞEDINTE,                                        JUDECĂTOR,</w:t>
      </w:r>
    </w:p>
    <w:p w:rsidR="002846DF" w14:paraId="36EBEEC1" w14:textId="38D2E0ED">
      <w:pPr>
        <w:ind w:right="-142" w:hanging="2"/>
        <w:jc w:val="both"/>
        <w:rPr>
          <w:rStyle w:val="Fontdeparagrafimplicit"/>
          <w:b/>
        </w:rPr>
      </w:pPr>
      <w:r>
        <w:rPr>
          <w:rStyle w:val="Fontdeparagrafimplicit"/>
          <w:b/>
        </w:rPr>
        <w:t>A0002</w:t>
      </w:r>
    </w:p>
    <w:p w:rsidR="002846DF" w14:paraId="14332C12" w14:textId="77777777">
      <w:pPr>
        <w:ind w:right="-142" w:firstLine="576"/>
        <w:jc w:val="both"/>
        <w:rPr>
          <w:rStyle w:val="Fontdeparagrafimplicit"/>
          <w:b/>
        </w:rPr>
      </w:pPr>
    </w:p>
    <w:p w:rsidR="002846DF" w14:paraId="0A2E6CBC" w14:textId="77777777">
      <w:pPr>
        <w:ind w:right="-142" w:firstLine="576"/>
        <w:jc w:val="both"/>
        <w:rPr>
          <w:rStyle w:val="Fontdeparagrafimplicit"/>
          <w:b/>
        </w:rPr>
      </w:pPr>
    </w:p>
    <w:p w:rsidR="002846DF" w14:paraId="320E12A2" w14:textId="77777777">
      <w:pPr>
        <w:ind w:right="-142" w:firstLine="576"/>
        <w:jc w:val="both"/>
        <w:rPr>
          <w:rStyle w:val="Fontdeparagrafimplicit"/>
          <w:b/>
        </w:rPr>
      </w:pPr>
    </w:p>
    <w:p w:rsidR="002846DF" w14:paraId="60ED9C61" w14:textId="77777777">
      <w:pPr>
        <w:ind w:right="-142" w:firstLine="576"/>
        <w:jc w:val="both"/>
        <w:rPr>
          <w:rStyle w:val="Fontdeparagrafimplicit"/>
          <w:b/>
        </w:rPr>
      </w:pPr>
    </w:p>
    <w:p w:rsidR="002846DF" w14:paraId="169512AD" w14:textId="77777777">
      <w:pPr>
        <w:ind w:right="-142" w:firstLine="576"/>
        <w:jc w:val="both"/>
        <w:rPr>
          <w:rStyle w:val="Fontdeparagrafimplicit"/>
          <w:b/>
        </w:rPr>
      </w:pPr>
      <w:r>
        <w:rPr>
          <w:rStyle w:val="Fontdeparagrafimplicit"/>
          <w:b/>
        </w:rPr>
        <w:t xml:space="preserve">                                                                                       GREFIER,</w:t>
      </w:r>
    </w:p>
    <w:p w:rsidR="002846DF" w14:paraId="6FFA3DBA" w14:textId="12091267">
      <w:pPr>
        <w:ind w:right="-142" w:firstLine="576"/>
        <w:jc w:val="both"/>
        <w:rPr>
          <w:rStyle w:val="Fontdeparagrafimplicit"/>
          <w:b/>
        </w:rPr>
      </w:pPr>
      <w:r>
        <w:rPr>
          <w:rStyle w:val="Fontdeparagrafimplicit"/>
          <w:b/>
        </w:rPr>
        <w:t xml:space="preserve">                                                                                 </w:t>
      </w:r>
      <w:r w:rsidR="00003B10">
        <w:rPr>
          <w:rStyle w:val="Fontdeparagrafimplicit"/>
          <w:b/>
        </w:rPr>
        <w:t xml:space="preserve"> </w:t>
      </w:r>
    </w:p>
    <w:p w:rsidR="002846DF" w14:paraId="6E1F0254" w14:textId="77777777">
      <w:pPr>
        <w:jc w:val="both"/>
        <w:rPr>
          <w:rStyle w:val="Fontdeparagrafimplicit"/>
        </w:rPr>
      </w:pPr>
    </w:p>
    <w:p w:rsidR="002846DF" w14:paraId="36A930CD" w14:textId="77777777">
      <w:pPr>
        <w:jc w:val="both"/>
        <w:rPr>
          <w:rStyle w:val="Fontdeparagrafimplicit"/>
        </w:rPr>
      </w:pPr>
    </w:p>
    <w:p w:rsidR="002846DF" w14:paraId="13C1EBB0" w14:textId="71237C34">
      <w:pPr>
        <w:jc w:val="both"/>
      </w:pPr>
      <w:r>
        <w:t>Red.</w:t>
      </w:r>
      <w:r w:rsidR="00003B10">
        <w:t>A0002</w:t>
      </w:r>
    </w:p>
    <w:p w:rsidR="002846DF" w14:paraId="117B6FCB" w14:textId="6A5E248D">
      <w:pPr>
        <w:jc w:val="both"/>
      </w:pPr>
      <w:r>
        <w:t>Dact.</w:t>
      </w:r>
      <w:r w:rsidR="00003B10">
        <w:t xml:space="preserve"> </w:t>
      </w:r>
    </w:p>
    <w:p w:rsidR="002846DF" w14:paraId="477C82B5" w14:textId="77777777">
      <w:pPr>
        <w:pBdr>
          <w:bottom w:val="single" w:color="auto" w:sz="6" w:space="0"/>
        </w:pBdr>
        <w:jc w:val="both"/>
      </w:pPr>
      <w:r>
        <w:t>Ex.7</w:t>
      </w:r>
    </w:p>
    <w:p w:rsidR="002846DF" w14:paraId="0EAF29EE" w14:textId="6F9C9872">
      <w:pPr>
        <w:jc w:val="both"/>
      </w:pPr>
      <w:r>
        <w:t xml:space="preserve">Red. </w:t>
      </w:r>
      <w:r w:rsidR="00003B10">
        <w:t xml:space="preserve">  </w:t>
      </w:r>
      <w:r>
        <w:t xml:space="preserve">-Trib. </w:t>
      </w:r>
      <w:r w:rsidR="001D13F5">
        <w:t xml:space="preserve">            </w:t>
      </w:r>
    </w:p>
    <w:p w:rsidR="002846DF" w14:paraId="70E85092" w14:textId="77777777"/>
    <w:sectPr>
      <w:footerReference w:type="default" r:id="rId4"/>
      <w:pgSz w:w="11906" w:h="16838"/>
      <w:pgMar w:top="1134" w:right="567" w:bottom="1134"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2846DF" w14:paraId="469B56B3" w14:textId="77777777">
    <w:pPr>
      <w:pStyle w:val="Subsol"/>
      <w:jc w:val="center"/>
    </w:pPr>
    <w:r>
      <w:fldChar w:fldCharType="begin"/>
    </w:r>
    <w:r>
      <w:instrText>PAGE   \* MERGEFORMAT</w:instrText>
    </w:r>
    <w:r>
      <w:fldChar w:fldCharType="separate"/>
    </w:r>
    <w:r>
      <w:t>#</w:t>
    </w:r>
    <w:r>
      <w:fldChar w:fldCharType="end"/>
    </w:r>
  </w:p>
  <w:p w:rsidR="002846DF" w14:paraId="5059F9A0" w14:textId="77777777">
    <w:pPr>
      <w:pStyle w:val="Subsol"/>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DA81F57"/>
    <w:multiLevelType w:val="multilevel"/>
    <w:tmpl w:val="2414960C"/>
    <w:lvl w:ilvl="0">
      <w:start w:val="1"/>
      <w:numFmt w:val="decimal"/>
      <w:lvlText w:val="%1)"/>
      <w:legacy w:legacy="1" w:legacySpace="0" w:legacyIndent="355"/>
      <w:lvlJc w:val="left"/>
      <w:rPr>
        <w:rFonts w:ascii="Times New Roman" w:hAnsi="Times New Roman"/>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 w15:restartNumberingAfterBreak="0">
    <w:nsid w:val="75AD2CA2"/>
    <w:multiLevelType w:val="multilevel"/>
    <w:tmpl w:val="A1F2694A"/>
    <w:lvl w:ilvl="0">
      <w:start w:val="3"/>
      <w:numFmt w:val="lowerLetter"/>
      <w:lvlText w:val="%1)"/>
      <w:legacy w:legacy="1" w:legacySpace="0" w:legacyIndent="303"/>
      <w:lvlJc w:val="left"/>
      <w:rPr>
        <w:rFonts w:ascii="Times New Roman" w:hAnsi="Times New Roman"/>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num w:numId="1" w16cid:durableId="686255807">
    <w:abstractNumId w:val="0"/>
  </w:num>
  <w:num w:numId="2" w16cid:durableId="10259785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6DF"/>
    <w:rsid w:val="00003B10"/>
    <w:rsid w:val="0001050C"/>
    <w:rsid w:val="00157A71"/>
    <w:rsid w:val="001D13F5"/>
    <w:rsid w:val="002846DF"/>
    <w:rsid w:val="00444CFD"/>
    <w:rsid w:val="00620A75"/>
    <w:rsid w:val="00AC3928"/>
    <w:rsid w:val="00CE7AFB"/>
    <w:rsid w:val="00D25D3E"/>
  </w:rsids>
  <w:docVars>
    <w:docVar w:name="url" w:val="http://10.1.48.53:80/ecris_cdms/document_upload.aspx?id_document=200000002715518&amp;id_departament=2&amp;id_sesiune=2357757&amp;id_user=601&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1BC21BA2"/>
  <w15:docId w15:val="{562126D7-D218-477C-B0D8-3C696547D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rPr>
      <w:rFonts w:ascii="Calibri" w:hAnsi="Calibri"/>
      <w:lang w:val="ro-RO"/>
    </w:rPr>
  </w:style>
  <w:style w:type="paragraph" w:customStyle="1" w:styleId="Titlu1">
    <w:name w:val="Titlu 1"/>
    <w:basedOn w:val="Normal"/>
    <w:next w:val="Normal"/>
    <w:qFormat/>
    <w:pPr>
      <w:keepNext/>
      <w:jc w:val="center"/>
      <w:outlineLvl w:val="0"/>
    </w:pPr>
    <w:rPr>
      <w:b/>
      <w:sz w:val="28"/>
      <w:lang w:val="en-US"/>
    </w:rPr>
  </w:style>
  <w:style w:type="paragraph" w:customStyle="1" w:styleId="Titlu3">
    <w:name w:val="Titlu 3"/>
    <w:basedOn w:val="Normal"/>
    <w:next w:val="Normal"/>
    <w:link w:val="Titlu3Caracter"/>
    <w:qFormat/>
    <w:pPr>
      <w:keepNext/>
      <w:spacing w:before="240" w:after="60"/>
      <w:outlineLvl w:val="2"/>
    </w:pPr>
    <w:rPr>
      <w:rFonts w:ascii="Cambria" w:hAnsi="Cambria"/>
      <w:b/>
      <w:sz w:val="26"/>
    </w:rPr>
  </w:style>
  <w:style w:type="paragraph" w:styleId="NormalWeb">
    <w:name w:val="Normal (Web)"/>
    <w:basedOn w:val="Normal"/>
    <w:pPr>
      <w:spacing w:before="100" w:beforeAutospacing="1" w:after="100" w:afterAutospacing="1"/>
    </w:pPr>
  </w:style>
  <w:style w:type="paragraph" w:customStyle="1" w:styleId="Style1">
    <w:name w:val="Style1"/>
    <w:basedOn w:val="Normal"/>
    <w:pPr>
      <w:widowControl w:val="0"/>
      <w:spacing w:line="331" w:lineRule="exact"/>
      <w:jc w:val="both"/>
    </w:pPr>
  </w:style>
  <w:style w:type="paragraph" w:customStyle="1" w:styleId="Subsol">
    <w:name w:val="Subsol"/>
    <w:basedOn w:val="Normal"/>
    <w:link w:val="SubsolCaracter"/>
    <w:pPr>
      <w:tabs>
        <w:tab w:val="center" w:pos="4536"/>
        <w:tab w:val="right" w:pos="9072"/>
      </w:tabs>
    </w:pPr>
    <w:rPr>
      <w:rFonts w:ascii="Calibri" w:hAnsi="Calibri"/>
      <w:sz w:val="22"/>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Titlu3Caracter">
    <w:name w:val="Titlu 3 Caracter"/>
    <w:link w:val="Titlu3"/>
    <w:rPr>
      <w:rFonts w:ascii="Cambria" w:hAnsi="Cambria"/>
      <w:b/>
      <w:sz w:val="26"/>
    </w:rPr>
  </w:style>
  <w:style w:type="character" w:customStyle="1" w:styleId="FontStyle11">
    <w:name w:val="Font Style11"/>
    <w:rPr>
      <w:rFonts w:ascii="Times New Roman" w:hAnsi="Times New Roman"/>
      <w:sz w:val="24"/>
    </w:rPr>
  </w:style>
  <w:style w:type="character" w:customStyle="1" w:styleId="SubsolCaracter">
    <w:name w:val="Subsol Caracter"/>
    <w:link w:val="Subsol"/>
    <w:rPr>
      <w:rFonts w:ascii="Calibri" w:hAnsi="Calibri"/>
      <w:sz w:val="22"/>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18</ap:TotalTime>
  <ap:Pages>1</ap:Pages>
  <ap:Words>4103</ap:Words>
  <ap:Characters>23390</ap:Characters>
  <ap:Application>Microsoft Office Word</ap:Application>
  <ap:DocSecurity>0</ap:DocSecurity>
  <ap:Lines>194</ap:Lines>
  <ap:Paragraphs>54</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27439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