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5C346E" w14:paraId="6E6E94FE" w14:textId="36514D3B">
      <w:pPr>
        <w:rPr>
          <w:rStyle w:val="Fontdeparagrafimplicit"/>
          <w:b/>
        </w:rPr>
      </w:pPr>
      <w:r>
        <w:rPr>
          <w:rStyle w:val="Fontdeparagrafimplicit"/>
          <w:b/>
        </w:rPr>
        <w:t>DOSAR NR.</w:t>
      </w:r>
      <w:r w:rsidR="00CA307F">
        <w:rPr>
          <w:rStyle w:val="Fontdeparagrafimplicit"/>
          <w:b/>
        </w:rPr>
        <w:t>1</w:t>
      </w:r>
    </w:p>
    <w:p w:rsidR="005C346E" w14:paraId="2356BFCC" w14:textId="77777777">
      <w:pPr>
        <w:rPr>
          <w:rStyle w:val="Fontdeparagrafimplicit"/>
          <w:b/>
        </w:rPr>
      </w:pPr>
    </w:p>
    <w:p w:rsidR="005C346E" w14:paraId="5208C1C3" w14:textId="77777777">
      <w:pPr>
        <w:jc w:val="center"/>
        <w:rPr>
          <w:rStyle w:val="Fontdeparagrafimplicit"/>
          <w:b/>
        </w:rPr>
      </w:pPr>
      <w:r>
        <w:rPr>
          <w:rStyle w:val="Fontdeparagrafimplicit"/>
          <w:b/>
        </w:rPr>
        <w:t>R O M Â N I A</w:t>
      </w:r>
    </w:p>
    <w:p w:rsidR="005C346E" w14:paraId="34FE28B6" w14:textId="77F5D65B">
      <w:pPr>
        <w:jc w:val="center"/>
        <w:rPr>
          <w:rStyle w:val="Fontdeparagrafimplicit"/>
          <w:b/>
        </w:rPr>
      </w:pPr>
      <w:r>
        <w:rPr>
          <w:rStyle w:val="Fontdeparagrafimplicit"/>
          <w:b/>
        </w:rPr>
        <w:t xml:space="preserve">CURTEA DE APEL </w:t>
      </w:r>
      <w:r w:rsidR="00A02D34">
        <w:rPr>
          <w:rStyle w:val="Fontdeparagrafimplicit"/>
          <w:b/>
        </w:rPr>
        <w:t xml:space="preserve">............ </w:t>
      </w:r>
    </w:p>
    <w:p w:rsidR="005C346E" w14:paraId="156CA3EA" w14:textId="6B6334C1">
      <w:pPr>
        <w:jc w:val="center"/>
        <w:rPr>
          <w:rStyle w:val="Fontdeparagrafimplicit"/>
          <w:b/>
        </w:rPr>
      </w:pPr>
      <w:r>
        <w:rPr>
          <w:rStyle w:val="Fontdeparagrafimplicit"/>
          <w:b/>
        </w:rPr>
        <w:t xml:space="preserve">SECŢIA </w:t>
      </w:r>
      <w:r w:rsidR="00A02D34">
        <w:rPr>
          <w:rStyle w:val="Fontdeparagrafimplicit"/>
          <w:b/>
        </w:rPr>
        <w:t xml:space="preserve">............ </w:t>
      </w:r>
    </w:p>
    <w:p w:rsidR="005C346E" w14:paraId="03D8FAAA" w14:textId="77777777">
      <w:pPr>
        <w:jc w:val="center"/>
        <w:rPr>
          <w:rStyle w:val="Fontdeparagrafimplicit"/>
          <w:b/>
        </w:rPr>
      </w:pPr>
    </w:p>
    <w:p w:rsidR="005C346E" w14:paraId="3614F724" w14:textId="77777777">
      <w:pPr>
        <w:jc w:val="center"/>
        <w:rPr>
          <w:rStyle w:val="Fontdeparagrafimplicit"/>
          <w:b/>
        </w:rPr>
      </w:pPr>
    </w:p>
    <w:p w:rsidR="005C346E" w14:paraId="5D5A006F" w14:textId="1DAF16DD">
      <w:pPr>
        <w:jc w:val="center"/>
        <w:rPr>
          <w:rStyle w:val="Fontdeparagrafimplicit"/>
          <w:b/>
          <w:u w:val="single"/>
        </w:rPr>
      </w:pPr>
      <w:r>
        <w:rPr>
          <w:rStyle w:val="Fontdeparagrafimplicit"/>
          <w:b/>
          <w:u w:val="single"/>
        </w:rPr>
        <w:t xml:space="preserve">Decizia civilă nr. </w:t>
      </w:r>
      <w:r w:rsidR="00A02D34">
        <w:rPr>
          <w:rStyle w:val="Fontdeparagrafimplicit"/>
          <w:b/>
          <w:u w:val="single"/>
        </w:rPr>
        <w:t>15</w:t>
      </w:r>
    </w:p>
    <w:p w:rsidR="005C346E" w14:paraId="60CF92CA" w14:textId="39ADEB5E">
      <w:pPr>
        <w:jc w:val="center"/>
      </w:pPr>
      <w:r>
        <w:t xml:space="preserve">Şedinţa publică din data de </w:t>
      </w:r>
      <w:r w:rsidR="00A02D34">
        <w:t xml:space="preserve">............ </w:t>
      </w:r>
    </w:p>
    <w:p w:rsidR="005C346E" w14:paraId="163F41E0" w14:textId="77777777">
      <w:pPr>
        <w:jc w:val="center"/>
        <w:rPr>
          <w:rStyle w:val="Fontdeparagrafimplicit"/>
          <w:i/>
        </w:rPr>
      </w:pPr>
      <w:r>
        <w:rPr>
          <w:rStyle w:val="Fontdeparagrafimplicit"/>
          <w:i/>
        </w:rPr>
        <w:t xml:space="preserve">Curtea constituită din: </w:t>
      </w:r>
    </w:p>
    <w:p w:rsidR="005C346E" w14:paraId="13CEF6D5" w14:textId="41099325">
      <w:pPr>
        <w:jc w:val="center"/>
        <w:rPr>
          <w:rStyle w:val="Fontdeparagrafimplicit"/>
          <w:b/>
        </w:rPr>
      </w:pPr>
      <w:r>
        <w:rPr>
          <w:rStyle w:val="Fontdeparagrafimplicit"/>
          <w:b/>
        </w:rPr>
        <w:t xml:space="preserve">PREŞEDINTE: </w:t>
      </w:r>
      <w:r w:rsidR="00A02D34">
        <w:rPr>
          <w:rStyle w:val="Fontdeparagrafimplicit"/>
          <w:b/>
        </w:rPr>
        <w:t xml:space="preserve">............ </w:t>
      </w:r>
    </w:p>
    <w:p w:rsidR="005C346E" w14:paraId="05E015A9" w14:textId="56C133DA">
      <w:pPr>
        <w:jc w:val="center"/>
        <w:rPr>
          <w:rStyle w:val="Fontdeparagrafimplicit"/>
          <w:b/>
        </w:rPr>
      </w:pPr>
      <w:r>
        <w:rPr>
          <w:rStyle w:val="Fontdeparagrafimplicit"/>
          <w:b/>
        </w:rPr>
        <w:t xml:space="preserve">JUDECĂTOR: </w:t>
      </w:r>
      <w:r w:rsidR="00A02D34">
        <w:rPr>
          <w:rStyle w:val="Fontdeparagrafimplicit"/>
          <w:b/>
        </w:rPr>
        <w:t xml:space="preserve">............ </w:t>
      </w:r>
    </w:p>
    <w:p w:rsidR="005C346E" w14:paraId="00ABA46E" w14:textId="6CFEEF08">
      <w:pPr>
        <w:jc w:val="center"/>
        <w:rPr>
          <w:rStyle w:val="Fontdeparagrafimplicit"/>
          <w:b/>
        </w:rPr>
      </w:pPr>
      <w:r>
        <w:rPr>
          <w:rStyle w:val="Fontdeparagrafimplicit"/>
          <w:b/>
        </w:rPr>
        <w:t xml:space="preserve">JUDECĂTOR: </w:t>
      </w:r>
      <w:r w:rsidR="00A02D34">
        <w:rPr>
          <w:rStyle w:val="Fontdeparagrafimplicit"/>
          <w:b/>
        </w:rPr>
        <w:t>A0008</w:t>
      </w:r>
    </w:p>
    <w:p w:rsidR="005C346E" w14:paraId="53CFADA2" w14:textId="45092DA9">
      <w:pPr>
        <w:jc w:val="center"/>
        <w:rPr>
          <w:rStyle w:val="Fontdeparagrafimplicit"/>
        </w:rPr>
      </w:pPr>
      <w:r>
        <w:rPr>
          <w:rStyle w:val="Fontdeparagrafimplicit"/>
          <w:b/>
        </w:rPr>
        <w:t xml:space="preserve">GREFIER: </w:t>
      </w:r>
      <w:r w:rsidR="00A02D34">
        <w:rPr>
          <w:rStyle w:val="Fontdeparagrafimplicit"/>
          <w:b/>
        </w:rPr>
        <w:t xml:space="preserve">................ </w:t>
      </w:r>
    </w:p>
    <w:p w:rsidR="005C346E" w14:paraId="6144F6FE" w14:textId="77777777">
      <w:pPr>
        <w:rPr>
          <w:rStyle w:val="Fontdeparagrafimplicit"/>
        </w:rPr>
      </w:pPr>
    </w:p>
    <w:p w:rsidR="005C346E" w14:paraId="2DC45D18" w14:textId="77777777">
      <w:pPr>
        <w:rPr>
          <w:rStyle w:val="Fontdeparagrafimplicit"/>
        </w:rPr>
      </w:pPr>
    </w:p>
    <w:p w:rsidR="005C346E" w14:paraId="61342DFE" w14:textId="4468C7E1">
      <w:pPr>
        <w:tabs>
          <w:tab w:val="left" w:pos="0"/>
          <w:tab w:val="left" w:pos="284"/>
          <w:tab w:val="left" w:pos="567"/>
          <w:tab w:val="left" w:pos="1134"/>
        </w:tabs>
        <w:ind w:firstLine="710"/>
        <w:jc w:val="both"/>
        <w:rPr>
          <w:rStyle w:val="Fontdeparagrafimplicit"/>
          <w:b/>
          <w:i/>
        </w:rPr>
      </w:pPr>
      <w:r>
        <w:tab/>
        <w:t xml:space="preserve">Pe rol se află soluţionarea cererii de recurs formulate de </w:t>
      </w:r>
      <w:r>
        <w:rPr>
          <w:rStyle w:val="Fontdeparagrafimplicit"/>
          <w:b/>
        </w:rPr>
        <w:t xml:space="preserve">recurentul-reclamant </w:t>
      </w:r>
      <w:r w:rsidR="00A02D34">
        <w:rPr>
          <w:rStyle w:val="Fontdeparagrafimplicit"/>
          <w:b/>
        </w:rPr>
        <w:t xml:space="preserve">1 </w:t>
      </w:r>
      <w:r>
        <w:rPr>
          <w:rStyle w:val="Fontdeparagrafimplicit"/>
          <w:b/>
        </w:rPr>
        <w:t xml:space="preserve">SRL, </w:t>
      </w:r>
      <w:r>
        <w:t xml:space="preserve">împotriva sentinţei civile nr. </w:t>
      </w:r>
      <w:r w:rsidR="00A02D34">
        <w:t xml:space="preserve">......../............ </w:t>
      </w:r>
      <w:r>
        <w:t xml:space="preserve">, pronunţate de Tribunalul </w:t>
      </w:r>
      <w:r w:rsidR="00CA307F">
        <w:t xml:space="preserve"> </w:t>
      </w:r>
      <w:r w:rsidR="00A02D34">
        <w:t xml:space="preserve">............ </w:t>
      </w:r>
      <w:r>
        <w:t xml:space="preserve">- Secţia </w:t>
      </w:r>
      <w:r w:rsidR="00A02D34">
        <w:t xml:space="preserve">............ </w:t>
      </w:r>
      <w:r>
        <w:t xml:space="preserve"> în dosarul nr. </w:t>
      </w:r>
      <w:r w:rsidR="00CA307F">
        <w:t>1</w:t>
      </w:r>
      <w:r>
        <w:t xml:space="preserve">, în contradictoriu cu intimata-pârâtă </w:t>
      </w:r>
      <w:r>
        <w:rPr>
          <w:rStyle w:val="Fontdeparagrafimplicit"/>
          <w:b/>
        </w:rPr>
        <w:t xml:space="preserve">UNITATEA ADMINISTRATIV TERITORIALĂ JUDEŢUL </w:t>
      </w:r>
      <w:r w:rsidR="00CA307F">
        <w:rPr>
          <w:rStyle w:val="Fontdeparagrafimplicit"/>
          <w:b/>
        </w:rPr>
        <w:t>A</w:t>
      </w:r>
      <w:r w:rsidR="00A02D34">
        <w:rPr>
          <w:rStyle w:val="Fontdeparagrafimplicit"/>
          <w:b/>
        </w:rPr>
        <w:t xml:space="preserve">............ </w:t>
      </w:r>
      <w:r>
        <w:rPr>
          <w:rStyle w:val="Fontdeparagrafimplicit"/>
          <w:b/>
        </w:rPr>
        <w:t xml:space="preserve">, prin CONSILIUL JUDEŢEAN </w:t>
      </w:r>
      <w:r w:rsidR="00CA307F">
        <w:rPr>
          <w:rStyle w:val="Fontdeparagrafimplicit"/>
          <w:b/>
        </w:rPr>
        <w:t>A</w:t>
      </w:r>
      <w:r w:rsidR="00A02D34">
        <w:rPr>
          <w:rStyle w:val="Fontdeparagrafimplicit"/>
          <w:b/>
        </w:rPr>
        <w:t xml:space="preserve">............ </w:t>
      </w:r>
      <w:r>
        <w:t>, având ca obiect „litigiu privind achiziţiile publice</w:t>
      </w:r>
      <w:r>
        <w:rPr>
          <w:rStyle w:val="Fontdeparagrafimplicit"/>
          <w:b/>
          <w:i/>
        </w:rPr>
        <w:t>”</w:t>
      </w:r>
      <w:r>
        <w:t>.</w:t>
      </w:r>
    </w:p>
    <w:p w:rsidR="005C346E" w14:paraId="29D56608" w14:textId="3F66D691">
      <w:pPr>
        <w:ind w:firstLine="720"/>
        <w:jc w:val="both"/>
      </w:pPr>
      <w:r>
        <w:t xml:space="preserve">Dezbaterile asupra plângerii au avut loc în şedinţa publică din data de </w:t>
      </w:r>
      <w:r w:rsidR="00A02D34">
        <w:t xml:space="preserve">.................. </w:t>
      </w:r>
      <w:r>
        <w:t xml:space="preserve">, fiind consemnate în încheierea de şedinţă de la acea dată, care face parte integrantă din prezenta hotărâre, când Curtea, având nevoie de timp pentru a delibera, a amânat pronunţarea pentru </w:t>
      </w:r>
      <w:r w:rsidR="00A02D34">
        <w:t xml:space="preserve">.................. </w:t>
      </w:r>
      <w:r>
        <w:t xml:space="preserve">, şi pentru astăzi, </w:t>
      </w:r>
      <w:r w:rsidR="00A02D34">
        <w:t xml:space="preserve">............ </w:t>
      </w:r>
      <w:r>
        <w:t xml:space="preserve">, când, în aceeaşi compunere, a hotărât următoarele: </w:t>
      </w:r>
    </w:p>
    <w:p w:rsidR="005C346E" w14:paraId="7AB804F0" w14:textId="77777777"/>
    <w:p w:rsidR="005C346E" w14:paraId="00A268B2" w14:textId="77777777">
      <w:pPr>
        <w:jc w:val="center"/>
        <w:rPr>
          <w:rStyle w:val="Fontdeparagrafimplicit"/>
          <w:b/>
        </w:rPr>
      </w:pPr>
      <w:r>
        <w:rPr>
          <w:rStyle w:val="Fontdeparagrafimplicit"/>
          <w:b/>
        </w:rPr>
        <w:t>C U R T E A,</w:t>
      </w:r>
    </w:p>
    <w:p w:rsidR="005C346E" w14:paraId="719731BA" w14:textId="77777777">
      <w:pPr>
        <w:jc w:val="center"/>
        <w:rPr>
          <w:rStyle w:val="Fontdeparagrafimplicit"/>
          <w:b/>
        </w:rPr>
      </w:pPr>
    </w:p>
    <w:p w:rsidR="005C346E" w14:paraId="505BAE32" w14:textId="77777777">
      <w:pPr>
        <w:pStyle w:val="Listparagraf"/>
        <w:numPr>
          <w:ilvl w:val="0"/>
          <w:numId w:val="1"/>
        </w:numPr>
        <w:ind w:right="-709"/>
        <w:jc w:val="both"/>
        <w:rPr>
          <w:rStyle w:val="Fontdeparagrafimplicit"/>
          <w:b/>
          <w:lang w:val="ro-RO"/>
        </w:rPr>
      </w:pPr>
      <w:r>
        <w:rPr>
          <w:rStyle w:val="Fontdeparagrafimplicit"/>
          <w:b/>
          <w:lang w:val="ro-RO"/>
        </w:rPr>
        <w:t>Circumstanţele cauzei</w:t>
      </w:r>
    </w:p>
    <w:p w:rsidR="005C346E" w14:paraId="6836A2AE" w14:textId="77777777">
      <w:pPr>
        <w:pStyle w:val="Listparagraf"/>
        <w:numPr>
          <w:ilvl w:val="1"/>
          <w:numId w:val="1"/>
        </w:numPr>
        <w:ind w:right="-709"/>
        <w:jc w:val="both"/>
        <w:rPr>
          <w:rStyle w:val="Fontdeparagrafimplicit"/>
          <w:u w:val="single"/>
          <w:lang w:val="ro-RO"/>
        </w:rPr>
      </w:pPr>
      <w:r>
        <w:rPr>
          <w:rStyle w:val="Fontdeparagrafimplicit"/>
          <w:u w:val="single"/>
          <w:lang w:val="ro-RO"/>
        </w:rPr>
        <w:t>Acţiunea formulată</w:t>
      </w:r>
    </w:p>
    <w:p w:rsidR="005C346E" w14:paraId="130BEA58" w14:textId="098C642E">
      <w:pPr>
        <w:ind w:firstLine="720"/>
        <w:jc w:val="both"/>
      </w:pPr>
      <w:r>
        <w:t xml:space="preserve">Prin cererea de chemare în judecată înregistrată la Tribunalul </w:t>
      </w:r>
      <w:r w:rsidR="00CA307F">
        <w:t xml:space="preserve"> </w:t>
      </w:r>
      <w:r w:rsidR="00A02D34">
        <w:t xml:space="preserve">............ </w:t>
      </w:r>
      <w:r>
        <w:t xml:space="preserve">, sub nr. </w:t>
      </w:r>
      <w:r w:rsidR="00CA307F">
        <w:t>1</w:t>
      </w:r>
      <w:r>
        <w:t xml:space="preserve">, reclamantul </w:t>
      </w:r>
      <w:r w:rsidR="00A02D34">
        <w:t xml:space="preserve">1 </w:t>
      </w:r>
      <w:r>
        <w:t xml:space="preserve">SRL </w:t>
      </w:r>
      <w:r w:rsidR="00A02D34">
        <w:t xml:space="preserve">.................. </w:t>
      </w:r>
      <w:r>
        <w:t xml:space="preserve">, în contradictoriu cu pârâta Unitatea Administrativ Teritorială Judeţul </w:t>
      </w:r>
      <w:r w:rsidR="00CA307F">
        <w:t>A</w:t>
      </w:r>
      <w:r w:rsidR="00A02D34">
        <w:t xml:space="preserve">............ </w:t>
      </w:r>
      <w:r>
        <w:t xml:space="preserve">, a solicitat pronunţarea unei hotărâri prin care să se dispună: a) anularea deciziei UAT judeţul </w:t>
      </w:r>
      <w:r w:rsidR="00CA307F">
        <w:t>A</w:t>
      </w:r>
      <w:r w:rsidR="00A02D34">
        <w:t xml:space="preserve">............ </w:t>
      </w:r>
      <w:r>
        <w:t xml:space="preserve">privind executarea garanţiei de bună execuţie, în cuantum de 205.322,75 lei comunicată reclamantei prin adresa înregistrată sub nr. </w:t>
      </w:r>
      <w:r w:rsidR="00477EEE">
        <w:t xml:space="preserve">2 </w:t>
      </w:r>
      <w:r>
        <w:t xml:space="preserve">din 01.02.2016; b) obligarea UAT judeţul </w:t>
      </w:r>
      <w:r w:rsidR="00CA307F">
        <w:t>A</w:t>
      </w:r>
      <w:r w:rsidR="00A02D34">
        <w:t xml:space="preserve">............ </w:t>
      </w:r>
      <w:r>
        <w:t xml:space="preserve">la restituirea sumei de 205.322,75 lei reprezentând contravaloarea parţială a garanţiei de bună execuţie; c) obligarea UAT judeţul </w:t>
      </w:r>
      <w:r w:rsidR="00CA307F">
        <w:t>A</w:t>
      </w:r>
      <w:r w:rsidR="00A02D34">
        <w:t xml:space="preserve">............ </w:t>
      </w:r>
      <w:r>
        <w:t>la plata cheltuielilor de judecată ocazionate de soluţionarea prezentului litigiu.</w:t>
      </w:r>
    </w:p>
    <w:p w:rsidR="005C346E" w14:paraId="4B29F27B" w14:textId="77777777">
      <w:pPr>
        <w:pStyle w:val="Listparagraf"/>
        <w:numPr>
          <w:ilvl w:val="1"/>
          <w:numId w:val="1"/>
        </w:numPr>
        <w:ind w:right="-709"/>
        <w:jc w:val="both"/>
        <w:rPr>
          <w:rStyle w:val="Fontdeparagrafimplicit"/>
          <w:u w:val="single"/>
          <w:lang w:val="ro-RO"/>
        </w:rPr>
      </w:pPr>
      <w:r>
        <w:rPr>
          <w:rStyle w:val="Fontdeparagrafimplicit"/>
          <w:u w:val="single"/>
          <w:lang w:val="ro-RO"/>
        </w:rPr>
        <w:t>Sentinţa civilă pronunţată în cauză</w:t>
      </w:r>
    </w:p>
    <w:p w:rsidR="005C346E" w14:paraId="23484196" w14:textId="4BEBC2A4">
      <w:pPr>
        <w:ind w:firstLine="720"/>
        <w:jc w:val="both"/>
      </w:pPr>
      <w:r>
        <w:t xml:space="preserve">Prin sentința civilă nr. </w:t>
      </w:r>
      <w:r w:rsidR="00A02D34">
        <w:t xml:space="preserve">......../............ </w:t>
      </w:r>
      <w:r>
        <w:t xml:space="preserve">, pronunțată în dosarul nr. </w:t>
      </w:r>
      <w:r w:rsidR="00CA307F">
        <w:t>1</w:t>
      </w:r>
      <w:r>
        <w:t xml:space="preserve">, Tribunalul </w:t>
      </w:r>
      <w:r w:rsidR="00CA307F">
        <w:t xml:space="preserve"> </w:t>
      </w:r>
      <w:r w:rsidR="00A02D34">
        <w:t xml:space="preserve">............ </w:t>
      </w:r>
      <w:r>
        <w:t xml:space="preserve">, Secția </w:t>
      </w:r>
      <w:r w:rsidR="00477EEE">
        <w:t xml:space="preserve">............... </w:t>
      </w:r>
      <w:r>
        <w:t xml:space="preserve">, s-a respins acţiunea formulată de reclamanta </w:t>
      </w:r>
      <w:r w:rsidR="00477EEE">
        <w:t xml:space="preserve">1 </w:t>
      </w:r>
      <w:r>
        <w:t xml:space="preserve">SRL </w:t>
      </w:r>
      <w:r w:rsidR="00A02D34">
        <w:t xml:space="preserve">.................. </w:t>
      </w:r>
      <w:r>
        <w:t xml:space="preserve">, în contradictoriu cu pârâta Unitatea Administrativ Teritorială Judeţul </w:t>
      </w:r>
      <w:r w:rsidR="00CA307F">
        <w:t>A</w:t>
      </w:r>
      <w:r w:rsidR="00A02D34">
        <w:t xml:space="preserve">............ </w:t>
      </w:r>
      <w:r>
        <w:t>, ca nefondată.</w:t>
      </w:r>
    </w:p>
    <w:p w:rsidR="005C346E" w14:paraId="2608D65C" w14:textId="77777777">
      <w:pPr>
        <w:jc w:val="center"/>
        <w:rPr>
          <w:rStyle w:val="Fontdeparagrafimplicit"/>
          <w:b/>
        </w:rPr>
      </w:pPr>
    </w:p>
    <w:p w:rsidR="005C346E" w14:paraId="3C144A1C" w14:textId="77777777">
      <w:pPr>
        <w:numPr>
          <w:ilvl w:val="0"/>
          <w:numId w:val="1"/>
        </w:numPr>
        <w:spacing w:after="200" w:line="276" w:lineRule="auto"/>
        <w:ind w:right="-709"/>
        <w:contextualSpacing/>
        <w:jc w:val="both"/>
        <w:rPr>
          <w:rStyle w:val="Fontdeparagrafimplicit"/>
          <w:b/>
        </w:rPr>
      </w:pPr>
      <w:r>
        <w:rPr>
          <w:rStyle w:val="Fontdeparagrafimplicit"/>
          <w:b/>
        </w:rPr>
        <w:t>Calea de atac formulată</w:t>
      </w:r>
    </w:p>
    <w:p w:rsidR="005C346E" w14:paraId="716BE0F8" w14:textId="77777777">
      <w:pPr>
        <w:spacing w:after="200" w:line="276" w:lineRule="auto"/>
        <w:ind w:right="-709"/>
        <w:contextualSpacing/>
        <w:jc w:val="both"/>
        <w:rPr>
          <w:rStyle w:val="Fontdeparagrafimplicit"/>
          <w:b/>
        </w:rPr>
      </w:pPr>
    </w:p>
    <w:p w:rsidR="005C346E" w14:paraId="52A29143" w14:textId="17AA42E3">
      <w:pPr>
        <w:ind w:firstLine="567"/>
        <w:jc w:val="both"/>
      </w:pPr>
      <w:r>
        <w:t xml:space="preserve">Reclamanta </w:t>
      </w:r>
      <w:r w:rsidR="00A02D34">
        <w:t xml:space="preserve">1 </w:t>
      </w:r>
      <w:r>
        <w:t xml:space="preserve">SRL a formulat recurs împotriva Sentinţei civile nr. </w:t>
      </w:r>
      <w:r w:rsidR="00477EEE">
        <w:t xml:space="preserve">...... </w:t>
      </w:r>
      <w:r>
        <w:t xml:space="preserve">din data de </w:t>
      </w:r>
      <w:r w:rsidR="00477EEE">
        <w:t xml:space="preserve">........... </w:t>
      </w:r>
      <w:r>
        <w:t xml:space="preserve"> pronunţată de Tribunalul </w:t>
      </w:r>
      <w:r w:rsidR="00CA307F">
        <w:t xml:space="preserve"> </w:t>
      </w:r>
      <w:r w:rsidR="00A02D34">
        <w:t xml:space="preserve">............ </w:t>
      </w:r>
      <w:r>
        <w:t xml:space="preserve">- Secţia </w:t>
      </w:r>
      <w:r w:rsidR="00A02D34">
        <w:t xml:space="preserve">............ </w:t>
      </w:r>
      <w:r>
        <w:t xml:space="preserve"> în dosarul nr. </w:t>
      </w:r>
      <w:r w:rsidR="00CA307F">
        <w:t>1</w:t>
      </w:r>
      <w:r>
        <w:t>, în temeiul art. 55 alin. (3) si (5) din Legea nr. 101/2016, cu modificările şi completările ulterioare, coroborate cu cele ale art. 488 alin. (1) pct. 6 şi 8 C.proc.civ.</w:t>
      </w:r>
    </w:p>
    <w:p w:rsidR="005C346E" w14:paraId="41ABAB41" w14:textId="7161C936">
      <w:pPr>
        <w:ind w:firstLine="567"/>
        <w:jc w:val="both"/>
      </w:pPr>
      <w:r>
        <w:t xml:space="preserve">În fapt, prin acţiunea ce a făcut obiectul judecăţii, a solicitat instanţei de judecată ca, prin hotărârea ce o va pronunţa, să dispună anularea deciziei UAT judeţul </w:t>
      </w:r>
      <w:r w:rsidR="00CA307F">
        <w:t>A</w:t>
      </w:r>
      <w:r w:rsidR="00A02D34">
        <w:t xml:space="preserve">............ </w:t>
      </w:r>
      <w:r>
        <w:t xml:space="preserve">privind executarea garanţiei de bună execuţie în cuantum de 205.322,75 lei, comunicată prin adresa înregistrată sub nr. </w:t>
      </w:r>
      <w:r w:rsidR="00477EEE">
        <w:t xml:space="preserve">2 </w:t>
      </w:r>
      <w:r>
        <w:t>din 01.02.2016, precum şi obligarea instituţiei intimate la restituirea sumei de 205.322,75 lei, reprezentând contravaloarea parţială a garanţiei de bună execuţie.</w:t>
      </w:r>
    </w:p>
    <w:p w:rsidR="005C346E" w14:paraId="71D5B660" w14:textId="77777777">
      <w:pPr>
        <w:ind w:firstLine="567"/>
        <w:jc w:val="both"/>
      </w:pPr>
      <w:r>
        <w:t>În susţinerea celor solicitate, a arătat primei instanţe că, în cauză, nu sunt îndeplinite condiţiile contractuale şi legislative cumulative pentru ca autoritatea contractantă să poată exercita dreptul legal şi contractual privind reţinerea garanţiei de bună execuţie, respectiv:</w:t>
      </w:r>
    </w:p>
    <w:p w:rsidR="005C346E" w14:paraId="2EC271F1" w14:textId="77777777">
      <w:pPr>
        <w:ind w:firstLine="567"/>
        <w:jc w:val="both"/>
      </w:pPr>
      <w:r>
        <w:t>-</w:t>
      </w:r>
      <w:r>
        <w:tab/>
        <w:t>Dovada prejudiciului creat în patrimoniul autorităţii contractante;</w:t>
      </w:r>
    </w:p>
    <w:p w:rsidR="005C346E" w14:paraId="749A0822" w14:textId="77777777">
      <w:pPr>
        <w:ind w:firstLine="567"/>
        <w:jc w:val="both"/>
      </w:pPr>
      <w:r>
        <w:t>-</w:t>
      </w:r>
      <w:r>
        <w:tab/>
        <w:t>Neîndeplinirea, îndeplinirea cu întârziere sau necorespunzător şi culpabil, de către furnizor, a obligaţiilor contractuale.</w:t>
      </w:r>
    </w:p>
    <w:p w:rsidR="005C346E" w14:paraId="5436FB88" w14:textId="77777777">
      <w:pPr>
        <w:ind w:firstLine="567"/>
        <w:jc w:val="both"/>
      </w:pPr>
      <w:r>
        <w:t>1. Temeinicia recursului formulat. Sentinţa pronunţată este nelegală în raport de motivele de recurs prevăzute de dispoziţiile art. 488 alin. (1) pct. 6 şi 8 C.proc.civ.</w:t>
      </w:r>
    </w:p>
    <w:p w:rsidR="005C346E" w14:paraId="5C5C81EC" w14:textId="77777777">
      <w:pPr>
        <w:ind w:firstLine="567"/>
        <w:jc w:val="both"/>
      </w:pPr>
      <w:r>
        <w:t>1.1. Hotărârea recurată este nemotivată/insuficient motivată - motivul de recurs prevăzut de art. 488 alin.(l) pct. 6 C.proc.civ. - Instanţa de fond nu a analizat ansamblul criticilor de nelegalitate deduse judecăţii prin acţiunea în anulare şi nici întreg probatoriul relevant pentru cercetarea fondului cauzei</w:t>
      </w:r>
    </w:p>
    <w:p w:rsidR="005C346E" w14:paraId="63F11BB1" w14:textId="77777777">
      <w:pPr>
        <w:ind w:firstLine="567"/>
        <w:jc w:val="both"/>
      </w:pPr>
      <w:r>
        <w:t>Astfel, în conformitate cu dispoziţiile art. 425 C. proc. civ., se desprinde concluzia că o hotărâre trebuie să conţină obligatoriu motivarea în fapt şi în drept a soluţiei pronunţate, atât în ceea ce priveşte motivele pentru care s-au admis susţinerile unei părţi, cât şi cele pentru care s-au înlăturat susţinerile celeilalte. Iar dacă sunt mai multe părţi cu calităţi distincte, motivarea trebuie să vizeze soluţia pentru fiecare dintre acestea.</w:t>
      </w:r>
    </w:p>
    <w:p w:rsidR="005C346E" w14:paraId="33C030CA" w14:textId="77777777">
      <w:pPr>
        <w:ind w:firstLine="567"/>
        <w:jc w:val="both"/>
      </w:pPr>
      <w:r>
        <w:t>În sensul prevederilor legale, instanţa de judecată este ţinută ca prin hotărârea pronunţată să răspundă tuturor cererilor şi motivelor invocate de părţi. Totodată, pentru ca motivarea soluţiei pronunţate să fie aptă a da eficienţă dreptului la apărare, prin acordarea posibilităţii părţilor de a înţelege raţionamentul avut în vedere de instanţă la pronunţarea hotărârii, este necesar ca această motivare să fie suficient de detaliată pentru a permite justiţiabililor să urmărească etapele raţionamentului logic aplicat de instanţă.</w:t>
      </w:r>
    </w:p>
    <w:p w:rsidR="005C346E" w14:paraId="6F1C86E7" w14:textId="77777777">
      <w:pPr>
        <w:ind w:firstLine="567"/>
        <w:jc w:val="both"/>
      </w:pPr>
      <w:r>
        <w:t>În speţă, motivarea hotărârii recurate este superficială, instanţa de fond omiţând a analiza toate argumentele şi probele evocate de subscrisa prin cererea de chemare în judecată.</w:t>
      </w:r>
    </w:p>
    <w:p w:rsidR="005C346E" w14:paraId="34703DBC" w14:textId="77777777">
      <w:pPr>
        <w:ind w:firstLine="567"/>
        <w:jc w:val="both"/>
      </w:pPr>
      <w:r>
        <w:t>I. În concret, pentru a solicita admiterea acţiunii, am arătat instanţei de judecată că nu erau îndeplinite condiţiile pentru a se reţine această garanţie de buna execuţie. Aşa cum vom arăta, analiza instanţei s-a mărginit la a expune prevederile contractuale şi a valida sau înlătura o serie de probe administrate în dosar, fără însă a observa dacă, concret:</w:t>
      </w:r>
    </w:p>
    <w:p w:rsidR="005C346E" w14:paraId="50FD2BD7" w14:textId="6CDC2863">
      <w:pPr>
        <w:ind w:firstLine="567"/>
        <w:jc w:val="both"/>
      </w:pPr>
      <w:r>
        <w:t>i)</w:t>
      </w:r>
      <w:r>
        <w:tab/>
      </w:r>
      <w:r w:rsidR="00477EEE">
        <w:t xml:space="preserve"> </w:t>
      </w:r>
      <w:r>
        <w:t>erau îndeplinite condiţiile legale şi contractuale pentru a se proceda la</w:t>
      </w:r>
      <w:r>
        <w:br/>
        <w:t>reţinerea garanţiei, respectiv daca</w:t>
      </w:r>
    </w:p>
    <w:p w:rsidR="005C346E" w14:paraId="1B87A914" w14:textId="55064C8F">
      <w:pPr>
        <w:ind w:firstLine="567"/>
        <w:jc w:val="both"/>
      </w:pPr>
      <w:r>
        <w:t>ii)</w:t>
      </w:r>
      <w:r w:rsidR="00477EEE">
        <w:t xml:space="preserve"> </w:t>
      </w:r>
      <w:r>
        <w:t>există un prejudiciu.</w:t>
      </w:r>
    </w:p>
    <w:p w:rsidR="005C346E" w14:paraId="3E6E332A" w14:textId="77777777">
      <w:pPr>
        <w:ind w:firstLine="567"/>
        <w:jc w:val="both"/>
      </w:pPr>
      <w:r>
        <w:t>În esenţă, în speţă, nu ne aflăm în ipoteza unei neîndepliniri culpabile a obligaţiilor contractuale şi nici nu există un prejudiciu.</w:t>
      </w:r>
    </w:p>
    <w:p w:rsidR="005C346E" w14:paraId="24ADB65D" w14:textId="010AD276">
      <w:pPr>
        <w:ind w:firstLine="567"/>
        <w:jc w:val="both"/>
      </w:pPr>
      <w:r>
        <w:t xml:space="preserve">Actul a cărui anulare o solicită este rodul unei conduite nelegale şi abuzive a autorităţii, care a ignorat complet mecanismele contractuale agreate care le permiteau modificarea produselor şi/sau livrarea cu întârziere. Mai mult, încă anterior organizării recepţiei în vederea preluării utilajelor (când nici măcar nu se verificase documentele tehnice şi îndeplinirea condiţiilor contractuale), autoritatea a decis să organizeze o noua licitaţie pentru achiziţionarea aceloraşi echipamente, pretinzând eronat că ar exista un prejudiciu. în fapt, ulterior respingerii complet nelegale a recepţiei echipamentelor, Consiliul Judeţean a achiziţionat aceleaşi utilaje ca cele propuse, dovadă în acest sens fiind cărţile de identificare a autovehiculelor, precum şi facturile fiscale emise către </w:t>
      </w:r>
      <w:r w:rsidR="00477EEE">
        <w:t xml:space="preserve">3 </w:t>
      </w:r>
      <w:r>
        <w:t xml:space="preserve">SA, ignorate complet de prima instanţă. în acelaşi sens, faţă de presupusele corecţii financiare la care putea fi supusă autoritatea contractantă ca urmare a recepţionăm unor echipamente având caracteristici superioare celor ofertate iniţial, am depus la dosarul cauzei o serie de înscrisuri prin care am </w:t>
      </w:r>
      <w:r>
        <w:t xml:space="preserve">făcut dovada că am acordat UAT Judeţul </w:t>
      </w:r>
      <w:r w:rsidR="00CA307F">
        <w:t>A</w:t>
      </w:r>
      <w:r w:rsidR="00A02D34">
        <w:t xml:space="preserve">............ </w:t>
      </w:r>
      <w:r>
        <w:t xml:space="preserve">toate garanţiile posibile împotriva oricărui posibil prejudiciu/corecţii/interpretări contrare/etc. (pct. III din adresa înregistrată la CJ </w:t>
      </w:r>
      <w:r w:rsidR="00CA307F">
        <w:t>A</w:t>
      </w:r>
      <w:r w:rsidR="00A02D34">
        <w:t xml:space="preserve">............ </w:t>
      </w:r>
      <w:r>
        <w:t xml:space="preserve">sub nr. </w:t>
      </w:r>
      <w:r w:rsidR="00477EEE">
        <w:t xml:space="preserve">4 </w:t>
      </w:r>
      <w:r>
        <w:t>/28.12.2015).</w:t>
      </w:r>
    </w:p>
    <w:p w:rsidR="005C346E" w14:paraId="3739DB09" w14:textId="75D38B25">
      <w:pPr>
        <w:ind w:firstLine="567"/>
        <w:jc w:val="both"/>
      </w:pPr>
      <w:r>
        <w:t xml:space="preserve">În ceea ce priveşte prejudiciul, acesta nu exista. De altfel, chiar autoritatea a menţionat în cuprinsul Documentului constatator nr. </w:t>
      </w:r>
      <w:r w:rsidR="00477EEE">
        <w:t xml:space="preserve">5/29.01.2016 </w:t>
      </w:r>
      <w:r>
        <w:t xml:space="preserve">că nu se pune problema existenţei unui prejudiciu, menţiunea fiind - nu este cazul. în acest sens, s-a pronunţat definitiv şi Tribunalul </w:t>
      </w:r>
      <w:r w:rsidR="00A02D34">
        <w:t>T</w:t>
      </w:r>
      <w:r w:rsidR="00CA307F">
        <w:t xml:space="preserve"> </w:t>
      </w:r>
      <w:r w:rsidR="00A02D34">
        <w:t xml:space="preserve"> </w:t>
      </w:r>
      <w:r>
        <w:t>, în dosarul având ca obiect anularea certificatului constatator.</w:t>
      </w:r>
    </w:p>
    <w:p w:rsidR="005C346E" w14:paraId="4194CC86" w14:textId="77777777">
      <w:pPr>
        <w:ind w:firstLine="567"/>
        <w:jc w:val="both"/>
      </w:pPr>
      <w:r>
        <w:t>II. Aşadar, ignorând criticile de nelegalitate şi argumentele formulate de societatea noastră, întreaga analiză a primei instanţe se mărgineşte la a enumera o serie de prevederi contractuale, o parte din corespondenţa purtată de părţi, concluzia fiind aceea că acţiunea de anulare a deciziei autorităţii contractante de executare a garanţiei de bună execuţie este neîntemeiată.</w:t>
      </w:r>
    </w:p>
    <w:p w:rsidR="005C346E" w14:paraId="04770BDF" w14:textId="77777777">
      <w:pPr>
        <w:ind w:firstLine="567"/>
        <w:jc w:val="both"/>
      </w:pPr>
      <w:r>
        <w:t>Prima instanţă nu a analizat/a analizat insuficient:</w:t>
      </w:r>
    </w:p>
    <w:p w:rsidR="005C346E" w14:paraId="660F1FA9" w14:textId="77777777">
      <w:pPr>
        <w:ind w:firstLine="567"/>
        <w:jc w:val="both"/>
      </w:pPr>
      <w:r>
        <w:t>i.</w:t>
      </w:r>
      <w:r>
        <w:tab/>
        <w:t>Concluzia instanţei în sensul că, contractul de furnizare face parte integrantă</w:t>
      </w:r>
      <w:r>
        <w:br/>
        <w:t>din proiectul îmbunătăţirea managementului situaţiilor de urgenţă şi faptul că,</w:t>
      </w:r>
      <w:r>
        <w:br/>
        <w:t>cheltuielile erau neeligibile conform acestui contract (fila 12) este complet</w:t>
      </w:r>
      <w:r>
        <w:br/>
        <w:t>nejustificată şi nemotivată, nefiind indicată nicio prevedere care să justifice</w:t>
      </w:r>
      <w:r>
        <w:br/>
        <w:t>susţinerea. Subscrisa nu este parte în contractul de finanţare şi niciunde în</w:t>
      </w:r>
      <w:r>
        <w:br/>
        <w:t>contractul de furnizare nu se menţionează că documentul este parte</w:t>
      </w:r>
      <w:r>
        <w:br/>
        <w:t>integranta. Mai mult, nu a fost declarată cheltuiala neeligibilă.</w:t>
      </w:r>
    </w:p>
    <w:p w:rsidR="005C346E" w14:paraId="6D3E7254" w14:textId="77777777">
      <w:pPr>
        <w:ind w:firstLine="567"/>
        <w:jc w:val="both"/>
      </w:pPr>
      <w:r>
        <w:t>ii.</w:t>
      </w:r>
      <w:r>
        <w:tab/>
        <w:t>Instanţa nu stabileşte niciunde în ce a constat fapta aşa-zis ilicită a reclamantei,</w:t>
      </w:r>
      <w:r>
        <w:br/>
        <w:t>cu alte cuvinte în ce a constat concret neexecutarea. în realitate, dacă s-ar fi</w:t>
      </w:r>
      <w:r>
        <w:br/>
        <w:t>analizat întreg materialul probator s-ar fi observat că utilajele au fost fabricate</w:t>
      </w:r>
      <w:r>
        <w:br/>
        <w:t>şi erau pregătite spre livrare. Autospecialele cu scară respectau cerinţele legale</w:t>
      </w:r>
      <w:r>
        <w:br/>
        <w:t>şi contractuale, iar autospecialele cu spumă au fost modificate conform</w:t>
      </w:r>
      <w:r>
        <w:br/>
        <w:t>cerinţelor caietului de sarcini, în temeiul contractului. În mod eronat s-a afirmat</w:t>
      </w:r>
      <w:r>
        <w:br/>
        <w:t>de către autoritate că nu a existat o livrare.</w:t>
      </w:r>
    </w:p>
    <w:p w:rsidR="005C346E" w14:paraId="0FB4FBDA" w14:textId="77777777">
      <w:pPr>
        <w:ind w:firstLine="567"/>
        <w:jc w:val="both"/>
      </w:pPr>
      <w:r>
        <w:t>iii.</w:t>
      </w:r>
      <w:r>
        <w:tab/>
        <w:t>Concluzia instanţei privind încălcarea principiilor nediscriminării şi al</w:t>
      </w:r>
      <w:r>
        <w:br/>
        <w:t>tratamentului legal (pagina 13 din hotărâre) nu este niciunde argumentată.</w:t>
      </w:r>
      <w:r>
        <w:br/>
        <w:t>Instanţa enumera prevederile legale, dar omite complet să observe că</w:t>
      </w:r>
      <w:r>
        <w:br/>
        <w:t>incidenţa lor nu se pune în discuţie în acest stadiu şi faţă de obiectul acţiunii;</w:t>
      </w:r>
      <w:r>
        <w:br/>
        <w:t>mai mult, omite să observe că, factual, nu a existat niciun alt participant la</w:t>
      </w:r>
      <w:r>
        <w:br/>
        <w:t>licitaţie. Reclamanta a fost singura care a participat, după ce autoritatea a</w:t>
      </w:r>
      <w:r>
        <w:br/>
        <w:t>modificat de 3 ori caietul de sarcini, fiind limpede că nu se urmarea o</w:t>
      </w:r>
      <w:r>
        <w:br/>
        <w:t>trasabilitate anume a aceluiaşi produs, eventualele modificări fiind oricum</w:t>
      </w:r>
      <w:r>
        <w:br/>
        <w:t>nesubstanţiale. însăşi ANAP, prin adresa emisă, învederează aceeaşi soluţie -</w:t>
      </w:r>
      <w:r>
        <w:br/>
        <w:t>aspect omis în analiză.</w:t>
      </w:r>
    </w:p>
    <w:p w:rsidR="005C346E" w14:paraId="2D2E8D13" w14:textId="77777777">
      <w:pPr>
        <w:ind w:firstLine="567"/>
        <w:jc w:val="both"/>
      </w:pPr>
      <w:r>
        <w:t>iv.</w:t>
      </w:r>
      <w:r>
        <w:tab/>
        <w:t>Argumentele reclamantei în sensul că recepţia echipamentelor era permisă</w:t>
      </w:r>
      <w:r>
        <w:br/>
        <w:t>expres de dispoziţiile contractuale şi legale. Pe de o parte, noile dimensiuni</w:t>
      </w:r>
      <w:r>
        <w:br/>
        <w:t>încadrându-se în situaţia modificărilor nesubstanţiale pentru care nu era</w:t>
      </w:r>
      <w:r>
        <w:br/>
        <w:t>necesară reluarea procedurii de atribuire; în acest sens, am evocat Directiva nr.</w:t>
      </w:r>
      <w:r>
        <w:br/>
        <w:t>2014/24/UE, Ordinul Comun nr. 543/2.366/1.446/1.489/1.446/879/2013 şi</w:t>
      </w:r>
      <w:r>
        <w:br/>
        <w:t>jurisprudenţa CJUE. Pe de altă parte, art. 13 din Contract, pe care chiar instanţa</w:t>
      </w:r>
      <w:r>
        <w:br/>
        <w:t>îl enumera, dar omite să îl valorifice, arată că se putea efectua modificarea</w:t>
      </w:r>
      <w:r>
        <w:br/>
        <w:t>utilajelor, lucru ce subscrisa am arătat că îl efectuăm. De asemenea,</w:t>
      </w:r>
      <w:r>
        <w:br/>
        <w:t>mecanismul contractual agreat permite întârzierea în livrarea produselor, sub</w:t>
      </w:r>
      <w:r>
        <w:br/>
        <w:t>sancţiunea penalităţilor (art. 11, reţinut de asemenea de instanţă, dar complet</w:t>
      </w:r>
      <w:r>
        <w:br/>
        <w:t>omis în analiză). Autoritatea însă a ignorat complet contractul şi a decis absolut</w:t>
      </w:r>
      <w:r>
        <w:br/>
        <w:t>abuziv că societatea nu a livrat produsele.</w:t>
      </w:r>
    </w:p>
    <w:p w:rsidR="005C346E" w14:paraId="6DE6D230" w14:textId="16CF6281">
      <w:pPr>
        <w:ind w:firstLine="567"/>
        <w:jc w:val="both"/>
      </w:pPr>
      <w:r>
        <w:t>v.</w:t>
      </w:r>
      <w:r>
        <w:tab/>
        <w:t>Posibilitatea suportării din bugetul propriu a unor cheltuieli aferente executării</w:t>
      </w:r>
      <w:r>
        <w:br/>
        <w:t>Contractului încheiat a fost decisă şi acceptată de către Autoritatea</w:t>
      </w:r>
      <w:r>
        <w:br/>
      </w:r>
      <w:r>
        <w:t>Contractantă anterior refuzului recepţionării echipamentelor noastre. în acest</w:t>
      </w:r>
      <w:r>
        <w:br/>
        <w:t xml:space="preserve">sens, în cadrul şedinţei Consiliului Judeţean </w:t>
      </w:r>
      <w:r w:rsidR="00CA307F">
        <w:t>A</w:t>
      </w:r>
      <w:r w:rsidR="00A02D34">
        <w:t xml:space="preserve">............ </w:t>
      </w:r>
      <w:r>
        <w:t>din data de 22.12.2015,</w:t>
      </w:r>
      <w:r>
        <w:br/>
        <w:t xml:space="preserve">s-a adoptat Hotărârea nr. </w:t>
      </w:r>
      <w:r w:rsidR="00477EEE">
        <w:t>6</w:t>
      </w:r>
      <w:r>
        <w:t>. Iar recepţia fusese programata cu 2 zile mai</w:t>
      </w:r>
      <w:r>
        <w:br/>
        <w:t>târziu. Este absolut surprinzător şi abuziv cum autoritatea a decis să procedeze</w:t>
      </w:r>
      <w:r>
        <w:br/>
        <w:t>în privinţa contractului, când nici măcar nu avusese loc întâlnirea în vederea</w:t>
      </w:r>
      <w:r>
        <w:br/>
        <w:t>recepţiei. Mai mult, la recepţie, beneficiarul concret al utilajelor a arătat că</w:t>
      </w:r>
      <w:r>
        <w:br/>
        <w:t>acestea corespund cerinţelor. Deopotrivă, soluţiile legale şi contractuale care</w:t>
      </w:r>
      <w:r>
        <w:br/>
        <w:t>permiteau livrarea au fost complet ignorate.</w:t>
      </w:r>
    </w:p>
    <w:p w:rsidR="005C346E" w14:paraId="4B1A75CC" w14:textId="77777777">
      <w:pPr>
        <w:ind w:firstLine="567"/>
        <w:jc w:val="both"/>
      </w:pPr>
      <w:r>
        <w:t>vi.</w:t>
      </w:r>
      <w:r>
        <w:tab/>
        <w:t>Argumentele privind încheierea cu întârziere a Contractului de</w:t>
      </w:r>
      <w:r>
        <w:br/>
        <w:t>furnizare a echipamentelor, ca urmare a organizării unor licitaţii neadjudecate</w:t>
      </w:r>
      <w:r>
        <w:br/>
        <w:t>de niciun Furnizor din cauza cerinţelor tehnice eronate. În acest sens, a depus</w:t>
      </w:r>
      <w:r>
        <w:br/>
        <w:t>la dosar documente din care rezultă că Autoritatea a organizat nu mai puţin de</w:t>
      </w:r>
      <w:r>
        <w:br/>
        <w:t>4 licitaţii, fiecare cu cerinţe tehnice diferite.</w:t>
      </w:r>
    </w:p>
    <w:p w:rsidR="005C346E" w14:paraId="5125DE69" w14:textId="59B8CE2A">
      <w:pPr>
        <w:ind w:firstLine="567"/>
        <w:jc w:val="both"/>
      </w:pPr>
      <w:r>
        <w:t>vii.</w:t>
      </w:r>
      <w:r>
        <w:tab/>
        <w:t>Toate aceste argumente se subsumau practic ideei că reţinerea garanţiei s-a</w:t>
      </w:r>
      <w:r>
        <w:br/>
        <w:t xml:space="preserve">realizat fără să fie îndeplinite condiţiile existenţei unei abateri grave, a vreunei culpe în executarea obligaţiilor asumate şi a unui prejudiciu cert şi actual. Interpretarea dispoziţiilor legale în acest sens este confirmată de însăşi Autoritatea cu atribuţii specifice achiziţiilor publice, care, urmare a Adresei nr. </w:t>
      </w:r>
      <w:r w:rsidR="00477EEE">
        <w:t>7</w:t>
      </w:r>
      <w:r>
        <w:t xml:space="preserve">/06.01.2016 transmise de Consiliul Judeţean </w:t>
      </w:r>
      <w:r w:rsidR="00CA307F">
        <w:t>A</w:t>
      </w:r>
      <w:r w:rsidR="00A02D34">
        <w:t xml:space="preserve">............ </w:t>
      </w:r>
      <w:r>
        <w:t xml:space="preserve">, a admis explicit posibilitatea recepţionării utilajelor conform gabaritelor nou comunicate de producător, respectiv a confirmat existenţa unor mecanisme contractuale specifice în cazul întârzierii în livrarea echipamentelor. în acest sens, am depus la dosar Adresa ANPAP nr. </w:t>
      </w:r>
      <w:r w:rsidR="00477EEE">
        <w:t>8</w:t>
      </w:r>
      <w:r>
        <w:t>/28.01.2016.</w:t>
      </w:r>
    </w:p>
    <w:p w:rsidR="005C346E" w14:paraId="34D2510A" w14:textId="1050ED10">
      <w:pPr>
        <w:ind w:firstLine="567"/>
        <w:jc w:val="both"/>
      </w:pPr>
      <w:r>
        <w:t>viii.</w:t>
      </w:r>
      <w:r>
        <w:tab/>
        <w:t>Deopotrivă, trebuia observat că prin reluarea procedurii de atribuire pentru</w:t>
      </w:r>
      <w:r>
        <w:br/>
        <w:t xml:space="preserve">aceste utilaje, prin publicarea Anunţului de participare nr. </w:t>
      </w:r>
      <w:r w:rsidR="00477EEE">
        <w:t>9</w:t>
      </w:r>
      <w:r>
        <w:t>/14.01.2016,</w:t>
      </w:r>
      <w:r>
        <w:br/>
        <w:t>Autoritatea contractantă a achiziţionat exact aceleaşi echipamente a căror</w:t>
      </w:r>
      <w:r>
        <w:br/>
        <w:t>recepţie a refuzat-o din partea subscrisei (a se vedea documentele tehnice de</w:t>
      </w:r>
      <w:r>
        <w:br/>
        <w:t>identificare a utilajelor, care menţionează denumirea societăţii noastre), aspect</w:t>
      </w:r>
      <w:r>
        <w:br/>
        <w:t>care dovedeşte pe deplin că refuzul de recepţionare al echipamentelor livrate</w:t>
      </w:r>
      <w:r>
        <w:br/>
        <w:t>de subscrisa, a fost abuziv şi nejustificat.</w:t>
      </w:r>
    </w:p>
    <w:p w:rsidR="005C346E" w14:paraId="037BBFE2" w14:textId="77777777">
      <w:pPr>
        <w:ind w:firstLine="567"/>
        <w:jc w:val="both"/>
      </w:pPr>
      <w:r>
        <w:t>ix.</w:t>
      </w:r>
      <w:r>
        <w:tab/>
        <w:t>Instanţa nu analizează niciunde condiţia existenţei prejudiciului. De altfel, se</w:t>
      </w:r>
      <w:r>
        <w:br/>
        <w:t>omite complet conţinutul Documentului constatator în care autoritatea a</w:t>
      </w:r>
      <w:r>
        <w:br/>
        <w:t>precizat că nu este cazul de vreun prejudiciu. Mai mult, chiar instanţa reţine la</w:t>
      </w:r>
      <w:r>
        <w:br/>
        <w:t>fila 12 ca pretenţiile asupra garanţiei se pot formula doar în limita prejudiciului</w:t>
      </w:r>
      <w:r>
        <w:br/>
        <w:t>creat.</w:t>
      </w:r>
    </w:p>
    <w:p w:rsidR="005C346E" w14:paraId="3D7CED03" w14:textId="77777777">
      <w:pPr>
        <w:ind w:firstLine="567"/>
        <w:jc w:val="both"/>
      </w:pPr>
      <w:r>
        <w:t>III.     Analiza instanţei de fond asupra aspectelor menţionate supra lipseşte cu desăvârşire.</w:t>
      </w:r>
    </w:p>
    <w:p w:rsidR="005C346E" w14:paraId="7C9D507F" w14:textId="77777777">
      <w:pPr>
        <w:ind w:firstLine="567"/>
        <w:jc w:val="both"/>
      </w:pPr>
      <w:r>
        <w:t>Pe de o parte, deşi instanţa de fond a fost sesizată cu mai multe aspecte legate de fondul dreptului dedus judecăţii, sens în care au fost administrate probe suficiente, Tribunalul s-a pronunţat numai cu privire la parte din acestea, lăsând necercetat practic fondul raportului juridic dedus judecăţii. Or, în virtutea principiului aflării adevărului, al rolului activ al instanţei în vederea stabilirii corecte a faptelor şi a aplicării corecte a legii, cercetarea fondului semnifică o verificare amănunţită a tuturor probelor necesare stabilirii situaţiei de fapt şi a soluţionării cauzei în limita argumentelor deduse judecăţii, prin verificarea punctuală a acestora;</w:t>
      </w:r>
    </w:p>
    <w:p w:rsidR="005C346E" w14:paraId="3A26121F" w14:textId="77777777">
      <w:pPr>
        <w:ind w:firstLine="567"/>
        <w:jc w:val="both"/>
      </w:pPr>
      <w:r>
        <w:t>Pe de altă parte, sub aspectul criticilor de nelegalitate formulate de subscrisa şi neanalizate de Tribunal, trebuie observat ca acţiunea introductivă formează un tot unitar, neexistând argumente pe fondul cauzei care să fie alternative, în lipsa invocării unei excepţii procesuale aşa cum am arătat. Instanţa de fond avea obligaţia pronunţării asupra tuturor motivelor invocate de societatea noastră ce formau deopotrivă „fondul cauzei". Necercetarea raportului juridic dedus judecăţii, parte din fondul dedus judecăţii, echivalează, în egală măsură, cu o nepronunţare asupra fondului cauzei;</w:t>
      </w:r>
    </w:p>
    <w:p w:rsidR="005C346E" w14:paraId="6191FE02" w14:textId="77777777">
      <w:pPr>
        <w:ind w:firstLine="567"/>
        <w:jc w:val="both"/>
      </w:pPr>
      <w:r>
        <w:t>În concluzie, în contextul neanalizării argumentelor invocate de subscrisa în susţinerea nelegalităţii deciziei privind reţinerea garanţiei de bună execuţie, soluţia instanţei de fond este insuficient şi necorespunzător motivată, considerentele incomplete expuse de prima instanţă neputând constitui o argumentaţie pertinentă şi detaliată, care să ofere părţilor posibilitatea înţelegerii raţionamentului avut în vedere de instanţă în reţinerea soluţiei de respingere a acţiunii.</w:t>
      </w:r>
    </w:p>
    <w:p w:rsidR="005C346E" w14:paraId="38CA8F42" w14:textId="77777777">
      <w:pPr>
        <w:ind w:firstLine="567"/>
        <w:jc w:val="both"/>
      </w:pPr>
      <w:r>
        <w:t>1.2.   Hotărârea a fost dată cu încălcarea şi aplicarea greşită a normelor de drept material - motivul de recurs prevăzut de art. 488 pet. 8 Cod proc.civ.</w:t>
      </w:r>
    </w:p>
    <w:p w:rsidR="005C346E" w14:paraId="4DE6AC78" w14:textId="77777777">
      <w:pPr>
        <w:ind w:firstLine="567"/>
        <w:jc w:val="both"/>
      </w:pPr>
      <w:r>
        <w:t>In conformitate cu prevederile art. 89 alin. (1) din HG nr. 925/2006, act normativ în vigoare la data derulării contractului de furnizare, „Garanţia de buna execuţie a contractului se constituie de către contractant în scopul asigurării autorităţii contractante de îndeplinirea cantitativă, calitativă şi în perioada convenită a contractului/'</w:t>
      </w:r>
    </w:p>
    <w:p w:rsidR="005C346E" w14:paraId="25735B1A" w14:textId="77777777">
      <w:pPr>
        <w:ind w:firstLine="567"/>
        <w:jc w:val="both"/>
      </w:pPr>
      <w:r>
        <w:t>De asemenea, potrivit dispoziţiilor art. 91 din acelaşi act normativ, „Autoritatea contractantă are dreptul de a emite pretenţii asupra garanţiei de buna execuţie, oricând pe parcursul îndeplinirii contractului, ÎN LIMITA PREJUDICIULUI CREAT, în cazul în care contractantul nu îşi îndeplineşte obligaţiile asumate prin contract Anterior emiterii unei pretenţii asupra garanţiei de buna execuţie autoritatea contractantă are obligaţia de a notifica pretenţia contractantului, precizând obligaţiile care nu au fost respectate/'</w:t>
      </w:r>
    </w:p>
    <w:p w:rsidR="005C346E" w14:paraId="557AB050" w14:textId="77777777">
      <w:pPr>
        <w:ind w:firstLine="567"/>
        <w:jc w:val="both"/>
      </w:pPr>
      <w:r>
        <w:t>În aplicarea prevederilor legale de mai sus, părţile semnatare ale contractului de furnizare au stabilit, la clauza 12.3 din Clauze specifice, următoarele:</w:t>
      </w:r>
    </w:p>
    <w:p w:rsidR="005C346E" w14:paraId="5ECACBEC" w14:textId="77777777">
      <w:pPr>
        <w:ind w:firstLine="567"/>
        <w:jc w:val="both"/>
      </w:pPr>
      <w:r>
        <w:t>„Achizitorul are dreptul de a emite pretenţii asupra garanţiei de bună execuţie, în limita prejudiciului creat, dacă furnizorul nu îşi îndeplineşte, nu îşi execută, execută cu întârziere sau execută necorespunzător obligaţiile asumate prin prezentul contract.</w:t>
      </w:r>
    </w:p>
    <w:p w:rsidR="005C346E" w14:paraId="24FDF4ED" w14:textId="77777777">
      <w:pPr>
        <w:ind w:firstLine="567"/>
        <w:jc w:val="both"/>
      </w:pPr>
      <w:r>
        <w:t>Anterior emiterii unei pretenţii asupra garanţiei de bună execuţie, achizitorul are obligaţia de a notifica acest lucru furnizorului, precizând totodată obligaţiile care nu au fost respectate."</w:t>
      </w:r>
    </w:p>
    <w:p w:rsidR="005C346E" w14:paraId="3DA9F9EB" w14:textId="77777777">
      <w:pPr>
        <w:ind w:firstLine="567"/>
        <w:jc w:val="both"/>
      </w:pPr>
      <w:r>
        <w:t>Din interpretarea celor mai sus menţionate, pentru ca Autoritatea contractantă să-şi exercite dreptul legal şi contractual este necesar a fi îndeplinite cumulativ următoarele condiţii:</w:t>
      </w:r>
    </w:p>
    <w:p w:rsidR="005C346E" w14:paraId="3CE593B3" w14:textId="77777777">
      <w:pPr>
        <w:ind w:firstLine="567"/>
        <w:jc w:val="both"/>
      </w:pPr>
      <w:r>
        <w:t>Neîndeplinirea, îndeplinirea cu întârziere sau necorespunzător de către furnizor a obligaţiilor contractuale;</w:t>
      </w:r>
    </w:p>
    <w:p w:rsidR="005C346E" w14:paraId="4E600003" w14:textId="77777777">
      <w:pPr>
        <w:ind w:firstLine="567"/>
        <w:jc w:val="both"/>
      </w:pPr>
      <w:r>
        <w:t>Dovada prejudiciului creat în patrimoniul Autorităţii contractante;</w:t>
      </w:r>
    </w:p>
    <w:p w:rsidR="005C346E" w14:paraId="53ED3F97" w14:textId="77777777">
      <w:pPr>
        <w:ind w:firstLine="567"/>
        <w:jc w:val="both"/>
      </w:pPr>
      <w:r>
        <w:t>Notificarea prealabilă a furnizorului.</w:t>
      </w:r>
    </w:p>
    <w:p w:rsidR="005C346E" w14:paraId="4FAD6F27" w14:textId="77777777">
      <w:pPr>
        <w:ind w:firstLine="567"/>
        <w:jc w:val="both"/>
      </w:pPr>
      <w:r>
        <w:t>În considerarea celor mai sus menţionate, în mod eronat a reţinut prima instanţă că societatea este în culpă cu primire la nelivrarea respectivelor utilaje, în condiţiile în care, după cum rezultă din întregul material probator depus la dosarul achiziţiei, autoritatea contractantă a fost cea care a refuzat recepţia acestora, atât pe parcursul derulării contractului, cât şi ulterior, la solicitările societăţii noastre.</w:t>
      </w:r>
    </w:p>
    <w:p w:rsidR="005C346E" w14:paraId="4B8E0934" w14:textId="77777777">
      <w:pPr>
        <w:ind w:firstLine="567"/>
        <w:jc w:val="both"/>
      </w:pPr>
      <w:r>
        <w:t>În acelaşi sens, cu toate că a reţinut că pretenţiile asupra garanţiei de bună execuţie pot fi formulate doar în limita prejudiciului creat, nici autoritatea contractantă şi nici instanţa de judecată nu au evidenţiat actul prin care să fie făcută dovada prejudiciului creat în patrimoniul autorităţii contractante la momentul executării garanţiei de bună execuţie.</w:t>
      </w:r>
    </w:p>
    <w:p w:rsidR="005C346E" w14:paraId="2303E829" w14:textId="77777777">
      <w:pPr>
        <w:ind w:firstLine="567"/>
        <w:jc w:val="both"/>
      </w:pPr>
      <w:r>
        <w:t>Drept urmare, dreptul autorităţii contractante de a emite pretenţii asupra garanţiei de bună execuţie nu poate fi exercitat în mod abuziv, întrucât simpla neîndeplinire a obligaţiilor contractuale nu poate conduce la executarea garanţiei, fără a se face dovada prejudiciului creat. Astfel, dacă în ceea ce priveşte penalităţile de întârziere calculate pentru perioada 21.12.2015-31.12.2015, în contractul de furnizare a fost inserată o clauză penală care scuteşte de dovada prejudiciului pe autoritatea contractantă, în ceea ce priveşte garanţia de bună execuţie părţile şi legislaţia au stabilit în mod clar, că aceasta se poate executa numai în limita unui prejudiciu creat, prejudiciu care nu a fost dovedit în cauză.</w:t>
      </w:r>
    </w:p>
    <w:p w:rsidR="005C346E" w14:paraId="67EE1F52" w14:textId="270FFC64">
      <w:pPr>
        <w:ind w:firstLine="567"/>
        <w:jc w:val="both"/>
      </w:pPr>
      <w:r>
        <w:t xml:space="preserve">Astfel, făcând referire la condiţia prejudiciului creat, prima instanţă arată că la dosarul cauzei a fost depusă adresa nr. </w:t>
      </w:r>
      <w:r w:rsidR="00477EEE">
        <w:t xml:space="preserve">2 </w:t>
      </w:r>
      <w:r>
        <w:t>din 01.02.2016 emisă de autoritatea contractantă prin care motivează necesitatea reţinerii sumei cu titlu de garanţie de bună execuţie şi cuantumul acesteia.</w:t>
      </w:r>
    </w:p>
    <w:p w:rsidR="005C346E" w14:paraId="35346FFF" w14:textId="77777777">
      <w:pPr>
        <w:ind w:firstLine="567"/>
        <w:jc w:val="both"/>
      </w:pPr>
      <w:r>
        <w:t>În acelaşi sens, invocând contractul de finanţare având ca obiect „Implementarea managementului situaţiilor de urgenţă în regiunea transfrontalieră (IMES)", potrivit căruia există obligaţia autorităţii contractante de încadrare a cheltuielilor efectuate în cadrul programului în categoria cheltuielilor eligibile, Tribunalul apreciază că pot fi reţinute elemente concrete legal reglementate faţă de conduita autorităţii contractante, dat fiind că, caracterul neeligibil al cheltuielilor proiectului finanţat din fonduri europene poate fi constatat şi faţă de nerespectarea procedurii de atribuire.</w:t>
      </w:r>
    </w:p>
    <w:p w:rsidR="005C346E" w14:paraId="37B94FFF" w14:textId="77777777">
      <w:pPr>
        <w:ind w:firstLine="567"/>
        <w:jc w:val="both"/>
      </w:pPr>
      <w:r>
        <w:t>Argumentele instanţei, ca teorie, sunt corecte, însă în cauză nu ne aflăm în prezenţa unei corecţii financiare care să impună reţinerea garanţiei de bună execuţie şi, mai mult, la momentul executării acesteia, nu ne aflam în prezenţa unui prejudiciu, în condiţiile în care autoritatea contractantă nici măcar nu iniţiase o nouă procedură pentru suportarea de la bugetul de stat a utilajelor.</w:t>
      </w:r>
    </w:p>
    <w:p w:rsidR="005C346E" w14:paraId="5B3EB29E" w14:textId="5D289A73">
      <w:pPr>
        <w:ind w:firstLine="567"/>
        <w:jc w:val="both"/>
      </w:pPr>
      <w:r>
        <w:t xml:space="preserve">Nu în ultimul rând, din adresa invocată de instanţă (nr. </w:t>
      </w:r>
      <w:r w:rsidR="00477EEE">
        <w:t>2</w:t>
      </w:r>
      <w:r>
        <w:t xml:space="preserve">/01.02.2016), nu rezultă cuantumul prejudiciului creat în patrimoniul autorităţii şi nici că autoritatea de management a declarat neeligibile cheltuielile aferente echipamentelor având caracteristici superioare propuse UAT Judeţul </w:t>
      </w:r>
      <w:r w:rsidR="00CA307F">
        <w:t>A</w:t>
      </w:r>
      <w:r w:rsidR="00A02D34">
        <w:t xml:space="preserve">............ </w:t>
      </w:r>
      <w:r>
        <w:t>, a căror recepţie nu a fost acceptată.</w:t>
      </w:r>
    </w:p>
    <w:p w:rsidR="005C346E" w14:paraId="0F572E18" w14:textId="77777777">
      <w:pPr>
        <w:ind w:firstLine="567"/>
        <w:jc w:val="both"/>
      </w:pPr>
      <w:r>
        <w:t>În aceste condiţii este fără tăgadă că executarea garanţiei s-a realizat fără a exista un prejudiciul în patrimoniul autorităţii, iar această atitudine este contrară prevederilor legale şi contractuale invocate mai sus.</w:t>
      </w:r>
    </w:p>
    <w:p w:rsidR="005C346E" w14:paraId="1E900844" w14:textId="77777777">
      <w:pPr>
        <w:ind w:firstLine="567"/>
        <w:jc w:val="both"/>
      </w:pPr>
      <w:r>
        <w:t>Contrar celor reţinute de prima instanţă, art. 1537 C.civ. instituie două reguli cu privire la proba prejudiciului. în primul rând, întotdeauna sarcina probării prejudiciului aparţine creditorului. în al doilea rând, proba neexecutării nu îl scuteşte pe creditor de sarcina probei prejudiciului, cu excepţia situaţiilor în care prin lege sau convenţia părţilor se prevede altfel, legiuitorul statuând că „Dovada neexecutării obligaţiei nu îl scuteşte pe creditor de proba prejudiciului, (...)."</w:t>
      </w:r>
    </w:p>
    <w:p w:rsidR="005C346E" w14:paraId="1699DF5D" w14:textId="77777777">
      <w:pPr>
        <w:ind w:firstLine="567"/>
        <w:jc w:val="both"/>
      </w:pPr>
      <w:r>
        <w:t>Cu toate ca instanţa de judecată a pus în vedere autorităţii contractante să depună înscrisuri privind dovada prejudiciul creat prin posibila faptă culpabilă a subscrisei, o astfel de dovadă nu a fost făcută, autoritatea nefiind în măsură a preciza în ce constă prejudiciul cauzat prin neexecutarea obligaţiilor contractuale şi nici nu a depus documente în acest sens. Simplul fapt al nelivrării în termen a anumitor echipamente nu poate conduce la concluzia că este obligatorie executarea garanţiei de bună execuţie, în condiţiile în care există mecanismul contractual al penalităţilor de întârziere, mecanism utilizat de către autoritatea contractantă prin perceperea penalităţilor de întârziere în cuantum de 16.860,40 lei.</w:t>
      </w:r>
    </w:p>
    <w:p w:rsidR="005C346E" w14:paraId="281AB147" w14:textId="51A3DB50">
      <w:pPr>
        <w:ind w:firstLine="567"/>
        <w:jc w:val="both"/>
      </w:pPr>
      <w:r>
        <w:t xml:space="preserve">Că este aşa rezultă inclusiv din cele reţinute de Tribunalul </w:t>
      </w:r>
      <w:r w:rsidR="00A02D34">
        <w:t xml:space="preserve">............ </w:t>
      </w:r>
      <w:r>
        <w:t xml:space="preserve">prin Sentinţa civilă nr. </w:t>
      </w:r>
      <w:r w:rsidR="00477EEE">
        <w:t xml:space="preserve">A </w:t>
      </w:r>
      <w:r>
        <w:t xml:space="preserve">din </w:t>
      </w:r>
      <w:r w:rsidR="00477EEE">
        <w:t xml:space="preserve">............. </w:t>
      </w:r>
      <w:r>
        <w:t>, depusă la dosarul cauzei, dar cu privire la care instanţa de fond a omis să se pronunţe, potrivit cărora:</w:t>
      </w:r>
    </w:p>
    <w:p w:rsidR="005C346E" w14:paraId="230FB701" w14:textId="766F7890">
      <w:pPr>
        <w:ind w:firstLine="567"/>
        <w:jc w:val="both"/>
      </w:pPr>
      <w:r>
        <w:t xml:space="preserve">„Cu atât mai mult cu cât aşa cum rezultă, în mod neîndoielnic din documentul constatator primar nr. </w:t>
      </w:r>
      <w:r w:rsidR="00477EEE">
        <w:t xml:space="preserve">5/29.01.2016 </w:t>
      </w:r>
      <w:r>
        <w:t>- pct.9, pârâta nu a constatat producerea vreunui prejudiciu, consemnând sub acest aspect „Nu este cazul".</w:t>
      </w:r>
    </w:p>
    <w:p w:rsidR="005C346E" w14:paraId="2CEC5C69" w14:textId="05C2C143">
      <w:pPr>
        <w:ind w:firstLine="567"/>
        <w:jc w:val="both"/>
      </w:pPr>
      <w:r>
        <w:t xml:space="preserve">Mai mult, prin Hotărârea nr. </w:t>
      </w:r>
      <w:r w:rsidR="00797333">
        <w:t>B</w:t>
      </w:r>
      <w:r>
        <w:t>/</w:t>
      </w:r>
      <w:r w:rsidR="00797333">
        <w:t xml:space="preserve">........... </w:t>
      </w:r>
      <w:r>
        <w:t xml:space="preserve">pronunţată de Tribunalul </w:t>
      </w:r>
      <w:r w:rsidR="00CA307F">
        <w:t xml:space="preserve"> </w:t>
      </w:r>
      <w:r w:rsidR="00A02D34">
        <w:t xml:space="preserve">............ </w:t>
      </w:r>
      <w:r>
        <w:t xml:space="preserve">în dosarul nr. </w:t>
      </w:r>
      <w:r w:rsidR="00CA307F">
        <w:t xml:space="preserve">1.1 </w:t>
      </w:r>
      <w:r>
        <w:t xml:space="preserve">, instanţa a reţinut că „Aşa cum rezultă în mod neîndoielnic din documentul constatator primat nr. </w:t>
      </w:r>
      <w:r w:rsidR="00477EEE">
        <w:t xml:space="preserve">5/29.01.2016 </w:t>
      </w:r>
      <w:r>
        <w:t>- pct. 9, pârâta nu a constatat producerea vreunui prejudiciu, consemnând sub acest aspect "Nu este cazul"", fiind prin urmare la acest moment deja reţinut printr-o hotărâre judecătorească că autoritatea nu a suferit un prejudiciu.</w:t>
      </w:r>
    </w:p>
    <w:p w:rsidR="005C346E" w14:paraId="02A1E0B8" w14:textId="77777777">
      <w:pPr>
        <w:ind w:firstLine="567"/>
        <w:jc w:val="both"/>
      </w:pPr>
      <w:r>
        <w:t xml:space="preserve">Pe de altă parte, prima instanţă în mod eronat a făcut referire la eventuala neeligibilitate a cheltuielilor, în condiţiile în care, aşa cum am arătat prin apărările noastre, în vederea achiziţionării produselor necesare autorităţii contractante au fost derulate mai multe proceduri </w:t>
      </w:r>
      <w:r>
        <w:t>de atribuire, dintre care doua au fost anulate pentru că nu a fost depusă nicio ofertă, iar documentaţia de atribuire a conţinut parametri tehnici referenţiali „L x I x h" cu valori diferite, cu mai multe interpretări tehnice şi inclusiv cu exprimări lingvistice diferite. în aceste condiţii, în care eligibilitatea cheltuielilor nu era ţinută de caracteristicile tehnice ale echipamentelor care trebuia achiziţionate în cadrul proiectului, contrar celor reţinute de Tribunal, daca ar fi fost acceptate echipamentele având caracteristici superioare contravaloarea acestora nu putea fi declarată neeligibilă.</w:t>
      </w:r>
    </w:p>
    <w:p w:rsidR="005C346E" w14:paraId="1736ABA4" w14:textId="10B5BC93">
      <w:pPr>
        <w:ind w:firstLine="567"/>
        <w:jc w:val="both"/>
      </w:pPr>
      <w:r>
        <w:t xml:space="preserve">Nu în ultimul rând, autoritatea publică nu doar că a decis anterior refuzării recepţionării echipamentelor furnizate de subscrisa, organizarea unei noi proceduri cu modificarea caietul de sarcini şi suportarea din fonduri proprii, dar reluând procedura de atribuire pentru aceste utilaje, prin publicarea Anunţului de participare nr. </w:t>
      </w:r>
      <w:r w:rsidR="00477EEE">
        <w:t>9</w:t>
      </w:r>
      <w:r>
        <w:t>/14.01.2016, a achiziţionat aceleaşi echipamente a căror recepţie a refuzat-o din partea subscrisei, aspect care dovedeşte pe deplin că refuzul de recepţionare al echipamentelor livrate de subscrisa, a fost abuziv şi nejustificat.</w:t>
      </w:r>
    </w:p>
    <w:p w:rsidR="005C346E" w14:paraId="27638048" w14:textId="77777777">
      <w:pPr>
        <w:ind w:firstLine="567"/>
        <w:jc w:val="both"/>
      </w:pPr>
      <w:r>
        <w:t>Cât priveşte condiţia neîndeplinirii, îndeplinirii cu întârziere sau necorespunzător de către furnizor a obligaţiilor contractuale, reţine prima instanţă că prin acceptarea unor produse similare ofertei câştigătoare se încalcă principiile nediscriminării şi al tratamentului egal al celorlalţi participanţi la licitaţia publică, „fiecare din aceştia având obligaţia de a prezenta autovehicule cu dimensiuni de gabarit specificate în caietul de sarcini."</w:t>
      </w:r>
    </w:p>
    <w:p w:rsidR="005C346E" w14:paraId="2F3D2280" w14:textId="77777777">
      <w:pPr>
        <w:ind w:firstLine="567"/>
        <w:jc w:val="both"/>
      </w:pPr>
      <w:r>
        <w:t>Astfel de argumente în mod eronat au fost avute în vedere la soluţionarea cererii de chemare în judecată, hotărârea instanţei fiind emisă fără o analiză eficientă a celor susţinute de subscrisa, precum şi a documentelor depuse la dosar. Aceasta deoarece, aşa cum am arătat mai sus, în vederea achiziţionării produselor necesare autorităţii contractante au fost derulate mai multe proceduri de atribuire, dintre care primele doua au fost anulate pentru că nu a fost depusă nicio ofertă, iar în cadrul procedurii în care a fost atribuit contractul de furnizare ofertă a fost depusă doar de către reclamantă.</w:t>
      </w:r>
    </w:p>
    <w:p w:rsidR="005C346E" w14:paraId="576141E5" w14:textId="77777777">
      <w:pPr>
        <w:ind w:firstLine="567"/>
        <w:jc w:val="both"/>
      </w:pPr>
      <w:r>
        <w:t>Drept urmare, în lipsa unor alţi participanţi la procedura de atribuire, nu se poate reţine eventuala încălcare a principiilor nediscriminării şi al tratamentului egal.</w:t>
      </w:r>
    </w:p>
    <w:p w:rsidR="005C346E" w14:paraId="4929CD46" w14:textId="77777777">
      <w:pPr>
        <w:ind w:firstLine="567"/>
        <w:jc w:val="both"/>
      </w:pPr>
      <w:r>
        <w:t>Pe de altă parte, contrar celor susţinute de prima instanţă, acceptarea de către autoritatea contractantă a unor produse similare având caracteristici similare, reprezintă o modificare nesubstanţială a contractului de achiziţie publică, modificare acceptată de legislaţia în materia achiziţiilor publice.</w:t>
      </w:r>
    </w:p>
    <w:p w:rsidR="005C346E" w14:paraId="63B4E386" w14:textId="1DF4EBD8">
      <w:pPr>
        <w:ind w:firstLine="567"/>
        <w:jc w:val="both"/>
      </w:pPr>
      <w:r>
        <w:t xml:space="preserve">De altfel, inclusiv autoritatea contractantă a considerat că, în cauză, nu ne aflăm în prezenţa unei modificări nesubstanţiale a contractului, iar această concluzie a venit ca urmare a unei analize a specificaţiilor tehnice superioare ale echipamentelor propuse de societatea noastră. Astfel, prin adresa nr. </w:t>
      </w:r>
      <w:r w:rsidR="00477EEE">
        <w:t>7</w:t>
      </w:r>
      <w:r>
        <w:t xml:space="preserve"> din 06.01.2016 cu privire la care instanţa a omis să se pronunţe, Consiliul Judeţean </w:t>
      </w:r>
      <w:r w:rsidR="00CA307F">
        <w:t>A</w:t>
      </w:r>
      <w:r w:rsidR="00A02D34">
        <w:t xml:space="preserve">............ </w:t>
      </w:r>
      <w:r>
        <w:t>s-a adresat Autorităţii Naţionale pentru Achiziţii Publice, ocazie cu care a precizat următoarele:</w:t>
      </w:r>
    </w:p>
    <w:p w:rsidR="005C346E" w14:paraId="2D897781" w14:textId="77777777">
      <w:pPr>
        <w:ind w:firstLine="567"/>
        <w:jc w:val="both"/>
      </w:pPr>
      <w:r>
        <w:t>„Pe parcursul derulării unui contract de furnizare utilaje speciale, care a fost atribuit prin licitaţie deschisa în cursul anului 2015 şi care este finanţat în proporţie de 98% din fonduri europene, furnizorul a invocat şi a demonstrat imposibilitatea livrării unui tip din utilajele ofertate la dimensiunile menţionate în propunerea tehnică ca urmare a încetării producţiei utilajelor în cauza. în aceste condiţii, furnizorul s-a angajat să livreze utilajele în cauza cu dimensiuni modificate (care respectă însă limitele prevăzute de legislaţia specifică - OG nr. 43/1997), dar cu performanţe superioare şi cu menţinerea preţului ofertat.</w:t>
      </w:r>
    </w:p>
    <w:p w:rsidR="005C346E" w14:paraId="0DBA51F4" w14:textId="77777777">
      <w:pPr>
        <w:ind w:firstLine="567"/>
        <w:jc w:val="both"/>
      </w:pPr>
      <w:r>
        <w:t>Precizăm că utilajele în cauză nu pot fi încadrate în categoria produselor uzuale, ci este vorba despre produse speciale, care se proiectează şi se realizează exclusiv pentru o anumită destinaţie. în speţă este vorba de utilaje care vor fi utilizate de către un inspectorat pentru situaţii de urgenţă."</w:t>
      </w:r>
    </w:p>
    <w:p w:rsidR="005C346E" w14:paraId="3FE6B90F" w14:textId="77777777">
      <w:pPr>
        <w:ind w:firstLine="567"/>
        <w:jc w:val="both"/>
      </w:pPr>
      <w:r>
        <w:t xml:space="preserve">Totodată, prin această adresă, pârâta a recunoscut în ceea ce priveşte acceptarea utilajelor propuse de subscrisa pentru livrare că modificarea descrisă de aceştia în privinţa utilajelor „nu poate fi considerata semnificativă", având în vedere că „modificarea nu schimbă </w:t>
      </w:r>
      <w:r>
        <w:t>caracterul general al contractului şi nici obiectul acestuia", că „în cazul în care soluţia constructivă (dimensiuni parţial diferite) pentru acest utilaj ar fi fost inclusă de la început în cadrul ofertei iniţiale, acest detaliu nu ar fi avut nici un impact asupra procedurii de atribuire, nici din punct de vedere al conformităţii ofertei respective şi nici din punct de vedere al punctajului acordat pentru stabilirea clasamentului final". Mai mult, prin adresa respectivă pârâta arată că din punctul acesteia de vedere, recepţionarea unora dintre utilaje ulterior expirării perioadei de livrare sub condiţia aplicării de penalităţi de întârziere nu reprezintă o modificare substanţială care să impună reofertarea utilajelor rămase de livrat.</w:t>
      </w:r>
    </w:p>
    <w:p w:rsidR="005C346E" w14:paraId="11564FDD" w14:textId="77777777">
      <w:pPr>
        <w:ind w:firstLine="567"/>
        <w:jc w:val="both"/>
      </w:pPr>
      <w:r>
        <w:t>Prin urmare, având în vedere că recepţia echipamentelor era permisă expres de dispoziţiile legale, noile dimensiuni încadrându-se în situaţia modificărilor nesubstanţiale pentru care nu era necesară reluarea procedurii de atribuire, respectiv contractul prevedea mecanisme clare privind modificarea utilajelor, si aplicarea de penalităţi pentru întârziere, refuzul autorităţii de recepţie a echipamentelor, urmat de reţinerea garanţiei apare ca fiind complet nejustificat şi abuziv. In acest sens, s-a discutat cu toate forurile implicate - dovezi in acest sens fiind depuse la dosar, ele urmând a fi suplimentate.</w:t>
      </w:r>
    </w:p>
    <w:p w:rsidR="005C346E" w14:paraId="37429BD7" w14:textId="77777777">
      <w:pPr>
        <w:ind w:firstLine="567"/>
        <w:jc w:val="both"/>
      </w:pPr>
      <w:r>
        <w:t>În consecinţă, atâta timp cât în speţă a existat o imposibilitate de executare, si nu un risc contractual asumat cum greşit se retine, utilajele fiind in final oricum executate, iar autoritatea îşi asumase oricum anterior refuzului de recepţionare al echipamentelor suportarea din fonduri proprii a valorii acestora, nu există nici o justificare, de fapt sau legală care să susţinerea reţinerea de către instanţă a existenţei unui prejudiciu în cauză.</w:t>
      </w:r>
    </w:p>
    <w:p w:rsidR="005C346E" w14:paraId="116156AF" w14:textId="77777777">
      <w:pPr>
        <w:ind w:firstLine="567"/>
        <w:jc w:val="both"/>
      </w:pPr>
      <w:r>
        <w:t>Eronate sunt şi afirmaţiile instanţei de fond referitoare la faptul că subscrisa nu am făcut dovada intervenirii unor cauze independente de voinţa noastră, în condiţiile în care la dosarul achiziţiei am depus înscrisuri de la producătorul utilajelor, privind scoaterea din producţie a acestora. Mai mult, Tribunalul a omis să se pronunţe inclusiv asupra celor declarate de autoritatea contractantă, în sensul că „furnizorul a invocat şi a demonstrat imposibilitatea livrării unui tip de utilaje ofertate la dimensiunile menţionate în propunerea tehnică ca urmare a încetării producţiei utilajelor în cauza."</w:t>
      </w:r>
    </w:p>
    <w:p w:rsidR="005C346E" w14:paraId="5E47274D" w14:textId="77777777">
      <w:pPr>
        <w:ind w:firstLine="567"/>
        <w:jc w:val="both"/>
      </w:pPr>
      <w:r>
        <w:t>În considerarea celor mai sus, a solicitat să se constate că motivarea hotărârii recurate este superficială, instanţa de fond omiţând a analiza toate argumentele şi probele evocate de subscrisa prin cererea de chemare în judecată, aspect pentru care, în temeiul art. 55 alin. (3) si (5) din Legea nr. 101/2016 solicităm admiterea recursului astfel cum a fost formulat, rejudecarea litigiului în fond, cu consecinţa admiterii cererii de chemare în judecată.</w:t>
      </w:r>
    </w:p>
    <w:p w:rsidR="005C346E" w14:paraId="6ABBA9DC" w14:textId="77777777">
      <w:pPr>
        <w:ind w:firstLine="567"/>
        <w:jc w:val="both"/>
      </w:pPr>
      <w:r>
        <w:t>În drept, au fost invocate dispozițiile Legii nr. 101/2016, OUG nr. 34/2006, HG nr. 925/2006, precum şi toate dispoziţiile legale invocate în cuprinsul prezentei.</w:t>
      </w:r>
    </w:p>
    <w:p w:rsidR="005C346E" w14:paraId="3C70448C" w14:textId="77777777">
      <w:pPr>
        <w:ind w:firstLine="567"/>
        <w:jc w:val="both"/>
      </w:pPr>
      <w:r>
        <w:t>În probațiune, s-a solicitat proba cu înscrisuri.</w:t>
      </w:r>
    </w:p>
    <w:p w:rsidR="005C346E" w14:paraId="3A0290B7" w14:textId="77777777">
      <w:pPr>
        <w:spacing w:after="200" w:line="276" w:lineRule="auto"/>
        <w:ind w:right="-709"/>
        <w:contextualSpacing/>
        <w:jc w:val="both"/>
        <w:rPr>
          <w:rStyle w:val="Fontdeparagrafimplicit"/>
          <w:b/>
        </w:rPr>
      </w:pPr>
    </w:p>
    <w:p w:rsidR="005C346E" w14:paraId="0F769EDD" w14:textId="77777777">
      <w:pPr>
        <w:numPr>
          <w:ilvl w:val="0"/>
          <w:numId w:val="1"/>
        </w:numPr>
        <w:spacing w:after="200" w:line="276" w:lineRule="auto"/>
        <w:ind w:right="-709"/>
        <w:contextualSpacing/>
        <w:jc w:val="both"/>
        <w:rPr>
          <w:rStyle w:val="Fontdeparagrafimplicit"/>
          <w:b/>
        </w:rPr>
      </w:pPr>
      <w:r>
        <w:rPr>
          <w:rStyle w:val="Fontdeparagrafimplicit"/>
          <w:b/>
        </w:rPr>
        <w:t>Poziţia procesuală a părţii adverse</w:t>
      </w:r>
    </w:p>
    <w:p w:rsidR="005C346E" w14:paraId="54B94AB8" w14:textId="310EE2F5">
      <w:pPr>
        <w:pStyle w:val="Frspaiere"/>
        <w:ind w:firstLine="567"/>
        <w:jc w:val="both"/>
        <w:rPr>
          <w:rStyle w:val="FontStyle21"/>
          <w:b w:val="0"/>
          <w:i w:val="0"/>
        </w:rPr>
      </w:pPr>
      <w:r>
        <w:rPr>
          <w:rStyle w:val="FontStyle20"/>
        </w:rPr>
        <w:t xml:space="preserve">Intimata-pârâtă Unitatea Administrativ - Teritorială Judeţul </w:t>
      </w:r>
      <w:r w:rsidR="00CA307F">
        <w:rPr>
          <w:rStyle w:val="FontStyle20"/>
        </w:rPr>
        <w:t>A</w:t>
      </w:r>
      <w:r w:rsidR="00A02D34">
        <w:rPr>
          <w:rStyle w:val="FontStyle20"/>
        </w:rPr>
        <w:t xml:space="preserve">............ </w:t>
      </w:r>
      <w:r>
        <w:rPr>
          <w:rStyle w:val="FontStyle20"/>
        </w:rPr>
        <w:t xml:space="preserve">, prin Consiliul Judeţean </w:t>
      </w:r>
      <w:r w:rsidR="00CA307F">
        <w:rPr>
          <w:rStyle w:val="FontStyle20"/>
        </w:rPr>
        <w:t>A</w:t>
      </w:r>
      <w:r w:rsidR="00A02D34">
        <w:rPr>
          <w:rStyle w:val="FontStyle20"/>
        </w:rPr>
        <w:t xml:space="preserve">............ </w:t>
      </w:r>
      <w:r>
        <w:rPr>
          <w:rStyle w:val="FontStyle20"/>
        </w:rPr>
        <w:t xml:space="preserve">, a formulat întâmpinare la recursul formulat de recurenta - reclamantă SC </w:t>
      </w:r>
      <w:r w:rsidR="00A02D34">
        <w:rPr>
          <w:rStyle w:val="FontStyle20"/>
        </w:rPr>
        <w:t xml:space="preserve">1 </w:t>
      </w:r>
      <w:r>
        <w:rPr>
          <w:rStyle w:val="FontStyle20"/>
        </w:rPr>
        <w:t>SRL, împotriva Sentinţei Civile nr.</w:t>
      </w:r>
      <w:r w:rsidR="00477EEE">
        <w:rPr>
          <w:rStyle w:val="FontStyle20"/>
        </w:rPr>
        <w:t xml:space="preserve">...... </w:t>
      </w:r>
      <w:r>
        <w:rPr>
          <w:rStyle w:val="FontStyle20"/>
        </w:rPr>
        <w:t xml:space="preserve">din data de </w:t>
      </w:r>
      <w:r w:rsidR="00797333">
        <w:rPr>
          <w:rStyle w:val="FontStyle20"/>
        </w:rPr>
        <w:t xml:space="preserve">............ </w:t>
      </w:r>
      <w:r>
        <w:rPr>
          <w:rStyle w:val="FontStyle20"/>
        </w:rPr>
        <w:t xml:space="preserve">, pronunţată de Tribunalul </w:t>
      </w:r>
      <w:r w:rsidR="00CA307F">
        <w:rPr>
          <w:rStyle w:val="FontStyle20"/>
        </w:rPr>
        <w:t xml:space="preserve"> </w:t>
      </w:r>
      <w:r w:rsidR="00A02D34">
        <w:rPr>
          <w:rStyle w:val="FontStyle20"/>
        </w:rPr>
        <w:t xml:space="preserve">............ </w:t>
      </w:r>
      <w:r>
        <w:rPr>
          <w:rStyle w:val="FontStyle20"/>
        </w:rPr>
        <w:t xml:space="preserve">în dosarul nr. </w:t>
      </w:r>
      <w:r w:rsidR="00CA307F">
        <w:rPr>
          <w:rStyle w:val="FontStyle20"/>
        </w:rPr>
        <w:t>1</w:t>
      </w:r>
      <w:r>
        <w:rPr>
          <w:rStyle w:val="FontStyle20"/>
        </w:rPr>
        <w:t xml:space="preserve">, sentinţă ce o considerăm </w:t>
      </w:r>
      <w:r>
        <w:rPr>
          <w:rStyle w:val="FontStyle21"/>
        </w:rPr>
        <w:t>temeinică şi legală.</w:t>
      </w:r>
    </w:p>
    <w:p w:rsidR="005C346E" w14:paraId="637444CA" w14:textId="77777777">
      <w:pPr>
        <w:pStyle w:val="Frspaiere"/>
        <w:ind w:firstLine="567"/>
        <w:jc w:val="both"/>
        <w:rPr>
          <w:rStyle w:val="FontStyle22"/>
          <w:i w:val="0"/>
        </w:rPr>
      </w:pPr>
      <w:r>
        <w:rPr>
          <w:rStyle w:val="FontStyle19"/>
        </w:rPr>
        <w:t>A</w:t>
      </w:r>
      <w:r>
        <w:rPr>
          <w:rStyle w:val="FontStyle20"/>
        </w:rPr>
        <w:t xml:space="preserve">firmaţiile recurentei - reclamante cu privire la faptul că prioritatea reţinerii garanţiei de bună execuţie a contractului de furnizare, ar fi aplicabilă penalităţilor sunt nefondate, întrucât aşa cum şi instanţa de fond a </w:t>
      </w:r>
      <w:r>
        <w:rPr>
          <w:rStyle w:val="FontStyle22"/>
        </w:rPr>
        <w:t>reţinut: „executarea garantei de bună execuţie poate fi reţinută pentru remedierea acelor prejudicii la nivelul contractului ca rezultat al neîndeplinirii cantitative şi calitative a prestării serviciilor sau achiziţiei de bunuri"</w:t>
      </w:r>
    </w:p>
    <w:p w:rsidR="005C346E" w14:paraId="7E7FF250" w14:textId="77777777">
      <w:pPr>
        <w:pStyle w:val="Frspaiere"/>
        <w:ind w:firstLine="567"/>
        <w:jc w:val="both"/>
        <w:rPr>
          <w:rStyle w:val="FontStyle19"/>
          <w:b w:val="0"/>
        </w:rPr>
      </w:pPr>
      <w:r>
        <w:rPr>
          <w:rStyle w:val="FontStyle20"/>
        </w:rPr>
        <w:t xml:space="preserve">De asemenea, instanţa a consemnat în mod just că „rolul garanţiei de bună execuţie nu este pentru recuperarea penalităţilor de întârziere, </w:t>
      </w:r>
      <w:r>
        <w:rPr>
          <w:rStyle w:val="FontStyle19"/>
        </w:rPr>
        <w:t>ci este un instrument financiar managerial în vederea asigurării autorităţii contractante de îndeplinirea cantitativă şi calitativă a obligaţiilor contractuale.</w:t>
      </w:r>
    </w:p>
    <w:p w:rsidR="005C346E" w14:paraId="0D7FEDB6" w14:textId="77777777">
      <w:pPr>
        <w:pStyle w:val="Frspaiere"/>
        <w:ind w:firstLine="567"/>
        <w:jc w:val="both"/>
        <w:rPr>
          <w:rStyle w:val="FontStyle20"/>
        </w:rPr>
      </w:pPr>
      <w:r>
        <w:rPr>
          <w:rStyle w:val="FontStyle20"/>
        </w:rPr>
        <w:t>Garanţia de bună execuţie, se referă la acordul părţilor prin care din preţul achitat beneficiarul are drept de dispoziţie asupra unei sume de bani, procent din preţ ce vizează calitatea prestaţiilor efectuate de cealaltă parte.</w:t>
      </w:r>
    </w:p>
    <w:p w:rsidR="005C346E" w14:paraId="7FCF2253" w14:textId="758B43FC">
      <w:pPr>
        <w:pStyle w:val="Frspaiere"/>
        <w:ind w:firstLine="567"/>
        <w:jc w:val="both"/>
        <w:rPr>
          <w:rStyle w:val="FontStyle22"/>
          <w:i w:val="0"/>
        </w:rPr>
      </w:pPr>
      <w:r>
        <w:rPr>
          <w:rStyle w:val="FontStyle20"/>
        </w:rPr>
        <w:t xml:space="preserve">Astfel, după finalizarea contractului de furnizare, întrucât furnizorul nu şi-a îndeplinit toate obligaţiile contractuale, Consiliul Judeţean </w:t>
      </w:r>
      <w:r w:rsidR="00CA307F">
        <w:rPr>
          <w:rStyle w:val="FontStyle20"/>
        </w:rPr>
        <w:t>A</w:t>
      </w:r>
      <w:r w:rsidR="00A02D34">
        <w:rPr>
          <w:rStyle w:val="FontStyle20"/>
        </w:rPr>
        <w:t xml:space="preserve">............ </w:t>
      </w:r>
      <w:r>
        <w:rPr>
          <w:rStyle w:val="FontStyle20"/>
        </w:rPr>
        <w:t xml:space="preserve">, în calitate de Autoritate Contractantă, conform prevederilor contractuale a avut dreptul sa ridice pretenţii asupra garanţiei de buna execuţie. Art. 12.3 din contractul de furnizare prevede „ </w:t>
      </w:r>
      <w:r>
        <w:rPr>
          <w:rStyle w:val="FontStyle22"/>
        </w:rPr>
        <w:t>achizitorul are dreptul de a emite pretenţii asupra garanţiei de buna execuţie, in limita prejudiciului creai daca furnizorul nu îşi îndeplineşte, nu îşi executa, executa cu întârziere sau executa necorespunzător obligaţiile asumate prin contract. Anterior emiterii unei pretenţii asupra garanţiei de buna execuţie, achizitorul are obligaţia de a notifica acest lucru furnizorului, precizând totodată obligaţiile care nu au fost respectate".</w:t>
      </w:r>
    </w:p>
    <w:p w:rsidR="005C346E" w14:paraId="4864C7BB" w14:textId="79BC1278">
      <w:pPr>
        <w:pStyle w:val="Frspaiere"/>
        <w:ind w:firstLine="567"/>
        <w:jc w:val="both"/>
        <w:rPr>
          <w:rStyle w:val="FontStyle20"/>
        </w:rPr>
      </w:pPr>
      <w:r>
        <w:rPr>
          <w:rStyle w:val="FontStyle20"/>
        </w:rPr>
        <w:t xml:space="preserve">In acest sens, prin adresa nr. </w:t>
      </w:r>
      <w:r w:rsidR="00797333">
        <w:rPr>
          <w:rStyle w:val="FontStyle20"/>
        </w:rPr>
        <w:t>10</w:t>
      </w:r>
      <w:r>
        <w:rPr>
          <w:rStyle w:val="FontStyle20"/>
        </w:rPr>
        <w:t xml:space="preserve">/01.02.2016, furnizorul a fost notificat cu privire la emiterea de către achizitor de pretenţii asupra garanţiei de buna execuţie a contractului de furnizare nr. </w:t>
      </w:r>
      <w:r w:rsidR="00797333">
        <w:rPr>
          <w:rStyle w:val="FontStyle20"/>
        </w:rPr>
        <w:t>11/2015</w:t>
      </w:r>
      <w:r>
        <w:rPr>
          <w:rStyle w:val="FontStyle20"/>
        </w:rPr>
        <w:t>.</w:t>
      </w:r>
    </w:p>
    <w:p w:rsidR="005C346E" w14:paraId="5D4F3B41" w14:textId="1C4715EA">
      <w:pPr>
        <w:pStyle w:val="Frspaiere"/>
        <w:ind w:firstLine="567"/>
        <w:jc w:val="both"/>
        <w:rPr>
          <w:rStyle w:val="FontStyle20"/>
        </w:rPr>
      </w:pPr>
      <w:r>
        <w:rPr>
          <w:rStyle w:val="FontStyle20"/>
        </w:rPr>
        <w:t xml:space="preserve">Având in vedere neîndeplinirea contractului de furnizare nr. </w:t>
      </w:r>
      <w:r w:rsidR="00797333">
        <w:rPr>
          <w:rStyle w:val="FontStyle20"/>
        </w:rPr>
        <w:t xml:space="preserve">11/.......2015 </w:t>
      </w:r>
      <w:r>
        <w:rPr>
          <w:rStyle w:val="FontStyle20"/>
        </w:rPr>
        <w:t xml:space="preserve">de către furnizorul </w:t>
      </w:r>
      <w:r w:rsidR="00A02D34">
        <w:rPr>
          <w:rStyle w:val="FontStyle20"/>
        </w:rPr>
        <w:t xml:space="preserve">1 </w:t>
      </w:r>
      <w:r>
        <w:rPr>
          <w:rStyle w:val="FontStyle20"/>
        </w:rPr>
        <w:t xml:space="preserve">SRL, beneficiarul - Consiliul Judeţean </w:t>
      </w:r>
      <w:r w:rsidR="00CA307F">
        <w:rPr>
          <w:rStyle w:val="FontStyle20"/>
        </w:rPr>
        <w:t>A</w:t>
      </w:r>
      <w:r w:rsidR="00A02D34">
        <w:rPr>
          <w:rStyle w:val="FontStyle20"/>
        </w:rPr>
        <w:t xml:space="preserve">............ </w:t>
      </w:r>
      <w:r>
        <w:rPr>
          <w:rStyle w:val="FontStyle20"/>
        </w:rPr>
        <w:t>a emis pretenţii asupra garanţiei de buna execuţie, in conformitate cu clauzele contractuale.</w:t>
      </w:r>
    </w:p>
    <w:p w:rsidR="005C346E" w14:paraId="43A12326" w14:textId="77777777">
      <w:pPr>
        <w:pStyle w:val="Frspaiere"/>
        <w:ind w:firstLine="567"/>
        <w:jc w:val="both"/>
        <w:rPr>
          <w:rStyle w:val="FontStyle20"/>
        </w:rPr>
      </w:pPr>
      <w:r>
        <w:rPr>
          <w:rStyle w:val="FontStyle20"/>
        </w:rPr>
        <w:t>Contractul de furnizare, a reprezentat legea părţilor, acestea având obligaţia de a respecta clauzele contractuale, şi totodată să respecte documentele contractului, documente ce sunt prevăzute la art. 8 din contract.</w:t>
      </w:r>
    </w:p>
    <w:p w:rsidR="005C346E" w14:paraId="17CE5049" w14:textId="77777777">
      <w:pPr>
        <w:pStyle w:val="Frspaiere"/>
        <w:ind w:firstLine="567"/>
        <w:jc w:val="both"/>
        <w:rPr>
          <w:rStyle w:val="FontStyle20"/>
        </w:rPr>
      </w:pPr>
      <w:r>
        <w:rPr>
          <w:rStyle w:val="FontStyle20"/>
        </w:rPr>
        <w:t>Astfel, contractul încheiat între părţi este supus unor reguli de drept public care face parte din regimul juridic administrativ. Scopul principal al contractului administrativ, asa cum în mod temeinic instanţa de fond a reţinut, fiind acela de a realiza şi satisface interesul public în corelaţie cu interesul privat.</w:t>
      </w:r>
    </w:p>
    <w:p w:rsidR="005C346E" w14:paraId="60EAAE13" w14:textId="77777777">
      <w:pPr>
        <w:pStyle w:val="Frspaiere"/>
        <w:ind w:firstLine="567"/>
        <w:jc w:val="both"/>
        <w:rPr>
          <w:rStyle w:val="FontStyle20"/>
        </w:rPr>
      </w:pPr>
      <w:r>
        <w:rPr>
          <w:rStyle w:val="FontStyle20"/>
        </w:rPr>
        <w:t>De asemenea, instanţa de fond a reţinut că„forţa obligatorie a contractului civil ca principiu de bază care guvernează efectele actului juridic civil corelat cu principiul conform căruia libertatea contractuală este subordonată principiului interesului public, rezultând o îmbinare a libertăţii contractuale cu necesitatea protejării interesului public. Prin semnarea contractului, părţile au acceptat clauzele contractuale şi au obligaţia de a le respecta.</w:t>
      </w:r>
    </w:p>
    <w:p w:rsidR="005C346E" w14:paraId="2624F987" w14:textId="77777777">
      <w:pPr>
        <w:pStyle w:val="Frspaiere"/>
        <w:ind w:firstLine="567"/>
        <w:jc w:val="both"/>
        <w:rPr>
          <w:rStyle w:val="FontStyle20"/>
        </w:rPr>
      </w:pPr>
      <w:r>
        <w:rPr>
          <w:rStyle w:val="FontStyle20"/>
        </w:rPr>
        <w:t>Astfel, executarea obligaţiilor ce decurg din contractul administrativ este mai riguros decât executarea obligaţiilor ce decurg din contractul civil.</w:t>
      </w:r>
    </w:p>
    <w:p w:rsidR="005C346E" w14:paraId="738575B9" w14:textId="6EAAF7A5">
      <w:pPr>
        <w:pStyle w:val="Frspaiere"/>
        <w:ind w:firstLine="567"/>
        <w:jc w:val="both"/>
        <w:rPr>
          <w:rStyle w:val="FontStyle20"/>
        </w:rPr>
      </w:pPr>
      <w:r>
        <w:rPr>
          <w:rStyle w:val="FontStyle20"/>
        </w:rPr>
        <w:t xml:space="preserve">Achizitorul, Consiliul Judeţean </w:t>
      </w:r>
      <w:r w:rsidR="00CA307F">
        <w:rPr>
          <w:rStyle w:val="FontStyle20"/>
        </w:rPr>
        <w:t>A</w:t>
      </w:r>
      <w:r w:rsidR="00A02D34">
        <w:rPr>
          <w:rStyle w:val="FontStyle20"/>
        </w:rPr>
        <w:t xml:space="preserve">............ </w:t>
      </w:r>
      <w:r>
        <w:rPr>
          <w:rStyle w:val="FontStyle20"/>
        </w:rPr>
        <w:t>, în mod temeinic a reţinut garanţia de bună execuţie, întrucât furnizorul nu si-a respectat oferta tehnica depusă în cadrul procedurii de licitaţie deschisă; în conformitate cu prevederile OUG nr. 34/2006, furnizorul are obligaţia de a nu îşi modifica oferta depusă, pentru motivele pe care le vom arăta:</w:t>
      </w:r>
    </w:p>
    <w:p w:rsidR="005C346E" w14:paraId="6202378F" w14:textId="77777777">
      <w:pPr>
        <w:pStyle w:val="Frspaiere"/>
        <w:ind w:firstLine="567"/>
        <w:jc w:val="both"/>
        <w:rPr>
          <w:rStyle w:val="FontStyle20"/>
        </w:rPr>
      </w:pPr>
      <w:r>
        <w:rPr>
          <w:rStyle w:val="FontStyle20"/>
        </w:rPr>
        <w:t>- afirmaţia pârâtei în sensul că autospecialele care au fost prezentate (autoscări) si refuzate erau superioare din punct de vedere tehnic, nu se susţine, întrucât în mod cert s-ar fi încălcat prevederile OUG 34/2006.</w:t>
      </w:r>
    </w:p>
    <w:p w:rsidR="005C346E" w14:paraId="0A1A64CF" w14:textId="77777777">
      <w:pPr>
        <w:pStyle w:val="Frspaiere"/>
        <w:ind w:firstLine="567"/>
        <w:jc w:val="both"/>
        <w:rPr>
          <w:rStyle w:val="FontStyle20"/>
        </w:rPr>
      </w:pPr>
      <w:r>
        <w:rPr>
          <w:rStyle w:val="FontStyle20"/>
        </w:rPr>
        <w:t>Deşi contractul de furnizare a fost semnat la data de 15 octombrie 2015, pana in data de 11 decembrie 2015 furnizorul a asigurat beneficiarul prin mai multe adrese ca nu vor exista întârzieri in fabricarea si livrarea echipamentelor. La 11.12.2015, furnizorul a notificat beneficiarul cu privire la încetarea fabricaţiei (de către unul dintre producători!) a şasiurilor necesare pentru realizarea autoscărilor, automacaralei si autospecialelor de intervenţie de medie capacitate cu spuma, ataşând in acest sens o adresa datata 16.10.2015 (a doua zi de la semnarea contractului de furnizare!).</w:t>
      </w:r>
    </w:p>
    <w:p w:rsidR="005C346E" w14:paraId="319A1658" w14:textId="77777777">
      <w:pPr>
        <w:pStyle w:val="Frspaiere"/>
        <w:ind w:firstLine="567"/>
        <w:jc w:val="both"/>
        <w:rPr>
          <w:rStyle w:val="FontStyle20"/>
        </w:rPr>
      </w:pPr>
      <w:r>
        <w:rPr>
          <w:rStyle w:val="FontStyle20"/>
        </w:rPr>
        <w:t>Prin propunerea tehnica depusa, operatorul economic are obligaţia de a face dovada conformităţii produselor care urmează a fi furnizate cu cerinţele prevăzute</w:t>
      </w:r>
      <w:r>
        <w:rPr>
          <w:rStyle w:val="Fontdeparagrafimplicit"/>
          <w:rFonts w:ascii="Times New Roman" w:hAnsi="Times New Roman"/>
          <w:sz w:val="24"/>
        </w:rPr>
        <w:t xml:space="preserve"> </w:t>
      </w:r>
      <w:r>
        <w:rPr>
          <w:rStyle w:val="FontStyle20"/>
        </w:rPr>
        <w:t>în caietul de sarcini. Operatorul economic trebuie sa respecte în totalitate cerinţele din Caietul de sarcini, ofertanţii participanţi ofertând dimensiunile șasiurilor conform caietului de sarcini.</w:t>
      </w:r>
    </w:p>
    <w:p w:rsidR="005C346E" w14:paraId="7F57E9D5" w14:textId="77777777">
      <w:pPr>
        <w:pStyle w:val="Frspaiere"/>
        <w:ind w:firstLine="567"/>
        <w:jc w:val="both"/>
        <w:rPr>
          <w:rStyle w:val="FontStyle20"/>
        </w:rPr>
      </w:pPr>
      <w:r>
        <w:rPr>
          <w:rStyle w:val="FontStyle20"/>
        </w:rPr>
        <w:t>Cerinţele prevăzute în caietul de sarcini sunt cerinţe minime obligatorii, ofertele care nu îndeplinesc aceste cerinţe urmând a fi considerate ca neconforme.</w:t>
      </w:r>
    </w:p>
    <w:p w:rsidR="005C346E" w14:paraId="6AB29599" w14:textId="77777777">
      <w:pPr>
        <w:pStyle w:val="Frspaiere"/>
        <w:ind w:firstLine="567"/>
        <w:jc w:val="both"/>
        <w:rPr>
          <w:rStyle w:val="FontStyle19"/>
          <w:b w:val="0"/>
        </w:rPr>
      </w:pPr>
      <w:r>
        <w:rPr>
          <w:rStyle w:val="FontStyle19"/>
        </w:rPr>
        <w:t>In cazul în care, reclamanta ar fi ofertat echipamente cu dimensiunile pe care le-a propus abia spre finalizarea contractului de furnizare, în mod cert ar fi fost descalificat.</w:t>
      </w:r>
    </w:p>
    <w:p w:rsidR="005C346E" w14:paraId="60220D49" w14:textId="77777777">
      <w:pPr>
        <w:pStyle w:val="Frspaiere"/>
        <w:ind w:firstLine="567"/>
        <w:jc w:val="both"/>
        <w:rPr>
          <w:rStyle w:val="FontStyle20"/>
        </w:rPr>
      </w:pPr>
      <w:r>
        <w:rPr>
          <w:rStyle w:val="FontStyle20"/>
        </w:rPr>
        <w:t>Astfel, reiese clar ca operatorul economic, in speţă reclamanta, a propus spre livrare alte produse decât cele solicitate de autoritatea contractanta prin caietul de sarcini, şi decât cele pe care le-a ofertat prin propunerea tehnică.</w:t>
      </w:r>
    </w:p>
    <w:p w:rsidR="005C346E" w14:paraId="15648948" w14:textId="77777777">
      <w:pPr>
        <w:pStyle w:val="Frspaiere"/>
        <w:ind w:firstLine="567"/>
        <w:jc w:val="both"/>
        <w:rPr>
          <w:rStyle w:val="FontStyle20"/>
        </w:rPr>
      </w:pPr>
      <w:r>
        <w:rPr>
          <w:rStyle w:val="FontStyle20"/>
        </w:rPr>
        <w:t>Conform art. 35 alin. 2) din OUG nr. 34/2006, specificaţiile tehnice reprezintă cerinţe, prescripţii, caracteristici de natura tehnica ce permit fiecărui produs, serviciu sau lucrare sa fie descris, în mod obiectiv, în aşa maniera încât sa corespunda necesitaţii autorităţii contractante.</w:t>
      </w:r>
    </w:p>
    <w:p w:rsidR="005C346E" w14:paraId="4CF347E0" w14:textId="77777777">
      <w:pPr>
        <w:pStyle w:val="Frspaiere"/>
        <w:ind w:firstLine="567"/>
        <w:jc w:val="both"/>
        <w:rPr>
          <w:rStyle w:val="FontStyle19"/>
          <w:b w:val="0"/>
        </w:rPr>
      </w:pPr>
      <w:r>
        <w:rPr>
          <w:rStyle w:val="FontStyle20"/>
        </w:rPr>
        <w:t xml:space="preserve">Necesitatea sau oportunitatea achiziţionării de produse de o anumita performanta, precum si caracteristicile tehnice impuse pentru acestea, sunt stabilite de fiecare autoritate contractanta în parte, în funcţie de necesităţile obiective si priorităţile comunicate de compartimentele din cadrul autorităţii contractante. Astfel, condiţiile tehnice au fost realizate în scopul de a permite descrierea obiectiva a produselor ce trebuiau achiziţionate conform necesitaţii autorităţii contractante </w:t>
      </w:r>
      <w:r>
        <w:rPr>
          <w:rStyle w:val="FontStyle19"/>
        </w:rPr>
        <w:t>si fără restricţionarea participării în procedura de atribuire. Conţinutul caietului de sarcini, aşa cum a fost întocmită de către asistenţa tehnică şi însuşită, aprobată de autoritatea contractanta, este obligatoriu atât pentru operatorii economici participanţi Ia procedura, care au obligaţia de a-si elabora ofertele în conformitate cu prevederile acesteia (art. 170 din O.U.G. nr. 34/2006), cât si pentru autoritatea contractanta, aceasta fiind obligata ca în desfăşurarea procedurii de achiziţie publica sa respecte atât dispoziţiile legale aplicabile în acest domeniu, cât si prevederile propriei documentaţii de atribuire care stabileşte regulile ce trebuie respectate de ambele părţi în derularea procesului competitiv.</w:t>
      </w:r>
    </w:p>
    <w:p w:rsidR="005C346E" w14:paraId="2C194979" w14:textId="77777777">
      <w:pPr>
        <w:pStyle w:val="Frspaiere"/>
        <w:ind w:firstLine="567"/>
        <w:jc w:val="both"/>
        <w:rPr>
          <w:rStyle w:val="FontStyle20"/>
        </w:rPr>
      </w:pPr>
      <w:r>
        <w:rPr>
          <w:rStyle w:val="FontStyle20"/>
        </w:rPr>
        <w:t xml:space="preserve">Riscul întocmirii ofertelor, inclusiv nerespectarea unor cerinţe solicitate în cadrul documentaţiei de atribuire, cade în sarcina operatorului economic, el neputând sa invoce nefabricarea sasiurilor </w:t>
      </w:r>
      <w:r>
        <w:rPr>
          <w:rStyle w:val="FontStyle19"/>
        </w:rPr>
        <w:t xml:space="preserve">de un anume </w:t>
      </w:r>
      <w:r>
        <w:rPr>
          <w:rStyle w:val="FontStyle20"/>
        </w:rPr>
        <w:t xml:space="preserve">producător; autoritatea contractanta a menţionat în mod expres, în cadrul caietului de sarcini, care sunt cerinţele tehnice pe care </w:t>
      </w:r>
      <w:r>
        <w:rPr>
          <w:rStyle w:val="FontStyle19"/>
        </w:rPr>
        <w:t xml:space="preserve">orice </w:t>
      </w:r>
      <w:r>
        <w:rPr>
          <w:rStyle w:val="FontStyle20"/>
        </w:rPr>
        <w:t>operator economic participant trebuie sa le îndeplinească.</w:t>
      </w:r>
    </w:p>
    <w:p w:rsidR="005C346E" w14:paraId="61246C6A" w14:textId="733F891F">
      <w:pPr>
        <w:pStyle w:val="Frspaiere"/>
        <w:ind w:firstLine="567"/>
        <w:jc w:val="both"/>
        <w:rPr>
          <w:rStyle w:val="FontStyle20"/>
        </w:rPr>
      </w:pPr>
      <w:r>
        <w:rPr>
          <w:rStyle w:val="FontStyle20"/>
        </w:rPr>
        <w:t xml:space="preserve">Încă de la încheierea contractului de furnizare Consiliul Judeţean </w:t>
      </w:r>
      <w:r w:rsidR="00CA307F">
        <w:rPr>
          <w:rStyle w:val="FontStyle20"/>
        </w:rPr>
        <w:t>A</w:t>
      </w:r>
      <w:r w:rsidR="00A02D34">
        <w:rPr>
          <w:rStyle w:val="FontStyle20"/>
        </w:rPr>
        <w:t xml:space="preserve">............ </w:t>
      </w:r>
      <w:r>
        <w:rPr>
          <w:rStyle w:val="FontStyle20"/>
        </w:rPr>
        <w:t xml:space="preserve">a solicitat, în mod constant, să se comunice stadiul derulării contractului, dacă se respecta livrarea in termen a produselor, primind în mod repetat garanţii că nu vor fi probleme în furnizarea echipamentelor. In data de 11 decembrie 2015, prin adresa </w:t>
      </w:r>
      <w:r w:rsidR="00797333">
        <w:rPr>
          <w:rStyle w:val="FontStyle20"/>
        </w:rPr>
        <w:t>12</w:t>
      </w:r>
      <w:r>
        <w:rPr>
          <w:rStyle w:val="FontStyle20"/>
        </w:rPr>
        <w:t xml:space="preserve">, au fost informaţi că producătorul </w:t>
      </w:r>
      <w:r w:rsidR="00797333">
        <w:rPr>
          <w:rStyle w:val="FontStyle20"/>
        </w:rPr>
        <w:t xml:space="preserve">........ </w:t>
      </w:r>
      <w:r>
        <w:rPr>
          <w:rStyle w:val="FontStyle20"/>
        </w:rPr>
        <w:t>nu mai are în fabricaţie dimensiunile ofertate iniţial, ataşând adresa producătorului.</w:t>
      </w:r>
    </w:p>
    <w:p w:rsidR="005C346E" w14:paraId="4D6006F5" w14:textId="77777777">
      <w:pPr>
        <w:pStyle w:val="Frspaiere"/>
        <w:ind w:firstLine="567"/>
        <w:jc w:val="both"/>
        <w:rPr>
          <w:rStyle w:val="FontStyle20"/>
        </w:rPr>
      </w:pPr>
      <w:r>
        <w:rPr>
          <w:rStyle w:val="FontStyle20"/>
        </w:rPr>
        <w:t>Faţă de acest aspect, modul de aducere la cunoştinţă asupra acestuia, fiind inacceptabil întrucât dacă acest aspect era real, reclamanta ar fi avut cunoştinţă imediat după încheierea contractului de furnizare,</w:t>
      </w:r>
      <w:r>
        <w:rPr>
          <w:rStyle w:val="Fontdeparagrafimplicit"/>
          <w:rFonts w:ascii="Times New Roman" w:hAnsi="Times New Roman"/>
          <w:sz w:val="24"/>
        </w:rPr>
        <w:t xml:space="preserve"> </w:t>
      </w:r>
      <w:r>
        <w:rPr>
          <w:rStyle w:val="FontStyle20"/>
        </w:rPr>
        <w:t>respectiv de la data de 16 octombrie 2015, dând dovadă de rea - credinţă în executarea contractului.</w:t>
      </w:r>
    </w:p>
    <w:p w:rsidR="005C346E" w14:paraId="77F7C6C8" w14:textId="77777777">
      <w:pPr>
        <w:pStyle w:val="Frspaiere"/>
        <w:ind w:firstLine="567"/>
        <w:jc w:val="both"/>
        <w:rPr>
          <w:rStyle w:val="FontStyle20"/>
        </w:rPr>
      </w:pPr>
      <w:r>
        <w:rPr>
          <w:rStyle w:val="FontStyle20"/>
        </w:rPr>
        <w:t>Or, singurul scop al reclamantei a fost acela de a determina achizitorul să accepte autospecialele sub orice formă.</w:t>
      </w:r>
    </w:p>
    <w:p w:rsidR="005C346E" w14:paraId="7791E86E" w14:textId="77777777">
      <w:pPr>
        <w:pStyle w:val="Frspaiere"/>
        <w:ind w:firstLine="567"/>
        <w:jc w:val="both"/>
        <w:rPr>
          <w:rStyle w:val="Fontdeparagrafimplicit"/>
          <w:rFonts w:ascii="Times New Roman" w:hAnsi="Times New Roman"/>
          <w:sz w:val="24"/>
        </w:rPr>
      </w:pPr>
      <w:r>
        <w:rPr>
          <w:rStyle w:val="FontStyle20"/>
        </w:rPr>
        <w:t>Astfel, reiese clar ca operatorul economic, reclamanta, a intenţionat să livreze/furnizeze alte produse decât cele solicitate de autoritatea contractanta prin caietul de sarcini, şi altele decât cele ce el a ofertat.</w:t>
      </w:r>
    </w:p>
    <w:p w:rsidR="005C346E" w14:paraId="338EB4E1" w14:textId="27137A79">
      <w:pPr>
        <w:pStyle w:val="Frspaiere"/>
        <w:ind w:firstLine="567"/>
        <w:jc w:val="both"/>
        <w:rPr>
          <w:rStyle w:val="FontStyle19"/>
          <w:b w:val="0"/>
        </w:rPr>
      </w:pPr>
      <w:r>
        <w:rPr>
          <w:rStyle w:val="FontStyle19"/>
        </w:rPr>
        <w:t xml:space="preserve">In contextul celor prezentate anterior, solicită respingerea recursului formulat de </w:t>
      </w:r>
      <w:r w:rsidR="00A02D34">
        <w:rPr>
          <w:rStyle w:val="FontStyle19"/>
        </w:rPr>
        <w:t xml:space="preserve">1 </w:t>
      </w:r>
      <w:r>
        <w:rPr>
          <w:rStyle w:val="FontStyle19"/>
        </w:rPr>
        <w:t xml:space="preserve">SRL şi, pe cale de consecinţă, să menţină ca temeinică şi legală sentinţa civilă nr. </w:t>
      </w:r>
      <w:r w:rsidR="00477EEE">
        <w:rPr>
          <w:rStyle w:val="FontStyle19"/>
        </w:rPr>
        <w:t xml:space="preserve">...... </w:t>
      </w:r>
      <w:r>
        <w:rPr>
          <w:rStyle w:val="FontStyle19"/>
        </w:rPr>
        <w:t xml:space="preserve">din </w:t>
      </w:r>
      <w:r w:rsidR="00797333">
        <w:rPr>
          <w:rStyle w:val="FontStyle19"/>
        </w:rPr>
        <w:t xml:space="preserve">............ </w:t>
      </w:r>
      <w:r>
        <w:rPr>
          <w:rStyle w:val="FontStyle19"/>
        </w:rPr>
        <w:t xml:space="preserve">, pronunţată de Tribunalul </w:t>
      </w:r>
      <w:r w:rsidR="00CA307F">
        <w:rPr>
          <w:rStyle w:val="FontStyle19"/>
        </w:rPr>
        <w:t xml:space="preserve"> </w:t>
      </w:r>
      <w:r w:rsidR="00A02D34">
        <w:rPr>
          <w:rStyle w:val="FontStyle19"/>
        </w:rPr>
        <w:t xml:space="preserve">............ </w:t>
      </w:r>
      <w:r>
        <w:rPr>
          <w:rStyle w:val="FontStyle19"/>
        </w:rPr>
        <w:t>în dosarul nr.</w:t>
      </w:r>
      <w:r w:rsidR="00CA307F">
        <w:rPr>
          <w:rStyle w:val="FontStyle19"/>
        </w:rPr>
        <w:t>1</w:t>
      </w:r>
      <w:r>
        <w:rPr>
          <w:rStyle w:val="FontStyle19"/>
        </w:rPr>
        <w:t>.</w:t>
      </w:r>
    </w:p>
    <w:p w:rsidR="005C346E" w14:paraId="04BDEB64" w14:textId="77777777">
      <w:pPr>
        <w:pStyle w:val="Frspaiere"/>
        <w:ind w:firstLine="567"/>
        <w:jc w:val="both"/>
        <w:rPr>
          <w:rStyle w:val="FontStyle20"/>
        </w:rPr>
      </w:pPr>
      <w:r>
        <w:rPr>
          <w:rStyle w:val="FontStyle20"/>
        </w:rPr>
        <w:t>În probațiune, a solicitat proba cu înscrisuri.</w:t>
      </w:r>
    </w:p>
    <w:p w:rsidR="005C346E" w14:paraId="04FC1208" w14:textId="77777777">
      <w:pPr>
        <w:pStyle w:val="Frspaiere"/>
        <w:ind w:firstLine="567"/>
        <w:jc w:val="both"/>
        <w:rPr>
          <w:rStyle w:val="FontStyle20"/>
        </w:rPr>
      </w:pPr>
      <w:r>
        <w:rPr>
          <w:rStyle w:val="FontStyle19"/>
        </w:rPr>
        <w:t>În drept, au fost invocate generic dispozițiile</w:t>
      </w:r>
      <w:r>
        <w:rPr>
          <w:rStyle w:val="FontStyle20"/>
        </w:rPr>
        <w:t xml:space="preserve"> Noului Cod de Procedură Civilă.</w:t>
      </w:r>
    </w:p>
    <w:p w:rsidR="005C346E" w14:paraId="554C60F2" w14:textId="77777777">
      <w:pPr>
        <w:spacing w:after="200" w:line="276" w:lineRule="auto"/>
        <w:ind w:right="-709"/>
        <w:contextualSpacing/>
        <w:jc w:val="both"/>
        <w:rPr>
          <w:rStyle w:val="Fontdeparagrafimplicit"/>
          <w:b/>
        </w:rPr>
      </w:pPr>
    </w:p>
    <w:p w:rsidR="005C346E" w14:paraId="6E300BE9" w14:textId="77777777">
      <w:pPr>
        <w:numPr>
          <w:ilvl w:val="0"/>
          <w:numId w:val="1"/>
        </w:numPr>
        <w:spacing w:after="200" w:line="276" w:lineRule="auto"/>
        <w:ind w:right="-11"/>
        <w:jc w:val="both"/>
        <w:rPr>
          <w:rStyle w:val="Fontdeparagrafimplicit"/>
          <w:b/>
        </w:rPr>
      </w:pPr>
      <w:r>
        <w:rPr>
          <w:rStyle w:val="Fontdeparagrafimplicit"/>
          <w:b/>
        </w:rPr>
        <w:t>Alte aspecte procesuale</w:t>
      </w:r>
    </w:p>
    <w:p w:rsidR="005C346E" w14:paraId="4445EE58" w14:textId="77777777">
      <w:pPr>
        <w:ind w:right="-11" w:firstLine="708"/>
        <w:jc w:val="both"/>
      </w:pPr>
      <w:r>
        <w:t>În soluţionarea căii de atac în privinţa căreia a fost legal învestită, Curtea nu a administrat probe noi.</w:t>
      </w:r>
    </w:p>
    <w:p w:rsidR="005C346E" w14:paraId="49D573D2" w14:textId="77777777">
      <w:pPr>
        <w:ind w:right="-11" w:firstLine="708"/>
        <w:jc w:val="both"/>
      </w:pPr>
    </w:p>
    <w:p w:rsidR="005C346E" w14:paraId="1CC90E91" w14:textId="77777777">
      <w:pPr>
        <w:numPr>
          <w:ilvl w:val="0"/>
          <w:numId w:val="1"/>
        </w:numPr>
        <w:spacing w:after="200" w:line="276" w:lineRule="auto"/>
        <w:ind w:right="-709"/>
        <w:contextualSpacing/>
        <w:jc w:val="both"/>
        <w:rPr>
          <w:rStyle w:val="Fontdeparagrafimplicit"/>
          <w:b/>
        </w:rPr>
      </w:pPr>
      <w:r>
        <w:rPr>
          <w:rStyle w:val="Fontdeparagrafimplicit"/>
          <w:b/>
        </w:rPr>
        <w:t>Analiza instanţei de recurs</w:t>
      </w:r>
    </w:p>
    <w:p w:rsidR="005C346E" w14:paraId="68408AE5" w14:textId="77777777">
      <w:pPr>
        <w:pStyle w:val="Frspaiere"/>
        <w:ind w:firstLine="567"/>
        <w:jc w:val="both"/>
        <w:rPr>
          <w:rStyle w:val="FontStyle19"/>
          <w:b w:val="0"/>
        </w:rPr>
      </w:pPr>
      <w:r>
        <w:rPr>
          <w:rStyle w:val="FontStyle19"/>
        </w:rPr>
        <w:t xml:space="preserve">Calea de atac formulată în cauză s-a întemeiat pe motivele de recurs prevăzute de art. 488 alin. (1) pct. 6 și 8 din Codul de procedură civilă. </w:t>
      </w:r>
    </w:p>
    <w:p w:rsidR="005C346E" w14:paraId="0F1D5234" w14:textId="77777777">
      <w:pPr>
        <w:pStyle w:val="Frspaiere"/>
        <w:ind w:firstLine="567"/>
        <w:jc w:val="both"/>
        <w:rPr>
          <w:rStyle w:val="FontStyle19"/>
          <w:b w:val="0"/>
        </w:rPr>
      </w:pPr>
      <w:r>
        <w:rPr>
          <w:rStyle w:val="FontStyle19"/>
        </w:rPr>
        <w:t>În ceea ce privește criticile întemeiate pe dispozițiile art. 488 alin. (1) pct. 6 din Codul de procedură civilă, Curtea constată că acestea sunt neîntemeiate. Sentința atacată prevede în detaliu motivele pe care se întemeiază soluţia şi cauzele de înlăturare a argumentelor contrare ale părţilor, conform art. 425 alin. (1) lit. b) Codul de procedură civilă. Astfel, în considerentele sentinței s-au arătat obiectul cererii şi susţinerile pe scurt ale părţilor, expunerea situaţiei de fapt reţinută de instanţă pe baza probelor administrate, motivele de fapt şi de drept pe care se întemeiază soluţia, arătându-se atât motivele pentru care s-au admis, cât şi cele pentru care s-au înlăturat cererile părţilor.</w:t>
      </w:r>
    </w:p>
    <w:p w:rsidR="005C346E" w14:paraId="72E754A7" w14:textId="77777777">
      <w:pPr>
        <w:pStyle w:val="Frspaiere"/>
        <w:ind w:firstLine="567"/>
        <w:jc w:val="both"/>
        <w:rPr>
          <w:rStyle w:val="FontStyle19"/>
          <w:b w:val="0"/>
        </w:rPr>
      </w:pPr>
      <w:r>
        <w:rPr>
          <w:rStyle w:val="FontStyle19"/>
        </w:rPr>
        <w:t>Referitor la greșita interpretare a normelor de drept material, prevăzute la art. 488 alin. (1) pct. 8 din Codul de procedură civilă, Curtea arată că motivul invocat este fondat.</w:t>
      </w:r>
    </w:p>
    <w:p w:rsidR="005C346E" w14:paraId="2FA77A9D" w14:textId="77777777">
      <w:pPr>
        <w:pStyle w:val="Frspaiere"/>
        <w:ind w:firstLine="567"/>
        <w:jc w:val="both"/>
        <w:rPr>
          <w:rStyle w:val="FontStyle19"/>
          <w:b w:val="0"/>
        </w:rPr>
      </w:pPr>
      <w:r>
        <w:rPr>
          <w:rStyle w:val="FontStyle19"/>
        </w:rPr>
        <w:t>În acest sens, se cuvine a se arăta situația de fapt din speță, stabilită cu putere de lucru judecat de prima instanță.</w:t>
      </w:r>
    </w:p>
    <w:p w:rsidR="005C346E" w14:paraId="47179AE6" w14:textId="1074B804">
      <w:pPr>
        <w:pStyle w:val="Frspaiere"/>
        <w:ind w:firstLine="567"/>
        <w:jc w:val="both"/>
        <w:rPr>
          <w:rStyle w:val="Fontdeparagrafimplicit"/>
          <w:rFonts w:ascii="Times New Roman" w:hAnsi="Times New Roman"/>
          <w:sz w:val="24"/>
        </w:rPr>
      </w:pPr>
      <w:r>
        <w:rPr>
          <w:rStyle w:val="FontStyle19"/>
        </w:rPr>
        <w:t xml:space="preserve">Astfel, </w:t>
      </w:r>
      <w:r>
        <w:rPr>
          <w:rStyle w:val="Fontdeparagrafimplicit"/>
          <w:rFonts w:ascii="Times New Roman" w:hAnsi="Times New Roman"/>
          <w:sz w:val="24"/>
        </w:rPr>
        <w:t xml:space="preserve">Judeţul </w:t>
      </w:r>
      <w:r w:rsidR="00CA307F">
        <w:rPr>
          <w:rStyle w:val="Fontdeparagrafimplicit"/>
          <w:rFonts w:ascii="Times New Roman" w:hAnsi="Times New Roman"/>
          <w:sz w:val="24"/>
        </w:rPr>
        <w:t>A</w:t>
      </w:r>
      <w:r w:rsidR="00A02D34">
        <w:rPr>
          <w:rStyle w:val="Fontdeparagrafimplicit"/>
          <w:rFonts w:ascii="Times New Roman" w:hAnsi="Times New Roman"/>
          <w:sz w:val="24"/>
        </w:rPr>
        <w:t xml:space="preserve">............ </w:t>
      </w:r>
      <w:r>
        <w:rPr>
          <w:rStyle w:val="Fontdeparagrafimplicit"/>
          <w:rFonts w:ascii="Times New Roman" w:hAnsi="Times New Roman"/>
          <w:sz w:val="24"/>
        </w:rPr>
        <w:t xml:space="preserve">, prin Consiliul Judeţean </w:t>
      </w:r>
      <w:r w:rsidR="00CA307F">
        <w:rPr>
          <w:rStyle w:val="Fontdeparagrafimplicit"/>
          <w:rFonts w:ascii="Times New Roman" w:hAnsi="Times New Roman"/>
          <w:sz w:val="24"/>
        </w:rPr>
        <w:t>A</w:t>
      </w:r>
      <w:r w:rsidR="00A02D34">
        <w:rPr>
          <w:rStyle w:val="Fontdeparagrafimplicit"/>
          <w:rFonts w:ascii="Times New Roman" w:hAnsi="Times New Roman"/>
          <w:sz w:val="24"/>
        </w:rPr>
        <w:t xml:space="preserve">............ </w:t>
      </w:r>
      <w:r>
        <w:rPr>
          <w:rStyle w:val="Fontdeparagrafimplicit"/>
          <w:rFonts w:ascii="Times New Roman" w:hAnsi="Times New Roman"/>
          <w:sz w:val="24"/>
        </w:rPr>
        <w:t xml:space="preserve">, în calitate de achizitor – autoritate contractantă, şi </w:t>
      </w:r>
      <w:r w:rsidR="00477EEE">
        <w:rPr>
          <w:rStyle w:val="Fontdeparagrafimplicit"/>
          <w:rFonts w:ascii="Times New Roman" w:hAnsi="Times New Roman"/>
          <w:sz w:val="24"/>
        </w:rPr>
        <w:t xml:space="preserve">1 </w:t>
      </w:r>
      <w:r>
        <w:rPr>
          <w:rStyle w:val="Fontdeparagrafimplicit"/>
          <w:rFonts w:ascii="Times New Roman" w:hAnsi="Times New Roman"/>
          <w:sz w:val="24"/>
        </w:rPr>
        <w:t xml:space="preserve">SRL, în calitate de furnizor, au încheiat contractul de furnizare nr. </w:t>
      </w:r>
      <w:r w:rsidR="00797333">
        <w:rPr>
          <w:rStyle w:val="Fontdeparagrafimplicit"/>
          <w:rFonts w:ascii="Times New Roman" w:hAnsi="Times New Roman"/>
          <w:sz w:val="24"/>
        </w:rPr>
        <w:t>11/.......2015</w:t>
      </w:r>
      <w:r>
        <w:rPr>
          <w:rStyle w:val="Fontdeparagrafimplicit"/>
          <w:rFonts w:ascii="Times New Roman" w:hAnsi="Times New Roman"/>
          <w:sz w:val="24"/>
        </w:rPr>
        <w:t>, având ca obiect livrarea și instalarea echipamentelor de bunuri specializate în cadrul proiectului ,,Îmbunătăţirea managementului situaţiilor de urgenţă în regiunea transfrontralieră (IMES) - maşini şi echipamente specializate pentru intervenţii (autoscara 2 buc., autospeciale de intervenţie medie capacitate cu spumă 3 buc., automacara 1 buc., vehicule rutiere de primă intervenţie şi comandă 5 buc., camion de intervenţie 1 buc.) în perioada/perioadele convenite, produsele fiind definite în prezentul contract. (pct. 4 din contract).</w:t>
      </w:r>
    </w:p>
    <w:p w:rsidR="005C346E" w14:paraId="6F9E366E" w14:textId="77777777">
      <w:pPr>
        <w:ind w:firstLine="567"/>
        <w:jc w:val="both"/>
      </w:pPr>
      <w:r>
        <w:t>Preţul contractului, mai precis, preţul produselor livrate, a fost stabilit la  5.199.498 lei, la care se adaugă TVA (pct. 5 din contract), iar durata contractului este de 3 luni, dar nu mai târziu de 31.12.2015, începând cu data emiterii ordinului de începere a contractului, dar nu mai târziu de 21.12.2015. (pct. 6 din contract).</w:t>
      </w:r>
    </w:p>
    <w:p w:rsidR="005C346E" w14:paraId="239B01BD" w14:textId="77777777">
      <w:pPr>
        <w:ind w:firstLine="567"/>
        <w:jc w:val="both"/>
      </w:pPr>
      <w:r>
        <w:t xml:space="preserve"> Conform pct. 7 din contract, executarea contractului începe după constituirea garanţiei de bună execuţie şi emiterea ordinului de începere a contractului.</w:t>
      </w:r>
    </w:p>
    <w:p w:rsidR="005C346E" w14:paraId="0C9E792B" w14:textId="77777777">
      <w:pPr>
        <w:ind w:firstLine="567"/>
        <w:jc w:val="both"/>
      </w:pPr>
      <w:r>
        <w:t xml:space="preserve"> Pct. 11 din contract prevede sancţiuni pentru neândeplinirea culpabilă a obligaţiilor: în cazul în care furnizorul, din vina sa exclusivă, nu reuşeşte să-şi execute obligaţiile asumate prin contract, dreptul beneficiarului de a deduce ca penalităţi o dobândă legală remuneratorie şi penalizatoare conform prevederilor legale în vigoare; în cazul în care beneficiarul nu îşi onorează obligaţiile în termen de 28 de zile de la expirarea perioadei convenite, după acest termen beneficiarul datorează o dobândă legală remuneratorie şi penalizatoare .</w:t>
      </w:r>
    </w:p>
    <w:p w:rsidR="005C346E" w14:paraId="369B215E" w14:textId="77777777">
      <w:pPr>
        <w:ind w:firstLine="567"/>
        <w:jc w:val="both"/>
      </w:pPr>
      <w:r>
        <w:t>Conform pct. 12 din contract referitor la garanţia de bună execuţie a contractului, furnizorul se obligă să constituie garanţia de bună execuţie a contractului, în cuantum de 5% din preţul contractului fără TVA. Achizitorul se obligă să elibereze garanţia pentru participare şi să emită ordinul de începere a contractului numai după ce furnizorul a făcut dovada constituirii garanţiei de bună execuţie.</w:t>
      </w:r>
    </w:p>
    <w:p w:rsidR="005C346E" w14:paraId="785BD635" w14:textId="77777777">
      <w:pPr>
        <w:ind w:firstLine="567"/>
        <w:jc w:val="both"/>
      </w:pPr>
      <w:r>
        <w:t xml:space="preserve">Achizitorul are dreptul de a emite pretenţii asupra garanţiei de bună execuţie, în limita prejudiciului creat dacă furnizorul nu îşi îndeplineşte, nu îşi execută, execută cu întârziere sau execută necorespunzător obligaţiile asumate prin prezentul contract. Anterior emiterii unei </w:t>
      </w:r>
      <w:r>
        <w:t>pretenţii asupra garanţiei de bună execuţie, achizitorul are obligaţia de a notifica acest lucru furnizorului precizând totodată obligaţiile care nu au fost respectate.</w:t>
      </w:r>
    </w:p>
    <w:p w:rsidR="005C346E" w14:paraId="76359EE5" w14:textId="77777777">
      <w:pPr>
        <w:ind w:firstLine="567"/>
        <w:jc w:val="both"/>
      </w:pPr>
      <w:r>
        <w:t xml:space="preserve"> Prin înscrisul denumit ,,Document constatator primar nr. 7/29.01.2016”, achizitorul a arătat că nu au fost furnizate 2 autoscări şi 3 autospeciale de intervenţie de medie capacitate cu spumă, constatând faptul că furnizorul nu a îndeplinit obligațiile contractuale care îi reveneau. </w:t>
      </w:r>
    </w:p>
    <w:p w:rsidR="005C346E" w14:paraId="021DA9E9" w14:textId="6807D2DC">
      <w:pPr>
        <w:ind w:firstLine="567"/>
        <w:jc w:val="both"/>
      </w:pPr>
      <w:r>
        <w:t xml:space="preserve">În consecință, prin adresa nr. </w:t>
      </w:r>
      <w:r w:rsidR="00797333">
        <w:t>10</w:t>
      </w:r>
      <w:r>
        <w:t xml:space="preserve">/01.02.2016, intimatul-pârât a notificat recurenta-reclamantă cu privire la emiterea pretenţiei asupra garanţiei de bună execuţie. Tototată, prin adresa nr. </w:t>
      </w:r>
      <w:r w:rsidR="00477EEE">
        <w:t>2</w:t>
      </w:r>
      <w:r>
        <w:t xml:space="preserve">/01.02.2016, autoritatea contractantă comunică furnizorului suma care va fi reţinută din garanţia de bună execuţie a contractului de furnizare nr. </w:t>
      </w:r>
      <w:r w:rsidR="00797333">
        <w:t>11/2015</w:t>
      </w:r>
      <w:r>
        <w:t xml:space="preserve"> în cuantum de 259974,90, respectiv 5% din valoarea echipamentelor nelivrate, suma de 205322,75 lei. </w:t>
      </w:r>
    </w:p>
    <w:p w:rsidR="005C346E" w14:paraId="470C06B7" w14:textId="2A862523">
      <w:pPr>
        <w:ind w:firstLine="567"/>
        <w:jc w:val="both"/>
      </w:pPr>
      <w:r>
        <w:t xml:space="preserve"> În drept, astfel cum a constatat și instanța de fond, contractul de furnizare de produse nr. </w:t>
      </w:r>
      <w:r w:rsidR="00797333">
        <w:t xml:space="preserve">11/.......2015 </w:t>
      </w:r>
      <w:r>
        <w:t>este încheiat în temeiul OUG nr. 34/2006 privind atribuirea contractelor de achiziție publică, a contractelor de concesiune de lucrări publice și a contractelor de concesiune de servicii.</w:t>
      </w:r>
    </w:p>
    <w:p w:rsidR="005C346E" w14:paraId="336A87BB" w14:textId="77777777">
      <w:pPr>
        <w:ind w:firstLine="567"/>
        <w:jc w:val="both"/>
      </w:pPr>
      <w:r>
        <w:t>Conform art. 91 din HG nr. 925/2006 pentru aprobarea normelor de aplicare a prevederilor referitoare la atribuirea contractelor de achiziție publică din Ordonanța de urgență a Guvernului nr. 34/2006 privind atribuirea contractelor de achiziție publică, a contractelor de concesiune de lucrări publice și a contractelor de concesiune de servicii:</w:t>
      </w:r>
    </w:p>
    <w:p w:rsidR="005C346E" w14:paraId="18E5D4F9" w14:textId="77777777">
      <w:pPr>
        <w:ind w:firstLine="567"/>
        <w:jc w:val="both"/>
      </w:pPr>
      <w:r>
        <w:t>„Autoritatea contractantă are dreptul de a emite pretenții asupra garanției de bună execuție, oricând pe parcursul îndeplinirii contractului, în limita prejudiciului creat, în cazul în care contractantul nu își îndeplinește obligațiile asumate prin contract. Anterior emiterii unei pretenții asupra garanției de bună execuție autoritatea contractantă are obligația de a notifica pretenția contractantului, precizând obligațiile care nu au fost respectate.”</w:t>
      </w:r>
    </w:p>
    <w:p w:rsidR="005C346E" w14:paraId="4428053C" w14:textId="77777777">
      <w:pPr>
        <w:ind w:firstLine="567"/>
        <w:jc w:val="both"/>
      </w:pPr>
      <w:r>
        <w:t>Din cele menționate anterior, rezultă faptul că, prin reținerea garanției de bună execuție, autoritatea contractantă, intimata-pârâtă din prezentul dosar, a intenționat angajarea răspunderii civile contractuale a recurentei-reclamante pentru neexecutarea contractului.</w:t>
      </w:r>
    </w:p>
    <w:p w:rsidR="005C346E" w14:paraId="4E5DB227" w14:textId="77777777">
      <w:pPr>
        <w:ind w:firstLine="567"/>
        <w:jc w:val="both"/>
      </w:pPr>
      <w:r>
        <w:t>Curtea arată că răspunderea contractuală este atrasă de obligația debitorului de a repara pecuniar prejudiciul cauzat creditorului său prin neexecutarea, executarea necorespunzătoare ori cu întârziere a obligațiilor născute dintr-un contract valabil încheiat.</w:t>
      </w:r>
    </w:p>
    <w:p w:rsidR="005C346E" w14:paraId="7B885676" w14:textId="77777777">
      <w:pPr>
        <w:ind w:firstLine="567"/>
        <w:jc w:val="both"/>
      </w:pPr>
      <w:r>
        <w:t>În consecință, pentru a fi în prezența răspunderii civile contractuale, trebuie să fie îndeplinite următoarele condiții, respectiv să existe:</w:t>
      </w:r>
    </w:p>
    <w:p w:rsidR="005C346E" w14:paraId="3869D3F8" w14:textId="77777777">
      <w:pPr>
        <w:ind w:firstLine="567"/>
        <w:jc w:val="both"/>
      </w:pPr>
      <w:r>
        <w:t>- o neexecutare totală sau parțială sau executarea să fie necorespunzătoare calitativ sau cantitativ;</w:t>
      </w:r>
    </w:p>
    <w:p w:rsidR="005C346E" w14:paraId="4EF5A889" w14:textId="77777777">
      <w:pPr>
        <w:ind w:firstLine="567"/>
        <w:jc w:val="both"/>
      </w:pPr>
      <w:r>
        <w:t>- culpa sau  vinovăția debitorului;</w:t>
      </w:r>
    </w:p>
    <w:p w:rsidR="005C346E" w14:paraId="414F68A2" w14:textId="77777777">
      <w:pPr>
        <w:ind w:firstLine="567"/>
        <w:jc w:val="both"/>
      </w:pPr>
      <w:r>
        <w:t>- prejudiciu;</w:t>
      </w:r>
    </w:p>
    <w:p w:rsidR="005C346E" w14:paraId="1E6DF907" w14:textId="77777777">
      <w:pPr>
        <w:ind w:firstLine="567"/>
        <w:jc w:val="both"/>
      </w:pPr>
      <w:r>
        <w:t>- raport de cauzalitate între faptă și prejudiciu cauzat.</w:t>
      </w:r>
    </w:p>
    <w:p w:rsidR="005C346E" w14:paraId="7BF743C7" w14:textId="77777777">
      <w:pPr>
        <w:ind w:firstLine="567"/>
        <w:jc w:val="both"/>
      </w:pPr>
    </w:p>
    <w:p w:rsidR="005C346E" w14:paraId="57F01903" w14:textId="4930DFF8">
      <w:pPr>
        <w:ind w:firstLine="567"/>
        <w:jc w:val="both"/>
        <w:rPr>
          <w:rStyle w:val="Fontdeparagrafimplicit"/>
          <w:color w:val="000000"/>
        </w:rPr>
      </w:pPr>
      <w:r>
        <w:t xml:space="preserve">În cauză, neexecutarea </w:t>
      </w:r>
      <w:r>
        <w:rPr>
          <w:rStyle w:val="Fontdeparagrafimplicit"/>
          <w:color w:val="000000"/>
        </w:rPr>
        <w:t xml:space="preserve">obligațiilor contractuale asumate, precum și culpa debitorului au fost stabilite cu putere de lucru judecat prin sentinţa civilă nr. </w:t>
      </w:r>
      <w:r w:rsidR="00797333">
        <w:rPr>
          <w:rStyle w:val="Fontdeparagrafimplicit"/>
          <w:color w:val="000000"/>
        </w:rPr>
        <w:t xml:space="preserve">C </w:t>
      </w:r>
      <w:r>
        <w:rPr>
          <w:rStyle w:val="Fontdeparagrafimplicit"/>
          <w:color w:val="000000"/>
        </w:rPr>
        <w:t xml:space="preserve">din </w:t>
      </w:r>
      <w:r w:rsidR="00797333">
        <w:rPr>
          <w:rStyle w:val="Fontdeparagrafimplicit"/>
          <w:color w:val="000000"/>
        </w:rPr>
        <w:t xml:space="preserve">........... </w:t>
      </w:r>
      <w:r>
        <w:rPr>
          <w:rStyle w:val="Fontdeparagrafimplicit"/>
          <w:color w:val="000000"/>
        </w:rPr>
        <w:t xml:space="preserve">, pronunțată de Tribunalul </w:t>
      </w:r>
      <w:r w:rsidR="00CA307F">
        <w:rPr>
          <w:rStyle w:val="Fontdeparagrafimplicit"/>
          <w:color w:val="000000"/>
        </w:rPr>
        <w:t xml:space="preserve"> </w:t>
      </w:r>
      <w:r w:rsidR="00A02D34">
        <w:rPr>
          <w:rStyle w:val="Fontdeparagrafimplicit"/>
          <w:color w:val="000000"/>
        </w:rPr>
        <w:t xml:space="preserve">............ </w:t>
      </w:r>
      <w:r>
        <w:rPr>
          <w:rStyle w:val="Fontdeparagrafimplicit"/>
          <w:color w:val="000000"/>
        </w:rPr>
        <w:t xml:space="preserve">şi definitivă prin decizia civilă nr. </w:t>
      </w:r>
      <w:r w:rsidR="00797333">
        <w:rPr>
          <w:rStyle w:val="Fontdeparagrafimplicit"/>
          <w:color w:val="000000"/>
        </w:rPr>
        <w:t xml:space="preserve">D/............ </w:t>
      </w:r>
      <w:r>
        <w:rPr>
          <w:rStyle w:val="Fontdeparagrafimplicit"/>
          <w:color w:val="000000"/>
        </w:rPr>
        <w:t xml:space="preserve">, pronunţată de Curtea de Apel </w:t>
      </w:r>
      <w:r w:rsidR="00A02D34">
        <w:rPr>
          <w:rStyle w:val="Fontdeparagrafimplicit"/>
          <w:color w:val="000000"/>
        </w:rPr>
        <w:t xml:space="preserve">.................. </w:t>
      </w:r>
      <w:r>
        <w:rPr>
          <w:rStyle w:val="Fontdeparagrafimplicit"/>
          <w:color w:val="000000"/>
        </w:rPr>
        <w:t>.</w:t>
      </w:r>
    </w:p>
    <w:p w:rsidR="005C346E" w14:paraId="30FC5B56" w14:textId="43E6DF3A">
      <w:pPr>
        <w:ind w:firstLine="567"/>
        <w:jc w:val="both"/>
        <w:rPr>
          <w:rStyle w:val="Fontdeparagrafimplicit"/>
          <w:color w:val="000000"/>
        </w:rPr>
      </w:pPr>
      <w:r>
        <w:rPr>
          <w:rStyle w:val="Fontdeparagrafimplicit"/>
          <w:color w:val="000000"/>
        </w:rPr>
        <w:t xml:space="preserve">În sentinţa civilă anterior menţionată s-au arătat, cu privire la cererea de anulare a adresei nr. </w:t>
      </w:r>
      <w:r w:rsidR="00797333">
        <w:rPr>
          <w:rStyle w:val="Fontdeparagrafimplicit"/>
          <w:color w:val="000000"/>
        </w:rPr>
        <w:t xml:space="preserve">13 </w:t>
      </w:r>
      <w:r>
        <w:rPr>
          <w:rStyle w:val="Fontdeparagrafimplicit"/>
          <w:color w:val="000000"/>
        </w:rPr>
        <w:t>/02.03.2016 şi a documentului constatator nr. 7/29.01.2016, formulată de recurenta-reclamantă din prezentul dosar, următoarele: „în condiţiile în care reclamanta nu a executat obligaţiile contractuale la termenul limită de 31.12.2015, nu se poate reţine că cele două acte contestate sunt nelegale”.</w:t>
      </w:r>
    </w:p>
    <w:p w:rsidR="005C346E" w14:paraId="5C48C483" w14:textId="77777777">
      <w:pPr>
        <w:ind w:firstLine="567"/>
        <w:jc w:val="both"/>
      </w:pPr>
      <w:r>
        <w:t>Cu privire la prejudiciu, Curtea arată că acesta constă în consecințele dăunătoare de natură patrimonială sau nepatrimonială, efecte ale încălcării de către debitor a dreptului de creanță aparținând creditorului său contractual, prin neexecutarea prestației sau prestațiilor la care s-a îndatorat.</w:t>
      </w:r>
    </w:p>
    <w:p w:rsidR="005C346E" w14:paraId="6EA7C05C" w14:textId="77777777">
      <w:pPr>
        <w:ind w:firstLine="567"/>
        <w:jc w:val="both"/>
      </w:pPr>
      <w:r>
        <w:t>Prejudiciul cuprinde pierderea efectiv suferită de creditor și beneficiul de care acesta a fost lipsit. La stabilirea întinderii prejudiciului se ține seama și de cheltuielile pe care creditorul le-a făcut, într-o limită rezonabilă, pentru evitarea sau limitarea prejudiciului.</w:t>
      </w:r>
    </w:p>
    <w:p w:rsidR="005C346E" w14:paraId="348B8368" w14:textId="77777777">
      <w:pPr>
        <w:ind w:firstLine="567"/>
        <w:jc w:val="both"/>
      </w:pPr>
      <w:r>
        <w:t>Prejudiciul este urmarea faptei ilicite a debitorului, faptă care constă în neexecutarea sau executarea necorespunzătoare a obligației asumate.</w:t>
      </w:r>
    </w:p>
    <w:p w:rsidR="005C346E" w14:paraId="673CFB87" w14:textId="77777777">
      <w:pPr>
        <w:ind w:firstLine="567"/>
        <w:jc w:val="both"/>
      </w:pPr>
      <w:r>
        <w:t>Sarcina probei prejudiciului revine creditorului, cu excepția situațiilor în care întinderea prejudiciului este stabilită de lege.</w:t>
      </w:r>
    </w:p>
    <w:p w:rsidR="005C346E" w14:paraId="298A6693" w14:textId="77777777">
      <w:pPr>
        <w:ind w:firstLine="567"/>
        <w:jc w:val="both"/>
      </w:pPr>
      <w:r>
        <w:t>Or, în cauză, întinderea prejudiciului nu este anticipată legal, astfel că aceasta trebuia indicată de autoritatea contractantă. Curtea observă, însă, că intimata-pârâtă nu a indicat care sunt criteriile pe baza cărora a fost calculat prejudiciul. Dimpotrivă, aceasta s-a limitat doar să indice valoarea prejudiciului - respectiv 5% din valoarea echipamentelor nelivrate, suma de 205322,75 lei. Suma indicată a fost reținută din valoarea totală a garanței de bună execuție de 259974,90 lei.</w:t>
      </w:r>
    </w:p>
    <w:p w:rsidR="005C346E" w14:paraId="3D8DEAE5" w14:textId="26FFD626">
      <w:pPr>
        <w:ind w:firstLine="567"/>
        <w:jc w:val="both"/>
      </w:pPr>
      <w:r>
        <w:t xml:space="preserve">Curtea nu poate reține apărarea intimatei-pârâte în sensul că prejudiciul decurge din însăși neexecutarea contractului. Mai mult, valoarea pagubei încercate nu poate avea legătură cu valoarea echipamentelor nelivrate, din moment ce autoritatea contractantă a achitat din fonduri proprii și, ulterior, a recuperat sumele avansate în acest scop, în aceeași proporție anticipată prin îndeplinirea contractului încheiat cu </w:t>
      </w:r>
      <w:r w:rsidR="00797333">
        <w:t>1</w:t>
      </w:r>
      <w:r>
        <w:t xml:space="preserve"> SRL, din fonduri structurale europene. </w:t>
      </w:r>
    </w:p>
    <w:p w:rsidR="005C346E" w14:paraId="087936B3" w14:textId="53490D98">
      <w:pPr>
        <w:ind w:firstLine="567"/>
        <w:jc w:val="both"/>
      </w:pPr>
      <w:r>
        <w:t xml:space="preserve">Astfel, potrivit contractului de finanţare nerambursabilă nr. </w:t>
      </w:r>
      <w:r w:rsidR="00797333">
        <w:t>14</w:t>
      </w:r>
      <w:r>
        <w:t xml:space="preserve">/03.06.2014 fonduri europene, bunurile care fac obiectul contractului nr. </w:t>
      </w:r>
      <w:r w:rsidR="00797333">
        <w:t xml:space="preserve">11/.......2015 </w:t>
      </w:r>
      <w:r>
        <w:t xml:space="preserve">au fost finanţate din asemenea fonduri în valoare de 84,82 %. Prin Hotărârea Consiliului Judeţean </w:t>
      </w:r>
      <w:r w:rsidR="00CA307F">
        <w:t>A</w:t>
      </w:r>
      <w:r w:rsidR="00A02D34">
        <w:t xml:space="preserve">............ </w:t>
      </w:r>
      <w:r>
        <w:t xml:space="preserve">nr. </w:t>
      </w:r>
      <w:r w:rsidR="00477EEE">
        <w:t>6</w:t>
      </w:r>
      <w:r>
        <w:t xml:space="preserve">/22.12.2015,  s-a prelungit durata de implementare a proiectului, iar apoi s-a desfăşurat o nouă procedură de achiziţie publică. Ulterior, fondurile proprii avansate pentru achitarea produselor livrate în cadrul celei de a doua proceduri de achiziţie publică – contractul de achiziţie nr. </w:t>
      </w:r>
      <w:r w:rsidR="00FA7147">
        <w:t>15/12.04.2016</w:t>
      </w:r>
      <w:r>
        <w:t xml:space="preserve">, încheiat cu furnizorul </w:t>
      </w:r>
      <w:r w:rsidR="00477EEE">
        <w:t xml:space="preserve">3 </w:t>
      </w:r>
      <w:r>
        <w:t>SA, au fost recuperate în aceeaşi proporţie precum cea estimată la debutul primei proceduri de achiziţie publică.</w:t>
      </w:r>
    </w:p>
    <w:p w:rsidR="005C346E" w14:paraId="2D342CE6" w14:textId="77777777">
      <w:pPr>
        <w:ind w:firstLine="567"/>
        <w:jc w:val="both"/>
      </w:pPr>
      <w:r>
        <w:t>Astfel, Curtea constată că prima instanță a reținut în mod eronat îndeplinirea condițiilor pentru angajarea răspunderii contractuale a recurentei-reclamantei, din moment ce existența și întinderea prejudiciului nu a fost dovedită.</w:t>
      </w:r>
    </w:p>
    <w:p w:rsidR="005C346E" w14:paraId="45AB2C0D" w14:textId="53B7BF70">
      <w:pPr>
        <w:ind w:right="-144" w:firstLine="708"/>
        <w:jc w:val="both"/>
      </w:pPr>
      <w:r>
        <w:t xml:space="preserve">Constatând că motivul de recurs întemeiat pe dispozițiile art. 488 alin. (1) pct. 8 din Codul de procedură civilă este întemeiat, Curtea urmează să admită recursul, în temeiul art. 496 din Codul de procedură civilă și al art. 20 din Legea nr. 554/2004 privind contenciosul administrativ, va casa  în tot sentinţa recurată şi, în rejudecare, va admite în parte cererea, prin anularea în parte a actului nr. </w:t>
      </w:r>
      <w:r w:rsidR="00477EEE">
        <w:t>2</w:t>
      </w:r>
      <w:r>
        <w:t xml:space="preserve">/1.02.2016, în ceea ce priveşte reţinerea sumei de 205.322,75 lei din garanţia de bună execuţie și va obliga pârâtul să restituie reclamantei suma de 205.322,75 lei. </w:t>
      </w:r>
    </w:p>
    <w:p w:rsidR="005C346E" w14:paraId="52C5C6EA" w14:textId="77777777">
      <w:pPr>
        <w:jc w:val="both"/>
      </w:pPr>
    </w:p>
    <w:p w:rsidR="005C346E" w14:paraId="086CD0D5" w14:textId="77777777">
      <w:pPr>
        <w:jc w:val="center"/>
        <w:rPr>
          <w:rStyle w:val="Fontdeparagrafimplicit"/>
          <w:b/>
        </w:rPr>
      </w:pPr>
      <w:r>
        <w:rPr>
          <w:rStyle w:val="Fontdeparagrafimplicit"/>
          <w:b/>
        </w:rPr>
        <w:t>PENTRU ACESTE MOTIVE</w:t>
      </w:r>
    </w:p>
    <w:p w:rsidR="005C346E" w14:paraId="51943C57" w14:textId="77777777">
      <w:pPr>
        <w:jc w:val="center"/>
        <w:rPr>
          <w:rStyle w:val="Fontdeparagrafimplicit"/>
          <w:b/>
        </w:rPr>
      </w:pPr>
      <w:r>
        <w:rPr>
          <w:rStyle w:val="Fontdeparagrafimplicit"/>
          <w:b/>
        </w:rPr>
        <w:t>ÎN NUMELE LEGII</w:t>
      </w:r>
    </w:p>
    <w:p w:rsidR="005C346E" w14:paraId="3EDBC1F4" w14:textId="77777777">
      <w:pPr>
        <w:jc w:val="center"/>
        <w:rPr>
          <w:rStyle w:val="Fontdeparagrafimplicit"/>
          <w:b/>
        </w:rPr>
      </w:pPr>
      <w:r>
        <w:rPr>
          <w:rStyle w:val="Fontdeparagrafimplicit"/>
          <w:b/>
        </w:rPr>
        <w:t>DECIDE:</w:t>
      </w:r>
    </w:p>
    <w:p w:rsidR="005C346E" w14:paraId="0FAC7A25" w14:textId="77777777">
      <w:pPr>
        <w:contextualSpacing/>
        <w:jc w:val="both"/>
        <w:rPr>
          <w:rStyle w:val="Fontdeparagrafimplicit"/>
        </w:rPr>
      </w:pPr>
    </w:p>
    <w:p w:rsidR="005C346E" w14:paraId="66D6A260" w14:textId="58BEB4FC">
      <w:pPr>
        <w:ind w:right="-144" w:firstLine="708"/>
        <w:jc w:val="both"/>
      </w:pPr>
      <w:r>
        <w:t xml:space="preserve">Admite recursul formulat de </w:t>
      </w:r>
      <w:r>
        <w:rPr>
          <w:rStyle w:val="Fontdeparagrafimplicit"/>
          <w:b/>
        </w:rPr>
        <w:t xml:space="preserve">recurenta-reclamantă </w:t>
      </w:r>
      <w:r w:rsidR="00A02D34">
        <w:rPr>
          <w:rStyle w:val="Fontdeparagrafimplicit"/>
          <w:b/>
        </w:rPr>
        <w:t xml:space="preserve">1 </w:t>
      </w:r>
      <w:r>
        <w:rPr>
          <w:rStyle w:val="Fontdeparagrafimplicit"/>
          <w:b/>
        </w:rPr>
        <w:t xml:space="preserve">SRL, </w:t>
      </w:r>
      <w:r>
        <w:t xml:space="preserve">cu sediul în </w:t>
      </w:r>
      <w:r w:rsidR="00A02D34">
        <w:t xml:space="preserve">.................. </w:t>
      </w:r>
      <w:r>
        <w:t xml:space="preserve">, </w:t>
      </w:r>
      <w:r w:rsidR="00FA7147">
        <w:t>........</w:t>
      </w:r>
      <w:r>
        <w:t>, st</w:t>
      </w:r>
      <w:r w:rsidR="00FA7147">
        <w:t>r</w:t>
      </w:r>
      <w:r>
        <w:t xml:space="preserve">. </w:t>
      </w:r>
      <w:r w:rsidR="00FA7147">
        <w:t>.....</w:t>
      </w:r>
      <w:r>
        <w:t xml:space="preserve"> nr. </w:t>
      </w:r>
      <w:r w:rsidR="00FA7147">
        <w:t>........</w:t>
      </w:r>
      <w:r>
        <w:t xml:space="preserve">, împotriva sentinţei civile nr. </w:t>
      </w:r>
      <w:r w:rsidR="00A02D34">
        <w:t xml:space="preserve">......../............ </w:t>
      </w:r>
      <w:r>
        <w:t xml:space="preserve">, pronunţate de Tribunalul </w:t>
      </w:r>
      <w:r w:rsidR="00CA307F">
        <w:t xml:space="preserve"> </w:t>
      </w:r>
      <w:r w:rsidR="00A02D34">
        <w:t xml:space="preserve">............ </w:t>
      </w:r>
      <w:r>
        <w:t xml:space="preserve">- Secţia </w:t>
      </w:r>
      <w:r w:rsidR="00A02D34">
        <w:t xml:space="preserve">............ </w:t>
      </w:r>
      <w:r>
        <w:t xml:space="preserve"> în dosarul nr. </w:t>
      </w:r>
      <w:r w:rsidR="00CA307F">
        <w:t>1</w:t>
      </w:r>
      <w:r>
        <w:t xml:space="preserve">, în contradictoriu cu intimata-pârâtă </w:t>
      </w:r>
      <w:r>
        <w:rPr>
          <w:rStyle w:val="Fontdeparagrafimplicit"/>
          <w:b/>
        </w:rPr>
        <w:t xml:space="preserve">UNITATEA ADMINISTRATIV TERITORIALĂ JUDEŢUL </w:t>
      </w:r>
      <w:r w:rsidR="00CA307F">
        <w:rPr>
          <w:rStyle w:val="Fontdeparagrafimplicit"/>
          <w:b/>
        </w:rPr>
        <w:t>A</w:t>
      </w:r>
      <w:r w:rsidR="00A02D34">
        <w:rPr>
          <w:rStyle w:val="Fontdeparagrafimplicit"/>
          <w:b/>
        </w:rPr>
        <w:t xml:space="preserve">............ </w:t>
      </w:r>
      <w:r>
        <w:rPr>
          <w:rStyle w:val="Fontdeparagrafimplicit"/>
          <w:b/>
        </w:rPr>
        <w:t xml:space="preserve">prin CONSILIUL JUDEŢEAN </w:t>
      </w:r>
      <w:r w:rsidR="00CA307F">
        <w:rPr>
          <w:rStyle w:val="Fontdeparagrafimplicit"/>
          <w:b/>
        </w:rPr>
        <w:t>A</w:t>
      </w:r>
      <w:r w:rsidR="00A02D34">
        <w:rPr>
          <w:rStyle w:val="Fontdeparagrafimplicit"/>
          <w:b/>
        </w:rPr>
        <w:t xml:space="preserve">............ </w:t>
      </w:r>
      <w:r>
        <w:t xml:space="preserve">, cu sediul în </w:t>
      </w:r>
      <w:r w:rsidR="00FA7147">
        <w:t>.......</w:t>
      </w:r>
      <w:r>
        <w:t xml:space="preserve">, str. </w:t>
      </w:r>
      <w:r w:rsidR="00FA7147">
        <w:t>.......</w:t>
      </w:r>
      <w:r>
        <w:t xml:space="preserve"> nr. </w:t>
      </w:r>
      <w:r w:rsidR="00FA7147">
        <w:t>.........</w:t>
      </w:r>
      <w:r>
        <w:t xml:space="preserve">, judeţ </w:t>
      </w:r>
      <w:r w:rsidR="00CA307F">
        <w:t>A</w:t>
      </w:r>
      <w:r w:rsidR="00A02D34">
        <w:t xml:space="preserve">............ </w:t>
      </w:r>
      <w:r>
        <w:t xml:space="preserve">. </w:t>
      </w:r>
    </w:p>
    <w:p w:rsidR="005C346E" w14:paraId="53201AE9" w14:textId="77777777">
      <w:pPr>
        <w:ind w:right="-144" w:firstLine="708"/>
        <w:jc w:val="both"/>
      </w:pPr>
      <w:r>
        <w:t xml:space="preserve">Casează în tot sentinţa recurată şi, în rejudecare: </w:t>
      </w:r>
    </w:p>
    <w:p w:rsidR="005C346E" w14:paraId="11B534EA" w14:textId="77777777">
      <w:pPr>
        <w:ind w:right="-144" w:firstLine="708"/>
        <w:jc w:val="both"/>
      </w:pPr>
      <w:r>
        <w:t xml:space="preserve">Admite în parte cererea. </w:t>
      </w:r>
    </w:p>
    <w:p w:rsidR="005C346E" w14:paraId="6FBBA76F" w14:textId="3E2AA9DF">
      <w:pPr>
        <w:ind w:right="-144" w:firstLine="708"/>
        <w:jc w:val="both"/>
      </w:pPr>
      <w:r>
        <w:t xml:space="preserve">Anulează în parte actul nr. </w:t>
      </w:r>
      <w:r w:rsidR="00477EEE">
        <w:t>2</w:t>
      </w:r>
      <w:r>
        <w:t xml:space="preserve">/1.02.2016 în ceea ce priveşte reţinerea sumei de 205.322,75 lei din garanţia de bună execuţie. </w:t>
      </w:r>
    </w:p>
    <w:p w:rsidR="005C346E" w14:paraId="0D133088" w14:textId="77777777">
      <w:pPr>
        <w:ind w:right="-144" w:firstLine="708"/>
        <w:jc w:val="both"/>
      </w:pPr>
      <w:r>
        <w:t xml:space="preserve">Obligă pârâtul să restituie reclamantei suma de 205.322,75 lei. </w:t>
      </w:r>
    </w:p>
    <w:p w:rsidR="005C346E" w14:paraId="343997C4" w14:textId="77777777">
      <w:pPr>
        <w:ind w:right="-144" w:firstLine="708"/>
        <w:jc w:val="both"/>
      </w:pPr>
      <w:r>
        <w:t xml:space="preserve">Definitivă. </w:t>
      </w:r>
    </w:p>
    <w:p w:rsidR="005C346E" w14:paraId="2080032F" w14:textId="1AF8D7F2">
      <w:pPr>
        <w:ind w:right="-144" w:firstLine="708"/>
        <w:jc w:val="both"/>
      </w:pPr>
      <w:r>
        <w:t xml:space="preserve">Pronunţată în şedinţă publică astăzi, </w:t>
      </w:r>
      <w:r w:rsidR="00A02D34">
        <w:t xml:space="preserve">............ </w:t>
      </w:r>
      <w:r>
        <w:t>.</w:t>
      </w:r>
    </w:p>
    <w:p w:rsidR="005C346E" w14:paraId="6A06F8C4" w14:textId="77777777">
      <w:pPr>
        <w:ind w:right="-144" w:firstLine="708"/>
        <w:jc w:val="both"/>
      </w:pPr>
    </w:p>
    <w:p w:rsidR="005C346E" w14:paraId="2882571D" w14:textId="77777777">
      <w:pPr>
        <w:ind w:right="-144"/>
        <w:jc w:val="both"/>
        <w:rPr>
          <w:rStyle w:val="Fontdeparagrafimplicit"/>
          <w:b/>
          <w:color w:val="000000"/>
        </w:rPr>
      </w:pPr>
      <w:r>
        <w:rPr>
          <w:rStyle w:val="Fontdeparagrafimplicit"/>
          <w:b/>
          <w:color w:val="000000"/>
        </w:rPr>
        <w:t xml:space="preserve">    PREŞEDINTE,</w:t>
      </w:r>
      <w:r>
        <w:rPr>
          <w:rStyle w:val="Fontdeparagrafimplicit"/>
          <w:b/>
          <w:color w:val="000000"/>
        </w:rPr>
        <w:tab/>
        <w:t xml:space="preserve">                        JUDECĂTOR,</w:t>
      </w:r>
      <w:r>
        <w:rPr>
          <w:rStyle w:val="Fontdeparagrafimplicit"/>
          <w:b/>
          <w:color w:val="000000"/>
        </w:rPr>
        <w:tab/>
      </w:r>
      <w:r>
        <w:rPr>
          <w:rStyle w:val="Fontdeparagrafimplicit"/>
          <w:b/>
          <w:color w:val="000000"/>
        </w:rPr>
        <w:tab/>
        <w:t xml:space="preserve">                   JUDECĂTOR,</w:t>
      </w:r>
    </w:p>
    <w:p w:rsidR="005C346E" w:rsidP="00FA7147" w14:paraId="2B54BA32" w14:textId="7F7DE25D">
      <w:pPr>
        <w:ind w:right="-144" w:firstLine="720"/>
        <w:jc w:val="both"/>
        <w:rPr>
          <w:rStyle w:val="Fontdeparagrafimplicit"/>
          <w:b/>
          <w:color w:val="000000"/>
        </w:rPr>
      </w:pPr>
      <w:r>
        <w:rPr>
          <w:rStyle w:val="Fontdeparagrafimplicit"/>
          <w:b/>
          <w:color w:val="000000"/>
        </w:rPr>
        <w:t xml:space="preserve">............   </w:t>
      </w:r>
      <w:r w:rsidR="00FA7147">
        <w:rPr>
          <w:rStyle w:val="Fontdeparagrafimplicit"/>
          <w:b/>
          <w:color w:val="000000"/>
        </w:rPr>
        <w:tab/>
      </w:r>
      <w:r w:rsidR="00FA7147">
        <w:rPr>
          <w:rStyle w:val="Fontdeparagrafimplicit"/>
          <w:b/>
          <w:color w:val="000000"/>
        </w:rPr>
        <w:tab/>
      </w:r>
      <w:r w:rsidR="00FA7147">
        <w:rPr>
          <w:rStyle w:val="Fontdeparagrafimplicit"/>
          <w:b/>
          <w:color w:val="000000"/>
        </w:rPr>
        <w:tab/>
        <w:t xml:space="preserve">         </w:t>
      </w:r>
      <w:r>
        <w:rPr>
          <w:rStyle w:val="Fontdeparagrafimplicit"/>
          <w:b/>
          <w:color w:val="000000"/>
        </w:rPr>
        <w:t xml:space="preserve">............    </w:t>
      </w:r>
      <w:r w:rsidR="00FA7147">
        <w:rPr>
          <w:rStyle w:val="Fontdeparagrafimplicit"/>
          <w:b/>
          <w:color w:val="000000"/>
        </w:rPr>
        <w:tab/>
      </w:r>
      <w:r w:rsidR="00FA7147">
        <w:rPr>
          <w:rStyle w:val="Fontdeparagrafimplicit"/>
          <w:b/>
          <w:color w:val="000000"/>
        </w:rPr>
        <w:tab/>
      </w:r>
      <w:r w:rsidR="00FA7147">
        <w:rPr>
          <w:rStyle w:val="Fontdeparagrafimplicit"/>
          <w:b/>
          <w:color w:val="000000"/>
        </w:rPr>
        <w:tab/>
        <w:t xml:space="preserve">            A0008</w:t>
      </w:r>
    </w:p>
    <w:p w:rsidR="005C346E" w14:paraId="6C77CEA7" w14:textId="77777777">
      <w:pPr>
        <w:ind w:right="-144" w:firstLine="708"/>
        <w:jc w:val="both"/>
        <w:rPr>
          <w:rStyle w:val="Fontdeparagrafimplicit"/>
          <w:b/>
          <w:color w:val="000000"/>
        </w:rPr>
      </w:pPr>
    </w:p>
    <w:p w:rsidR="005C346E" w14:paraId="4B3FC93D" w14:textId="77777777">
      <w:pPr>
        <w:ind w:right="-144" w:firstLine="708"/>
        <w:jc w:val="both"/>
        <w:rPr>
          <w:rStyle w:val="Fontdeparagrafimplicit"/>
          <w:b/>
          <w:color w:val="000000"/>
        </w:rPr>
      </w:pPr>
    </w:p>
    <w:p w:rsidR="005C346E" w14:paraId="69180AA4" w14:textId="77777777">
      <w:pPr>
        <w:ind w:right="-144" w:firstLine="708"/>
        <w:jc w:val="both"/>
        <w:rPr>
          <w:rStyle w:val="Fontdeparagrafimplicit"/>
          <w:b/>
          <w:color w:val="000000"/>
        </w:rPr>
      </w:pPr>
      <w:r>
        <w:rPr>
          <w:rStyle w:val="Fontdeparagrafimplicit"/>
          <w:b/>
          <w:color w:val="000000"/>
        </w:rPr>
        <w:tab/>
      </w:r>
      <w:r>
        <w:rPr>
          <w:rStyle w:val="Fontdeparagrafimplicit"/>
          <w:b/>
          <w:color w:val="000000"/>
        </w:rPr>
        <w:tab/>
      </w:r>
    </w:p>
    <w:p w:rsidR="005C346E" w14:paraId="5A5D1B7B" w14:textId="77777777">
      <w:pPr>
        <w:ind w:right="-144" w:firstLine="708"/>
        <w:jc w:val="both"/>
        <w:rPr>
          <w:rStyle w:val="Fontdeparagrafimplicit"/>
          <w:b/>
          <w:color w:val="000000"/>
        </w:rPr>
      </w:pPr>
    </w:p>
    <w:p w:rsidR="005C346E" w14:paraId="40F418B9" w14:textId="77777777">
      <w:pPr>
        <w:ind w:right="-144" w:firstLine="708"/>
        <w:jc w:val="both"/>
        <w:rPr>
          <w:rStyle w:val="Fontdeparagrafimplicit"/>
          <w:b/>
          <w:color w:val="000000"/>
        </w:rPr>
      </w:pPr>
    </w:p>
    <w:p w:rsidR="005C346E" w14:paraId="6F653F48" w14:textId="77777777">
      <w:pPr>
        <w:ind w:right="-144" w:firstLine="708"/>
        <w:jc w:val="both"/>
        <w:rPr>
          <w:rStyle w:val="Fontdeparagrafimplicit"/>
          <w:b/>
          <w:color w:val="000000"/>
        </w:rPr>
      </w:pPr>
      <w:r>
        <w:rPr>
          <w:rStyle w:val="Fontdeparagrafimplicit"/>
          <w:b/>
          <w:color w:val="000000"/>
        </w:rPr>
        <w:t xml:space="preserve">                                                                                         GREFIER,</w:t>
      </w:r>
    </w:p>
    <w:p w:rsidR="005C346E" w14:paraId="1A399157" w14:textId="770C43FB">
      <w:pPr>
        <w:ind w:right="-144" w:firstLine="708"/>
        <w:jc w:val="both"/>
        <w:rPr>
          <w:rStyle w:val="Fontdeparagrafimplicit"/>
          <w:b/>
          <w:color w:val="000000"/>
        </w:rPr>
      </w:pPr>
      <w:r>
        <w:rPr>
          <w:rStyle w:val="Fontdeparagrafimplicit"/>
          <w:b/>
          <w:color w:val="000000"/>
        </w:rPr>
        <w:t xml:space="preserve">                                                                    </w:t>
      </w:r>
      <w:r w:rsidR="00FA7147">
        <w:rPr>
          <w:rStyle w:val="Fontdeparagrafimplicit"/>
          <w:b/>
          <w:color w:val="000000"/>
        </w:rPr>
        <w:t xml:space="preserve">                       </w:t>
      </w:r>
      <w:r w:rsidR="00A02D34">
        <w:rPr>
          <w:rStyle w:val="Fontdeparagrafimplicit"/>
          <w:b/>
          <w:color w:val="000000"/>
        </w:rPr>
        <w:t xml:space="preserve">................ </w:t>
      </w:r>
      <w:r>
        <w:rPr>
          <w:rStyle w:val="Fontdeparagrafimplicit"/>
          <w:b/>
          <w:color w:val="000000"/>
        </w:rPr>
        <w:tab/>
      </w:r>
    </w:p>
    <w:p w:rsidR="005C346E" w14:paraId="2D89648A" w14:textId="77777777">
      <w:pPr>
        <w:ind w:right="-144" w:firstLine="708"/>
        <w:jc w:val="both"/>
        <w:rPr>
          <w:rStyle w:val="Fontdeparagrafimplicit"/>
          <w:b/>
          <w:color w:val="000000"/>
        </w:rPr>
      </w:pPr>
    </w:p>
    <w:p w:rsidR="005C346E" w14:paraId="0AE2C2E0" w14:textId="77777777">
      <w:pPr>
        <w:ind w:right="-144" w:firstLine="708"/>
        <w:jc w:val="both"/>
        <w:rPr>
          <w:rStyle w:val="Fontdeparagrafimplicit"/>
          <w:b/>
          <w:color w:val="000000"/>
        </w:rPr>
      </w:pPr>
    </w:p>
    <w:p w:rsidR="005C346E" w14:paraId="385ABC74" w14:textId="77777777">
      <w:pPr>
        <w:ind w:right="-144" w:firstLine="708"/>
        <w:jc w:val="both"/>
        <w:rPr>
          <w:rStyle w:val="Fontdeparagrafimplicit"/>
          <w:b/>
          <w:color w:val="000000"/>
        </w:rPr>
      </w:pPr>
    </w:p>
    <w:p w:rsidR="005C346E" w14:paraId="0BFC8702" w14:textId="77777777">
      <w:pPr>
        <w:ind w:right="-144" w:firstLine="708"/>
        <w:jc w:val="both"/>
        <w:rPr>
          <w:rStyle w:val="Fontdeparagrafimplicit"/>
          <w:b/>
          <w:color w:val="000000"/>
        </w:rPr>
      </w:pPr>
    </w:p>
    <w:p w:rsidR="005C346E" w14:paraId="71D41B89" w14:textId="6CB4DFDA">
      <w:pPr>
        <w:jc w:val="both"/>
        <w:rPr>
          <w:rStyle w:val="Fontdeparagrafimplicit"/>
          <w:i/>
          <w:sz w:val="16"/>
        </w:rPr>
      </w:pPr>
      <w:r>
        <w:rPr>
          <w:rStyle w:val="Fontdeparagrafimplicit"/>
          <w:i/>
          <w:sz w:val="16"/>
        </w:rPr>
        <w:t xml:space="preserve">Red./Tehnored. </w:t>
      </w:r>
      <w:r w:rsidR="00FA7147">
        <w:rPr>
          <w:rStyle w:val="Fontdeparagrafimplicit"/>
          <w:b/>
          <w:i/>
          <w:sz w:val="16"/>
        </w:rPr>
        <w:t>A0008</w:t>
      </w:r>
      <w:r>
        <w:rPr>
          <w:rStyle w:val="Fontdeparagrafimplicit"/>
          <w:i/>
          <w:sz w:val="16"/>
        </w:rPr>
        <w:t>/… ex.</w:t>
      </w:r>
    </w:p>
    <w:p w:rsidR="005C346E" w14:paraId="71313F5E" w14:textId="3D1235FC">
      <w:pPr>
        <w:jc w:val="both"/>
        <w:rPr>
          <w:rStyle w:val="Fontdeparagrafimplicit"/>
          <w:i/>
          <w:sz w:val="16"/>
        </w:rPr>
      </w:pPr>
      <w:r>
        <w:rPr>
          <w:rStyle w:val="Fontdeparagrafimplicit"/>
          <w:i/>
          <w:sz w:val="16"/>
        </w:rPr>
        <w:t xml:space="preserve">Data redactării: </w:t>
      </w:r>
      <w:r w:rsidR="00FA7147">
        <w:rPr>
          <w:rStyle w:val="Fontdeparagrafimplicit"/>
          <w:i/>
          <w:sz w:val="16"/>
        </w:rPr>
        <w:t>..........</w:t>
      </w:r>
    </w:p>
    <w:p w:rsidR="005C346E" w14:paraId="0958E8DF" w14:textId="43639089">
      <w:pPr>
        <w:jc w:val="both"/>
        <w:rPr>
          <w:rStyle w:val="Fontdeparagrafimplicit"/>
          <w:i/>
          <w:sz w:val="16"/>
        </w:rPr>
      </w:pPr>
      <w:r>
        <w:rPr>
          <w:rStyle w:val="Fontdeparagrafimplicit"/>
          <w:i/>
          <w:sz w:val="16"/>
        </w:rPr>
        <w:t xml:space="preserve">Sentinţa civilă nr. </w:t>
      </w:r>
      <w:r w:rsidR="00A02D34">
        <w:rPr>
          <w:rStyle w:val="Fontdeparagrafimplicit"/>
          <w:i/>
          <w:sz w:val="16"/>
        </w:rPr>
        <w:t xml:space="preserve">......../............ </w:t>
      </w:r>
      <w:r>
        <w:rPr>
          <w:rStyle w:val="Fontdeparagrafimplicit"/>
          <w:i/>
          <w:sz w:val="16"/>
        </w:rPr>
        <w:t xml:space="preserve"> pronunţată de Tribunalul </w:t>
      </w:r>
      <w:r w:rsidR="00A02D34">
        <w:rPr>
          <w:rStyle w:val="Fontdeparagrafimplicit"/>
          <w:i/>
          <w:sz w:val="16"/>
        </w:rPr>
        <w:t xml:space="preserve">T............ </w:t>
      </w:r>
      <w:r>
        <w:rPr>
          <w:rStyle w:val="Fontdeparagrafimplicit"/>
          <w:i/>
          <w:sz w:val="16"/>
        </w:rPr>
        <w:t xml:space="preserve">- Secţia </w:t>
      </w:r>
      <w:r w:rsidR="00A02D34">
        <w:rPr>
          <w:rStyle w:val="Fontdeparagrafimplicit"/>
          <w:i/>
          <w:sz w:val="16"/>
        </w:rPr>
        <w:t xml:space="preserve">............ </w:t>
      </w:r>
      <w:r>
        <w:rPr>
          <w:rStyle w:val="Fontdeparagrafimplicit"/>
          <w:i/>
          <w:sz w:val="16"/>
        </w:rPr>
        <w:t xml:space="preserve"> în dosarul nr. </w:t>
      </w:r>
      <w:r w:rsidR="00CA307F">
        <w:rPr>
          <w:rStyle w:val="Fontdeparagrafimplicit"/>
          <w:i/>
          <w:sz w:val="16"/>
        </w:rPr>
        <w:t>1</w:t>
      </w:r>
      <w:r>
        <w:rPr>
          <w:rStyle w:val="Fontdeparagrafimplicit"/>
          <w:i/>
          <w:sz w:val="16"/>
        </w:rPr>
        <w:t>.</w:t>
      </w:r>
    </w:p>
    <w:p w:rsidR="005C346E" w14:paraId="32EA5FE5" w14:textId="3CD9409D">
      <w:pPr>
        <w:jc w:val="both"/>
        <w:rPr>
          <w:rStyle w:val="Fontdeparagrafimplicit"/>
          <w:i/>
          <w:color w:val="FF0000"/>
          <w:sz w:val="16"/>
        </w:rPr>
      </w:pPr>
      <w:r>
        <w:rPr>
          <w:rStyle w:val="Fontdeparagrafimplicit"/>
          <w:i/>
          <w:sz w:val="16"/>
        </w:rPr>
        <w:t xml:space="preserve">Judecător fond: </w:t>
      </w:r>
      <w:r w:rsidR="00FA7147">
        <w:rPr>
          <w:rStyle w:val="Fontdeparagrafimplicit"/>
          <w:i/>
          <w:sz w:val="16"/>
        </w:rPr>
        <w:t>.............</w:t>
      </w:r>
    </w:p>
    <w:p w:rsidR="005C346E" w14:paraId="646DA676" w14:textId="77777777">
      <w:pPr>
        <w:jc w:val="both"/>
        <w:rPr>
          <w:rStyle w:val="Fontdeparagrafimplicit"/>
          <w:i/>
          <w:sz w:val="16"/>
        </w:rPr>
      </w:pPr>
    </w:p>
    <w:p w:rsidR="005C346E" w14:paraId="5D97E7A3" w14:textId="77777777">
      <w:pPr>
        <w:jc w:val="both"/>
        <w:rPr>
          <w:rStyle w:val="Fontdeparagrafimplicit"/>
          <w:i/>
          <w:sz w:val="16"/>
        </w:rPr>
      </w:pPr>
    </w:p>
    <w:p w:rsidR="005C346E" w14:paraId="279E5233" w14:textId="77777777">
      <w:pPr>
        <w:jc w:val="both"/>
        <w:rPr>
          <w:rStyle w:val="Fontdeparagrafimplicit"/>
          <w:i/>
          <w:sz w:val="16"/>
        </w:rPr>
      </w:pPr>
      <w:r>
        <w:rPr>
          <w:rStyle w:val="Fontdeparagrafimplicit"/>
          <w:i/>
          <w:sz w:val="16"/>
        </w:rPr>
        <w:t xml:space="preserve"> </w:t>
      </w:r>
    </w:p>
    <w:p w:rsidR="005C346E" w14:paraId="7FC43D46" w14:textId="77777777">
      <w:pPr>
        <w:jc w:val="both"/>
        <w:rPr>
          <w:rStyle w:val="Fontdeparagrafimplicit"/>
          <w:i/>
          <w:sz w:val="16"/>
        </w:rPr>
      </w:pPr>
      <w:r>
        <w:rPr>
          <w:rStyle w:val="Fontdeparagrafimplicit"/>
          <w:i/>
          <w:sz w:val="16"/>
        </w:rPr>
        <w:t xml:space="preserve">                                              </w:t>
      </w:r>
      <w:r>
        <w:rPr>
          <w:rStyle w:val="Fontdeparagrafimplicit"/>
          <w:i/>
          <w:sz w:val="16"/>
        </w:rPr>
        <w:tab/>
      </w:r>
      <w:r>
        <w:rPr>
          <w:rStyle w:val="Fontdeparagrafimplicit"/>
          <w:i/>
          <w:sz w:val="16"/>
        </w:rPr>
        <w:tab/>
      </w:r>
      <w:r>
        <w:rPr>
          <w:rStyle w:val="Fontdeparagrafimplicit"/>
          <w:i/>
          <w:sz w:val="16"/>
        </w:rPr>
        <w:tab/>
        <w:t xml:space="preserve">                             Lucrat ….. comunicări la data de _____________</w:t>
      </w:r>
    </w:p>
    <w:p w:rsidR="005C346E" w14:paraId="266FA2F6" w14:textId="77777777">
      <w:pPr>
        <w:jc w:val="both"/>
        <w:rPr>
          <w:rStyle w:val="Fontdeparagrafimplicit"/>
          <w:i/>
          <w:sz w:val="16"/>
        </w:rPr>
      </w:pPr>
      <w:r>
        <w:rPr>
          <w:rStyle w:val="Fontdeparagrafimplicit"/>
          <w:i/>
          <w:sz w:val="16"/>
        </w:rPr>
        <w:t xml:space="preserve"> </w:t>
      </w:r>
    </w:p>
    <w:p w:rsidR="005C346E" w14:paraId="23CB8D03" w14:textId="77777777">
      <w:pPr>
        <w:ind w:left="3540" w:firstLine="708"/>
        <w:jc w:val="both"/>
        <w:rPr>
          <w:rStyle w:val="Fontdeparagrafimplicit"/>
          <w:i/>
          <w:sz w:val="16"/>
        </w:rPr>
      </w:pPr>
      <w:r>
        <w:rPr>
          <w:rStyle w:val="Fontdeparagrafimplicit"/>
          <w:i/>
          <w:sz w:val="16"/>
        </w:rPr>
        <w:t xml:space="preserve">   </w:t>
      </w:r>
      <w:r>
        <w:rPr>
          <w:rStyle w:val="Fontdeparagrafimplicit"/>
          <w:i/>
          <w:sz w:val="16"/>
        </w:rPr>
        <w:tab/>
      </w:r>
      <w:r>
        <w:rPr>
          <w:rStyle w:val="Fontdeparagrafimplicit"/>
          <w:i/>
          <w:sz w:val="16"/>
        </w:rPr>
        <w:tab/>
        <w:t>Semnătură grefier _____________</w:t>
      </w:r>
    </w:p>
    <w:p w:rsidR="005C346E" w14:paraId="52ED772B" w14:textId="77777777">
      <w:pPr>
        <w:rPr>
          <w:rStyle w:val="Fontdeparagrafimplicit"/>
          <w:i/>
          <w:sz w:val="16"/>
        </w:rPr>
      </w:pPr>
    </w:p>
    <w:p w:rsidR="005C346E" w14:paraId="7B01869B" w14:textId="77777777">
      <w:pPr>
        <w:jc w:val="center"/>
        <w:rPr>
          <w:rStyle w:val="Fontdeparagrafimplicit"/>
        </w:rPr>
      </w:pPr>
    </w:p>
    <w:p w:rsidR="005C346E" w14:paraId="0495EE49" w14:textId="77777777">
      <w:pPr>
        <w:rPr>
          <w:rStyle w:val="Fontdeparagrafimplicit"/>
        </w:rPr>
      </w:pPr>
    </w:p>
    <w:sectPr>
      <w:headerReference w:type="default" r:id="rId4"/>
      <w:pgSz w:w="11906" w:h="16838"/>
      <w:pgMar w:top="1276" w:right="1417" w:bottom="1417" w:left="1417"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5C346E" w14:paraId="070DC70B" w14:textId="77777777">
    <w:pPr>
      <w:pStyle w:val="Antet"/>
      <w:rPr>
        <w:rStyle w:val="Fontdeparagrafimplicit"/>
      </w:rPr>
    </w:pPr>
    <w:r>
      <w:fldChar w:fldCharType="begin"/>
    </w:r>
    <w:r>
      <w:instrText>PAGE   \* MERGEFORMAT</w:instrText>
    </w:r>
    <w:r>
      <w:fldChar w:fldCharType="separate"/>
    </w:r>
    <w:r>
      <w:rPr>
        <w:rStyle w:val="Fontdeparagrafimplicit"/>
        <w:lang w:val="ro-RO"/>
      </w:rPr>
      <w:t>#</w:t>
    </w:r>
    <w:r>
      <w:rPr>
        <w:rStyle w:val="Fontdeparagrafimplicit"/>
        <w:lang w:val="ro-RO"/>
      </w:rPr>
      <w:fldChar w:fldCharType="end"/>
    </w:r>
  </w:p>
  <w:p w:rsidR="005C346E" w14:paraId="3699ACB7" w14:textId="77777777">
    <w:pPr>
      <w:pStyle w:val="Antet"/>
      <w:rPr>
        <w:rStyle w:val="Fontdeparagrafimplic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69A65FFC"/>
    <w:multiLevelType w:val="multilevel"/>
    <w:tmpl w:val="CB227158"/>
    <w:lvl w:ilvl="0">
      <w:start w:val="1"/>
      <w:numFmt w:val="decimal"/>
      <w:lvlText w:val="%1."/>
      <w:lvlJc w:val="left"/>
      <w:pPr>
        <w:ind w:left="786" w:hanging="360"/>
      </w:pPr>
    </w:lvl>
    <w:lvl w:ilvl="1">
      <w:start w:val="1"/>
      <w:numFmt w:val="decimal"/>
      <w:isLgl/>
      <w:lvlText w:val="%1.%2."/>
      <w:lvlJc w:val="left"/>
      <w:pPr>
        <w:ind w:left="1146" w:hanging="360"/>
      </w:p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num w:numId="1" w16cid:durableId="1616330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46E"/>
    <w:rsid w:val="00316BAA"/>
    <w:rsid w:val="004334EC"/>
    <w:rsid w:val="00477EEE"/>
    <w:rsid w:val="00556734"/>
    <w:rsid w:val="005C346E"/>
    <w:rsid w:val="00797333"/>
    <w:rsid w:val="00A02D34"/>
    <w:rsid w:val="00BF7534"/>
    <w:rsid w:val="00CA307F"/>
    <w:rsid w:val="00FA7147"/>
  </w:rsids>
  <w:docVars>
    <w:docVar w:name="url" w:val="http://10.1.48.53:80/ecris_cdms/document_upload.aspx?id_document=200000002969482&amp;id_departament=5&amp;id_sesiune=2593757&amp;id_user=1060&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01ACCF14"/>
  <w15:docId w15:val="{9AA2C414-2C27-43FD-8AFF-A0D1FE84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lang w:val="ro-RO"/>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rPr>
      <w:lang w:val="en-US"/>
    </w:rPr>
  </w:style>
  <w:style w:type="paragraph" w:customStyle="1" w:styleId="Listparagraf">
    <w:name w:val="Listă paragraf"/>
    <w:basedOn w:val="Normal"/>
    <w:qFormat/>
    <w:pPr>
      <w:ind w:left="720"/>
      <w:contextualSpacing/>
    </w:pPr>
    <w:rPr>
      <w:lang w:val="en-US"/>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rPr>
      <w:lang w:val="en-US"/>
    </w:rPr>
  </w:style>
  <w:style w:type="character" w:customStyle="1" w:styleId="FontStyle19">
    <w:name w:val="Font Style19"/>
    <w:rPr>
      <w:rFonts w:ascii="Times New Roman" w:hAnsi="Times New Roman"/>
      <w:b/>
      <w:sz w:val="24"/>
    </w:rPr>
  </w:style>
  <w:style w:type="character" w:customStyle="1" w:styleId="FontStyle20">
    <w:name w:val="Font Style20"/>
    <w:rPr>
      <w:rFonts w:ascii="Times New Roman" w:hAnsi="Times New Roman"/>
      <w:sz w:val="24"/>
    </w:rPr>
  </w:style>
  <w:style w:type="character" w:customStyle="1" w:styleId="FontStyle21">
    <w:name w:val="Font Style21"/>
    <w:rPr>
      <w:rFonts w:ascii="Times New Roman" w:hAnsi="Times New Roman"/>
      <w:b/>
      <w:i/>
      <w:sz w:val="24"/>
    </w:rPr>
  </w:style>
  <w:style w:type="character" w:customStyle="1" w:styleId="FontStyle22">
    <w:name w:val="Font Style22"/>
    <w:rPr>
      <w:rFonts w:ascii="Times New Roman" w:hAnsi="Times New Roman"/>
      <w:i/>
      <w:sz w:val="24"/>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85</ap:TotalTime>
  <ap:Pages>14</ap:Pages>
  <ap:Words>7766</ap:Words>
  <ap:Characters>44272</ap:Characters>
  <ap:Application>Microsoft Office Word</ap:Application>
  <ap:DocSecurity>0</ap:DocSecurity>
  <ap:Lines>368</ap:Lines>
  <ap:Paragraphs>103</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51935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