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rPr>
      </w:pPr>
      <w:r>
        <w:rPr>
          <w:b/>
        </w:rPr>
      </w:r>
    </w:p>
    <w:p>
      <w:pPr>
        <w:pStyle w:val="Normal"/>
        <w:rPr>
          <w:b/>
        </w:rPr>
      </w:pPr>
      <w:r>
        <w:rPr>
          <w:b/>
        </w:rPr>
        <w:t>Hot. 14</w:t>
      </w:r>
    </w:p>
    <w:p>
      <w:pPr>
        <w:pStyle w:val="Normal"/>
        <w:rPr>
          <w:b/>
        </w:rPr>
      </w:pPr>
      <w:r>
        <w:rPr>
          <w:b/>
        </w:rPr>
        <w:t>Dosar nr. D1*</w:t>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lang w:val="en-US"/>
        </w:rPr>
      </w:pPr>
      <w:r>
        <w:rPr>
          <w:b/>
        </w:rPr>
        <w:t>SECŢIA ... - NCPP</w:t>
      </w:r>
    </w:p>
    <w:p>
      <w:pPr>
        <w:pStyle w:val="Normal"/>
        <w:rPr>
          <w:b/>
        </w:rPr>
      </w:pPr>
      <w:r>
        <w:rPr>
          <w:b/>
        </w:rPr>
      </w:r>
    </w:p>
    <w:p>
      <w:pPr>
        <w:pStyle w:val="Normal"/>
        <w:jc w:val="center"/>
        <w:rPr>
          <w:b/>
          <w:i/>
          <w:i/>
        </w:rPr>
      </w:pPr>
      <w:bookmarkStart w:name="tip_incheiere" w:id="0"/>
      <w:r>
        <w:rPr>
          <w:b/>
          <w:i/>
        </w:rPr>
        <w:t>DECIZIE</w:t>
      </w:r>
      <w:bookmarkEnd w:id="0"/>
      <w:r>
        <w:rPr>
          <w:b/>
          <w:i/>
        </w:rPr>
        <w:t xml:space="preserve"> Nr. ...</w:t>
      </w:r>
    </w:p>
    <w:p>
      <w:pPr>
        <w:pStyle w:val="Normal"/>
        <w:jc w:val="center"/>
        <w:rPr>
          <w:b/>
        </w:rPr>
      </w:pPr>
      <w:r>
        <w:rPr>
          <w:b/>
        </w:rPr>
        <w:t>Şedinţa </w:t>
      </w:r>
      <w:bookmarkStart w:name="tip_sedinta" w:id="1"/>
      <w:r>
        <w:rPr>
          <w:b/>
        </w:rPr>
        <w:t>publică</w:t>
      </w:r>
      <w:bookmarkEnd w:id="1"/>
      <w:r>
        <w:rPr>
          <w:b/>
          <w:i/>
        </w:rPr>
        <w:t xml:space="preserve"> de la </w:t>
      </w:r>
      <w:r>
        <w:rPr>
          <w:b/>
        </w:rPr>
        <w:t xml:space="preserve">... </w:t>
      </w:r>
    </w:p>
    <w:p>
      <w:pPr>
        <w:pStyle w:val="Normal"/>
        <w:jc w:val="center"/>
        <w:rPr/>
      </w:pPr>
      <w:r>
        <w:rPr/>
      </w:r>
    </w:p>
    <w:p>
      <w:pPr>
        <w:pStyle w:val="Normal"/>
        <w:jc w:val="center"/>
        <w:rPr>
          <w:b/>
        </w:rPr>
      </w:pPr>
      <w:r>
        <w:rPr>
          <w:b/>
        </w:rPr>
        <w:t>Completul compus din:</w:t>
      </w:r>
    </w:p>
    <w:p>
      <w:pPr>
        <w:pStyle w:val="Normal"/>
        <w:jc w:val="center"/>
        <w:rPr>
          <w:b/>
        </w:rPr>
      </w:pPr>
      <w:r>
        <w:rPr>
          <w:b/>
        </w:rPr>
        <w:t>PREŞEDINTE ....</w:t>
      </w:r>
    </w:p>
    <w:p>
      <w:pPr>
        <w:pStyle w:val="Normal"/>
        <w:jc w:val="center"/>
        <w:rPr>
          <w:b/>
        </w:rPr>
      </w:pPr>
      <w:r>
        <w:rPr>
          <w:b/>
        </w:rPr>
        <w:t>Judecător A0013</w:t>
      </w:r>
    </w:p>
    <w:p>
      <w:pPr>
        <w:pStyle w:val="Normal"/>
        <w:jc w:val="center"/>
        <w:rPr>
          <w:b/>
        </w:rPr>
      </w:pPr>
      <w:r>
        <w:rPr>
          <w:b/>
        </w:rPr>
        <w:t>Grefier ...</w:t>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ind w:firstLine="708"/>
        <w:jc w:val="both"/>
        <w:rPr>
          <w:b/>
        </w:rPr>
      </w:pPr>
      <w:r>
        <w:rPr/>
        <w:t xml:space="preserve">Pe rol pronunţarea asupra apelului declarat de </w:t>
      </w:r>
      <w:r>
        <w:rPr>
          <w:b/>
        </w:rPr>
        <w:t>inculpatul R1</w:t>
      </w:r>
      <w:r>
        <w:rPr/>
        <w:t xml:space="preserve">, împotriva sentinţei penale nr.  SP1 din ..., </w:t>
      </w:r>
      <w:r>
        <w:rPr>
          <w:b/>
        </w:rPr>
        <w:t>pronunţată de Judecătoria....</w:t>
      </w:r>
    </w:p>
    <w:p>
      <w:pPr>
        <w:pStyle w:val="Normal"/>
        <w:ind w:firstLine="708"/>
        <w:jc w:val="both"/>
        <w:rPr/>
      </w:pPr>
      <w:r>
        <w:rPr/>
        <w:t>Procedura legal îndeplinită.</w:t>
      </w:r>
    </w:p>
    <w:p>
      <w:pPr>
        <w:pStyle w:val="Normal"/>
        <w:ind w:firstLine="708"/>
        <w:jc w:val="both"/>
        <w:rPr/>
      </w:pPr>
      <w:r>
        <w:rPr/>
        <w:t>S-a făcut referatul cauzei de către grefier, care învederează că dezbaterile asupra fondului cauzei au avut loc în şedinţa publică din data de ..., susţinerile părţilor fiind consemnate în încheierea de şedinţă din acea zi, ce face parte integrantă din prezenta decizie. La acel termen de judecată, Ministerul Public a fost reprezentat prin procuror ....</w:t>
      </w:r>
    </w:p>
    <w:p>
      <w:pPr>
        <w:pStyle w:val="Normal"/>
        <w:ind w:firstLine="708"/>
        <w:jc w:val="both"/>
        <w:rPr/>
      </w:pPr>
      <w:r>
        <w:rPr/>
        <w:t xml:space="preserve">Din lipsă de timp pentru deliberare, s-a stabilit termen de pronunţare  pentru azi, ...., când : </w:t>
      </w:r>
    </w:p>
    <w:p>
      <w:pPr>
        <w:pStyle w:val="Normal"/>
        <w:jc w:val="center"/>
        <w:rPr>
          <w:b/>
        </w:rPr>
      </w:pPr>
      <w:r>
        <w:rPr/>
        <w:tab/>
      </w:r>
      <w:r>
        <w:rPr>
          <w:b/>
        </w:rPr>
        <w:t xml:space="preserve">CURTEA </w:t>
      </w:r>
    </w:p>
    <w:p>
      <w:pPr>
        <w:pStyle w:val="Normal"/>
        <w:jc w:val="both"/>
        <w:rPr>
          <w:sz w:val="26"/>
        </w:rPr>
      </w:pPr>
      <w:r>
        <w:rPr>
          <w:sz w:val="26"/>
        </w:rPr>
      </w:r>
    </w:p>
    <w:p>
      <w:pPr>
        <w:pStyle w:val="Normal"/>
        <w:ind w:firstLine="708"/>
        <w:jc w:val="both"/>
        <w:rPr>
          <w:sz w:val="26"/>
        </w:rPr>
      </w:pPr>
      <w:r>
        <w:rPr>
          <w:sz w:val="26"/>
        </w:rPr>
        <w:t>Asupra apelului penal de faţă;</w:t>
      </w:r>
    </w:p>
    <w:p>
      <w:pPr>
        <w:pStyle w:val="Normal"/>
        <w:jc w:val="both"/>
        <w:rPr/>
      </w:pPr>
      <w:r>
        <w:rPr/>
        <w:tab/>
        <w:t>Judecătoria..., prin sentinţa penală nr. SP1 din ... a dispus următoarele :</w:t>
      </w:r>
    </w:p>
    <w:p>
      <w:pPr>
        <w:pStyle w:val="Normal"/>
        <w:ind w:firstLine="708"/>
        <w:jc w:val="both"/>
        <w:rPr/>
      </w:pPr>
      <w:r>
        <w:rPr/>
        <w:t>„</w:t>
      </w:r>
      <w:r>
        <w:rPr/>
        <w:t>1.În temeiul art. 386 Noul Cod procedura penala dispune schimbarea încadrării juridice a faptei pentru care a fost trimisă în judecată inculpata R2 prin Rechizitoriul nr. D2 din ... al Parchetului de pe lângă Judecătoria... din infracțiunea de infracţiunea de furt calificat prevăzuta de art. 208 alin. 1-209 alin. 1 lit. aşi alin. 3 lit. b Cod penal din 1969, cu aplicarea art. 75 lit. c Cod penal</w:t>
      </w:r>
      <w:r>
        <w:rPr>
          <w:b/>
        </w:rPr>
        <w:t xml:space="preserve"> </w:t>
      </w:r>
      <w:r>
        <w:rPr/>
        <w:t>din 1969</w:t>
      </w:r>
      <w:r>
        <w:rPr>
          <w:b/>
        </w:rPr>
        <w:t xml:space="preserve"> </w:t>
      </w:r>
      <w:r>
        <w:rPr/>
        <w:t>în infracțiunea de furt calificat prevăzuta de art. 208 alin. 1-209 alin. 1 lit. a, alin. 3 lit. b Cod penal din 1969, cu aplicarea art. 99 alin. 3 Cod penal</w:t>
      </w:r>
      <w:r>
        <w:rPr>
          <w:b/>
        </w:rPr>
        <w:t xml:space="preserve"> </w:t>
      </w:r>
      <w:r>
        <w:rPr/>
        <w:t>din 1969 şi art. 5 alin. 1 noul Cod penal.</w:t>
      </w:r>
    </w:p>
    <w:p>
      <w:pPr>
        <w:pStyle w:val="Normal"/>
        <w:ind w:firstLine="708"/>
        <w:jc w:val="both"/>
        <w:rPr>
          <w:b/>
          <w:u w:val="single"/>
        </w:rPr>
      </w:pPr>
      <w:r>
        <w:rPr/>
        <w:t xml:space="preserve"> </w:t>
      </w:r>
      <w:r>
        <w:rPr/>
        <w:t xml:space="preserve">În baza art. 208 alin. 1- 209 alin. 1 lit. a şi alin. 3 lit. b Cod penal din 1969, cu aplicarea art. 99 alin. 3, art. 74 alin. 2 în referire la art. 76 alin. 1 lit. d Cod penal din 1969, art. 5 alin. 1 noul Cod penal, condamnă pe inculpata </w:t>
      </w:r>
      <w:r>
        <w:rPr>
          <w:b/>
        </w:rPr>
        <w:t>R2 (</w:t>
      </w:r>
      <w:r>
        <w:rPr/>
        <w:t xml:space="preserve">fiica lui ... și ... născut la data de ..., în mun. ..., JUD..., CNP 2..., domiciliată în sat .., com. ..., jud. ..., citată pe parcursul procesului penal şi prin afişarea înştiinţării la uşa instanţei, cetăţean român, studii - 6 clase, necăsătorită, fără ocupaţie, fără cu antecedente penale), la o pedeapsă de </w:t>
      </w:r>
      <w:r>
        <w:rPr>
          <w:b/>
          <w:u w:val="single"/>
        </w:rPr>
        <w:t>8 (opt) luni închisoare pentru săvârşirea infracţiunii de furt calificat.</w:t>
      </w:r>
    </w:p>
    <w:p>
      <w:pPr>
        <w:pStyle w:val="Normal"/>
        <w:ind w:firstLine="708"/>
        <w:jc w:val="both"/>
        <w:rPr/>
      </w:pPr>
      <w:r>
        <w:rPr/>
        <w:t>În temeiul art. 81 Cod penal din 1969, dispune suspendarea condiţionată a executării pedepsei pe durata unui termen de încercare de 2 (doi) ani şi 8 (opt)</w:t>
      </w:r>
      <w:r>
        <w:rPr>
          <w:b/>
        </w:rPr>
        <w:t xml:space="preserve"> </w:t>
      </w:r>
      <w:r>
        <w:rPr/>
        <w:t>luni, stabilit în condiţiile art. 82 Cod penal din 1969.</w:t>
      </w:r>
    </w:p>
    <w:p>
      <w:pPr>
        <w:pStyle w:val="Normal"/>
        <w:ind w:firstLine="708"/>
        <w:jc w:val="both"/>
        <w:rPr/>
      </w:pPr>
      <w:r>
        <w:rPr/>
        <w:t>În baza art. 12 alin. 1 LPANCP în referire la art. 71 alin. 2 Cod penal din 1969 aplică inculpatei R2 pedeapsa accesorie a interzicerii drepturilor prevăzute de art. 64 lit. a teza a II a şi lit. b Cod penal din 1969, iar în temeiul art. 71 alin. 5 Cod penal 1969 dispune suspendarea executării pedepsei accesorii, pe durata termenului de încercare de 2 (doi) ani şi 8 (opt) luni.</w:t>
      </w:r>
    </w:p>
    <w:p>
      <w:pPr>
        <w:pStyle w:val="Normal"/>
        <w:jc w:val="both"/>
        <w:rPr/>
      </w:pPr>
      <w:r>
        <w:rPr>
          <w:i/>
        </w:rPr>
        <w:tab/>
      </w:r>
      <w:r>
        <w:rPr/>
        <w:t>Atrage atenţia inculpatei</w:t>
      </w:r>
      <w:r>
        <w:rPr>
          <w:b/>
        </w:rPr>
        <w:t xml:space="preserve"> </w:t>
      </w:r>
      <w:r>
        <w:rPr/>
        <w:t>R2</w:t>
      </w:r>
      <w:r>
        <w:rPr>
          <w:b/>
        </w:rPr>
        <w:t xml:space="preserve"> </w:t>
      </w:r>
      <w:r>
        <w:rPr/>
        <w:t>asupra consecinţelor prevăzute de art. 83 Cod penal din 1969, în cazul săvârşirii, cu intenţie, în interiorul termenului de încercare, a unei alte infracţiuni sau a neachitării despăgubirilor civile</w:t>
      </w:r>
      <w:r>
        <w:rPr>
          <w:i/>
        </w:rPr>
        <w:t>.</w:t>
      </w:r>
    </w:p>
    <w:p>
      <w:pPr>
        <w:pStyle w:val="Normal"/>
        <w:ind w:firstLine="708"/>
        <w:jc w:val="both"/>
        <w:rPr>
          <w:b/>
          <w:u w:val="single"/>
        </w:rPr>
      </w:pPr>
      <w:r>
        <w:rPr/>
        <w:t>2.În baza art. 208 alin. 1- 209 alin. 1 lit. a, alin. 3 lit. b Cod penal din 1969, cu aplicarea art. 75 lit. c Cod penal din 1969, art. 37 alin. 1 lit. b Cod penal din 1969, art. 74 alin. 2 în referire la art. 76 alin. 1 lit. d, art. 80 alin. 1 Cod penal din 1969, art. 5 alin. 1 Noul Cod penal şi art. 396 alin. 10 Cod de procedura penala, condamnă pe inculpatul</w:t>
      </w:r>
      <w:r>
        <w:rPr>
          <w:b/>
        </w:rPr>
        <w:t xml:space="preserve"> R1 (</w:t>
      </w:r>
      <w:r>
        <w:rPr/>
        <w:t xml:space="preserve">fiul lui ... și .., născut la data de ..., in com. ..., jud. ..., CNP ..., domiciliat în sat ..., ., com. ..., ., jud. ..., în prezent aflat în stare de deţinere în Penitenciarul ..., ., cetăţean român, studii - 3 clase, necăsătorit, stagiu militar nesatisfăcut, fără ocupaţie, recidivist), la o pedeapsă de </w:t>
      </w:r>
      <w:r>
        <w:rPr>
          <w:b/>
          <w:u w:val="single"/>
        </w:rPr>
        <w:t>1 (un) an şi 6 (şase) luni închisoare pentru săvârşirea infracţiunii de furt calificat.</w:t>
      </w:r>
    </w:p>
    <w:p>
      <w:pPr>
        <w:pStyle w:val="Normal"/>
        <w:jc w:val="both"/>
        <w:rPr/>
      </w:pPr>
      <w:r>
        <w:rPr>
          <w:color w:val="000000"/>
        </w:rPr>
        <w:tab/>
        <w:t>Constată că infracțiunea dedusa judecății în prezenta cauză săvârșita de inculpatul R1 la data de 15.02.2011 și infracțiunea de tăiere ilegală de arbori, prevăzuta de art. 108 alin. 1 lit. a din Legea nr. 46/2008 săvârșita de inculpat la data de 31.07.2011</w:t>
      </w:r>
      <w:r>
        <w:rPr>
          <w:b/>
          <w:color w:val="000000"/>
        </w:rPr>
        <w:t>,</w:t>
      </w:r>
      <w:r>
        <w:rPr>
          <w:color w:val="000000"/>
        </w:rPr>
        <w:t xml:space="preserve"> pentru care acesta a fost condamnat la o pedeapsă de 1 an închisoare prin sentința penala nr. SP2 a Judecătoriei ..., modificată și rămasă definitivă, prin decizia penală nr. DP1 a Curții de APEL... </w:t>
      </w:r>
      <w:r>
        <w:rPr/>
        <w:t>sunt concurente, respectiv aflate in stare de concurs real.</w:t>
      </w:r>
    </w:p>
    <w:p>
      <w:pPr>
        <w:pStyle w:val="Normal"/>
        <w:ind w:firstLine="708"/>
        <w:jc w:val="both"/>
        <w:rPr>
          <w:color w:val="000000"/>
        </w:rPr>
      </w:pPr>
      <w:r>
        <w:rPr>
          <w:color w:val="000000"/>
        </w:rPr>
        <w:t>În baza art. 36 alin. 1 Cod penal din 1969 raportat la art. 33 lit. a Cod penal din 1969 și art. 34  alin. 1 lit. b Cod penal din 1969,  cu aplicarea art. 5 Noul Cod penal, contopește pedeapsa de 1 (un) an şi 6 (şase) luni închisoare, aplicata pentru infracțiunea dedusa judecății în prezenta cauză cu pedeapsa de 1 an închisoare aplicată prin sentința penala nr. SP2 a Judecătoriei ..., modificată și rămasă definitivă, prin decizia penală nr. DP1 a Curții de APEL...</w:t>
      </w:r>
      <w:r>
        <w:rPr/>
        <w:t>,</w:t>
      </w:r>
      <w:r>
        <w:rPr>
          <w:color w:val="000000"/>
        </w:rPr>
        <w:t xml:space="preserve"> urmând ca inculpatul R1 să execute pedeapsa cea mai grea de 1 (un) an şi 6 (şase) luni închisoare.</w:t>
      </w:r>
    </w:p>
    <w:p>
      <w:pPr>
        <w:pStyle w:val="Normal"/>
        <w:ind w:firstLine="708"/>
        <w:jc w:val="both"/>
        <w:rPr/>
      </w:pPr>
      <w:r>
        <w:rPr/>
        <w:t>În baza art. 12 alin. 1 LPANCP</w:t>
      </w:r>
      <w:r>
        <w:rPr>
          <w:b/>
        </w:rPr>
        <w:t xml:space="preserve"> </w:t>
      </w:r>
      <w:r>
        <w:rPr/>
        <w:t xml:space="preserve">pe durata şi în condiţiile prev. de art.71 din Codul penal din 1969, aplică inculpatului R1 </w:t>
      </w:r>
      <w:r>
        <w:rPr>
          <w:b/>
        </w:rPr>
        <w:t>pedeapsa accesorie</w:t>
      </w:r>
      <w:r>
        <w:rPr/>
        <w:t xml:space="preserve"> a interzicerii exerciţiului drepturilor prev. de art.64 alin.1 lit. a) teza a II-a şi lit.b) din Codul penal din 1969.</w:t>
      </w:r>
    </w:p>
    <w:p>
      <w:pPr>
        <w:pStyle w:val="Normal"/>
        <w:ind w:firstLine="708"/>
        <w:jc w:val="both"/>
        <w:rPr/>
      </w:pPr>
      <w:r>
        <w:rPr/>
        <w:t xml:space="preserve">In baza art. 36 alin. 3 Cod penal din 1969, </w:t>
      </w:r>
      <w:r>
        <w:rPr>
          <w:b/>
        </w:rPr>
        <w:t xml:space="preserve">deduce din pedeapsa </w:t>
      </w:r>
      <w:r>
        <w:rPr/>
        <w:t xml:space="preserve">aplicata inculpatului R1 </w:t>
      </w:r>
      <w:r>
        <w:rPr>
          <w:b/>
        </w:rPr>
        <w:t>perioada executată anterior de la ... la zi.</w:t>
      </w:r>
      <w:r>
        <w:rPr/>
        <w:t xml:space="preserve"> </w:t>
      </w:r>
    </w:p>
    <w:p>
      <w:pPr>
        <w:pStyle w:val="Normal"/>
        <w:ind w:firstLine="708"/>
        <w:jc w:val="both"/>
        <w:rPr>
          <w:color w:val="000000"/>
        </w:rPr>
      </w:pPr>
      <w:r>
        <w:rPr>
          <w:color w:val="000000"/>
        </w:rPr>
        <w:t>Dispune retragerea mandatului de executare a pedepsei închisorii emis de Judecătoria ... în temeiul sentinţei penale nr. SP2 a Judecătoriei ..., modificată și rămasă definitivă, prin decizia penală nr. DP1 a Curții de APEL... şi dispune emiterea unui nou mandat de executare în baza prezentei sentințe, după rămânerea sa definitivă.</w:t>
      </w:r>
    </w:p>
    <w:p>
      <w:pPr>
        <w:pStyle w:val="Normal"/>
        <w:jc w:val="both"/>
        <w:rPr/>
      </w:pPr>
      <w:r>
        <w:rPr/>
        <w:tab/>
        <w:t xml:space="preserve">În temeiul art. 19 şi art. 397 Cod de procedură penală, în referire la art. 998 şi urm. Cod civil din 1864, </w:t>
      </w:r>
      <w:r>
        <w:rPr>
          <w:b/>
        </w:rPr>
        <w:t xml:space="preserve">admite acţiunea civilă formulată de partea civilă Organizaţia Utilizatorilor de Apă pentru Irigaţii ..., cu sediu in sat/com. ..., jud. ... CIF ..., prin reprezentant ing. B1 </w:t>
      </w:r>
      <w:r>
        <w:rPr/>
        <w:t xml:space="preserve">şi obligă </w:t>
      </w:r>
      <w:r>
        <w:rPr>
          <w:b/>
        </w:rPr>
        <w:t>inculpaţii R2 şi R1, în solidar</w:t>
      </w:r>
      <w:r>
        <w:rPr/>
        <w:t xml:space="preserve">, să plătească acesteia suma de </w:t>
      </w:r>
      <w:r>
        <w:rPr>
          <w:b/>
        </w:rPr>
        <w:t xml:space="preserve">14.720,08 lei reprezentând daune materiale. </w:t>
      </w:r>
    </w:p>
    <w:p>
      <w:pPr>
        <w:pStyle w:val="Normal"/>
        <w:ind w:firstLine="720"/>
        <w:jc w:val="both"/>
        <w:rPr/>
      </w:pPr>
      <w:r>
        <w:rPr/>
        <w:t>În baza dispoziţiilor art. 272 Cod procedură penală, suma de 600 lei, reprezentând onorariile apărătorilor desemnaţi din oficiu pentru inculpaţii R1 şi R2  în cursul judecăţii, conform delegaţiilor nr. ...1 din 31.01.2014  şi ...7/31.01.2014 emise de Baroul... va fi avansată din bugetul de venituri şi cheltuieli al Ministerului Justiţiei şi va rămâne în sarcina statului.</w:t>
      </w:r>
    </w:p>
    <w:p>
      <w:pPr>
        <w:pStyle w:val="Normal"/>
        <w:ind w:firstLine="720"/>
        <w:jc w:val="both"/>
        <w:rPr/>
      </w:pPr>
      <w:r>
        <w:rPr/>
        <w:t>În temeiul art. 398 Cod procedură penală raportat la 274 alin. 1 şi 2 Cod procedură penală obligă inculpatul R2 să plătească statului suma de 600 lei reprezentând cheltuieli judiciare, din care suma de 165 lei reprezentând cheltuieli avansate în cursul urmăririi penale.</w:t>
      </w:r>
    </w:p>
    <w:p>
      <w:pPr>
        <w:pStyle w:val="Normal"/>
        <w:ind w:firstLine="720"/>
        <w:jc w:val="both"/>
        <w:rPr/>
      </w:pPr>
      <w:r>
        <w:rPr/>
        <w:t>În temeiul art. 398 Cod procedură penală raportat la 274 alin. 1 şi 2 Cod procedură penală obligă inculpatul R1 să plătească statului suma de 600 lei reprezentând cheltuieli judiciare, din care suma de 165 lei reprezentând cheltuieli avansate în cursul urmăririi penale.”</w:t>
      </w:r>
    </w:p>
    <w:p>
      <w:pPr>
        <w:pStyle w:val="Normal"/>
        <w:jc w:val="both"/>
        <w:rPr/>
      </w:pPr>
      <w:r>
        <w:rPr/>
        <w:tab/>
      </w:r>
    </w:p>
    <w:p>
      <w:pPr>
        <w:pStyle w:val="Normal"/>
        <w:jc w:val="both"/>
        <w:rPr>
          <w:i/>
          <w:i/>
        </w:rPr>
      </w:pPr>
      <w:r>
        <w:rPr/>
        <w:tab/>
      </w:r>
      <w:r>
        <w:rPr>
          <w:i/>
        </w:rPr>
        <w:t>Pentru a hotărî astfel, instanţa de fond a reţinut următoarele :</w:t>
      </w:r>
    </w:p>
    <w:p>
      <w:pPr>
        <w:pStyle w:val="Normal"/>
        <w:shd w:val="clear" w:fill="FFFFFF"/>
        <w:ind w:firstLine="720"/>
        <w:jc w:val="both"/>
        <w:rPr>
          <w:b/>
        </w:rPr>
      </w:pPr>
      <w:r>
        <w:rPr/>
        <w:t>„</w:t>
      </w:r>
      <w:r>
        <w:rPr/>
        <w:t>Prin rechizitoriul emis la data de ..., în dosarul nr. D2 al Parchetului de pe lângă Judecătoria... şi înregistrat pe rolul acestei instanţe în data de 17.01.2014 sub nr. D1, inculpatul R1</w:t>
      </w:r>
      <w:r>
        <w:rPr>
          <w:rStyle w:val="FontStyle62"/>
          <w:sz w:val="24"/>
        </w:rPr>
        <w:t xml:space="preserve">, </w:t>
      </w:r>
      <w:r>
        <w:rPr>
          <w:rStyle w:val="FontStyle58"/>
          <w:sz w:val="24"/>
        </w:rPr>
        <w:t xml:space="preserve">fiul lui .... si ..., născut la data de ...., a fost trimis în judecată pentru săvârşirea infracţiunii de </w:t>
      </w:r>
      <w:r>
        <w:rPr>
          <w:rStyle w:val="FontStyle62"/>
          <w:b w:val="false"/>
          <w:sz w:val="24"/>
        </w:rPr>
        <w:t xml:space="preserve">furt calificat, prev. si ped. de art.208 alin. 1- 209 alin. 1 lit. a si alin. 3 lit. b din Codul penal din 1969, cu aplicarea art. 37 alin.1 lit. b şi art. 75 lit. c Cod penal din 1969. Prin același rechizitoriu a fost trimisă în judecată și inculpata R2, </w:t>
      </w:r>
      <w:r>
        <w:rPr>
          <w:rStyle w:val="FontStyle58"/>
          <w:sz w:val="24"/>
        </w:rPr>
        <w:t>fiica lui ... si ... născută la data de ...,</w:t>
      </w:r>
      <w:r>
        <w:rPr/>
        <w:t xml:space="preserve"> </w:t>
      </w:r>
      <w:r>
        <w:rPr>
          <w:rStyle w:val="FontStyle58"/>
          <w:sz w:val="24"/>
        </w:rPr>
        <w:t>pentru săvârşirea infracţiunii de</w:t>
      </w:r>
      <w:r>
        <w:rPr>
          <w:rStyle w:val="FontStyle58"/>
          <w:b/>
          <w:sz w:val="24"/>
        </w:rPr>
        <w:t xml:space="preserve"> </w:t>
      </w:r>
      <w:r>
        <w:rPr>
          <w:rStyle w:val="FontStyle62"/>
          <w:b w:val="false"/>
          <w:sz w:val="24"/>
        </w:rPr>
        <w:t>furt calificat, prev. si ped. de art.208 alin. 1- 209 alin. 1 lit. a si alin. 3 lit. b din Codul penal din 1969, cu aplicarea art. 75 lit. c Cod penal din 1969</w:t>
      </w:r>
      <w:r>
        <w:rPr>
          <w:b/>
        </w:rPr>
        <w:t xml:space="preserve">. </w:t>
      </w:r>
    </w:p>
    <w:p>
      <w:pPr>
        <w:pStyle w:val="Normal"/>
        <w:shd w:val="clear" w:fill="FFFFFF"/>
        <w:ind w:firstLine="720"/>
        <w:jc w:val="both"/>
        <w:rPr>
          <w:rFonts w:ascii="Times New Roman" w:hAnsi="Times New Roman"/>
          <w:sz w:val="24"/>
        </w:rPr>
      </w:pPr>
      <w:r>
        <w:rPr/>
        <w:t>În actul de sesizare a instanţei s-a reţinut că inculpații R2</w:t>
      </w:r>
      <w:r>
        <w:rPr>
          <w:rStyle w:val="FontStyle58"/>
          <w:sz w:val="24"/>
        </w:rPr>
        <w:t xml:space="preserve"> şi R1, împreună cu minorele B2 şi B3, au sustras la data de 15.02.2011, în intervalul orar 10:00-14:00, materiale feroase şi neferoase de la componentele din interiorul staţiei de pompare a apei nr. 3 amplasată pe raza sat/com. ..., ., jud. ..., cauzând un prejudiciu de 14720 lei.</w:t>
      </w:r>
    </w:p>
    <w:p>
      <w:pPr>
        <w:pStyle w:val="Normal"/>
        <w:shd w:val="clear" w:fill="FFFFFF"/>
        <w:ind w:firstLine="720"/>
        <w:jc w:val="both"/>
        <w:rPr>
          <w:rFonts w:ascii="Times New Roman" w:hAnsi="Times New Roman"/>
          <w:sz w:val="24"/>
        </w:rPr>
      </w:pPr>
      <w:r>
        <w:rPr>
          <w:rStyle w:val="FontStyle75"/>
          <w:sz w:val="24"/>
        </w:rPr>
        <w:t>Totodată s-a precizat că s</w:t>
      </w:r>
      <w:r>
        <w:rPr/>
        <w:t>ituaţia de fapt anterior menţionată a fost stabilită în urma analizei coroborate a mijloacelor de probă administrate în cursul urmăririi penale, respectiv:   proces verbal de constatare a infracțiunii flagrante (filele 13-14 d.u.p.)</w:t>
      </w:r>
      <w:r>
        <w:rPr>
          <w:rStyle w:val="FontStyle51"/>
          <w:sz w:val="24"/>
        </w:rPr>
        <w:t>;</w:t>
      </w:r>
      <w:r>
        <w:rPr/>
        <w:t xml:space="preserve"> </w:t>
      </w:r>
      <w:r>
        <w:rPr>
          <w:rStyle w:val="FontStyle51"/>
          <w:sz w:val="24"/>
        </w:rPr>
        <w:t>proces-verbal de cercetare la fața locului și planșe foto (filele 15-22 d.u.p.); proces verbal de cantarire și predare a bunurilor catre reprezentanții părții civile (fila 21 d.u.p); dovada de ridicare a bunurilor folosite la savarsirea infracțiunii și de depunere la Camera de corpuri delicte (filele 22-24 d.u.p.); proces verbal din data de 21.08.2011 de constatare a efectuării actelor premergătoare (fila 5 d.u.p.); înscrisuri (filele 27-29 d.u.p.); declaraţiile martorilor M1 (filele 31-32 d.u.p.) și M2 (filele 33-34 d.u.p.); declaraţiile date in calitate de învinuite de inculpata R2 (filele 99-100) și B2 ( filele 83-84 d.u.p.).</w:t>
      </w:r>
    </w:p>
    <w:p>
      <w:pPr>
        <w:pStyle w:val="Normal"/>
        <w:shd w:val="clear" w:fill="FFFFFF"/>
        <w:ind w:firstLine="720"/>
        <w:jc w:val="both"/>
        <w:rPr/>
      </w:pPr>
      <w:r>
        <w:rPr/>
        <w:t>Întrucât la data intrării in vigoare a noului Cod de procedura penală, in cauza de față nu se începuse cercetarea judecătorească, la termenul din 24.02.2014, în baza art. 6 alin. 2 din Legea nr. 255/2013, s-a dispus trimiterea dosarului în procedura de cameră preliminară.</w:t>
      </w:r>
    </w:p>
    <w:p>
      <w:pPr>
        <w:pStyle w:val="Normal"/>
        <w:jc w:val="both"/>
        <w:rPr/>
      </w:pPr>
      <w:r>
        <w:rPr/>
        <w:tab/>
        <w:t>Prin încheierea de şedinţă din camera de consiliu din data de 16.04.2014, judecătorul de cameră preliminară a respins, ca neîntemeiata, excepția ridicata din oficiu referitoare la nelegalitatea administrării probelor și a efectuării actelor de către organele de urmărire penală cu privire la inculpata minoră R2 şi în baza art. 346 alin. 1 Cod procedură penală, a constatat legalitatea sesizării instanţei,</w:t>
      </w:r>
      <w:r>
        <w:rPr>
          <w:b/>
          <w:i/>
        </w:rPr>
        <w:t xml:space="preserve"> </w:t>
      </w:r>
      <w:r>
        <w:rPr/>
        <w:t xml:space="preserve">a administrării probelor şi a efectuării actelor de urmărire penală şi a dispus începerea judecăţii cauzei. </w:t>
      </w:r>
    </w:p>
    <w:p>
      <w:pPr>
        <w:pStyle w:val="Normal"/>
        <w:spacing w:before="0" w:after="0"/>
        <w:ind w:right="-49" w:firstLine="708"/>
        <w:contextualSpacing/>
        <w:jc w:val="both"/>
        <w:rPr/>
      </w:pPr>
      <w:r>
        <w:rPr/>
        <w:t>La termenul de judecată din data de 23.09.2014, în prezenţa apărătorului desemnat din oficiu, inculpatul R1 a arătat că recunoaşte fapta pentru care a fost trimis în judecată şi a solicitat să fie judecat numai pe baza probelor administrate în cursul urmăririi penale, potrivit procedurii în cazul recunoaşterii învinuirii, prevăzută de art. 375 Cod de procedură penală.</w:t>
      </w:r>
    </w:p>
    <w:p>
      <w:pPr>
        <w:pStyle w:val="Normal"/>
        <w:spacing w:before="0" w:after="0"/>
        <w:ind w:right="-49" w:firstLine="708"/>
        <w:contextualSpacing/>
        <w:jc w:val="both"/>
        <w:rPr/>
      </w:pPr>
      <w:r>
        <w:rPr/>
        <w:t>Faţă de poziţia procesuală exprimată de</w:t>
      </w:r>
      <w:r>
        <w:rPr>
          <w:b/>
        </w:rPr>
        <w:t xml:space="preserve"> </w:t>
      </w:r>
      <w:r>
        <w:rPr/>
        <w:t>R1, instanţa a încuviinţat cererea inculpatului ca judecata să aibă loc numai pe baza probelor administrate în cursul urmăririi penale, apreciind că acestea sunt suficiente pentru aflarea adevărului şi justa soluţionare a cauzei.</w:t>
      </w:r>
    </w:p>
    <w:p>
      <w:pPr>
        <w:pStyle w:val="Normal"/>
        <w:shd w:val="clear" w:fill="FFFFFF"/>
        <w:ind w:firstLine="720"/>
        <w:jc w:val="both"/>
        <w:rPr/>
      </w:pPr>
      <w:r>
        <w:rPr/>
        <w:t xml:space="preserve">Inculpata R2 a fost judecată potrivit procedurii obişnuite. Întrucât din actele de căutare dispuse de instanţă a rezultat că aceasta nu mai locuieşte la adresa indicată în cursul urmăririi penale şi nici la adresa cu care figurează în baza de date a D.E.P.A.B.D., pe parcursul procesului penal, inculpata a fost citată şi prin afişarea înştiinţării la uşa instanţei. </w:t>
      </w:r>
    </w:p>
    <w:p>
      <w:pPr>
        <w:pStyle w:val="Normal"/>
        <w:shd w:val="clear" w:fill="FFFFFF"/>
        <w:ind w:firstLine="720"/>
        <w:jc w:val="both"/>
        <w:rPr/>
      </w:pPr>
      <w:r>
        <w:rPr/>
        <w:t xml:space="preserve">În faza cercetării judecătoreşti au fost audiaţi în mod nemijlocit de către instanţă martorii M1 (fila 271 dosar) şi M2 (fila 270 dosar).  În ceea ce o priveşte pe martora B2, în ciuda eforturilor rezonabile depuse de instanţă, aceasta nu a putut fi găsită pentru a fi audiată, motiv pentru care la termenul din 10.02.2015 s-a dat eficienţă disp. art. 381 alin. 7 Cod procedura penală.   </w:t>
      </w:r>
    </w:p>
    <w:p>
      <w:pPr>
        <w:pStyle w:val="Normal"/>
        <w:shd w:val="clear" w:fill="FFFFFF"/>
        <w:ind w:firstLine="720"/>
        <w:jc w:val="both"/>
        <w:rPr/>
      </w:pPr>
      <w:r>
        <w:rPr/>
        <w:t xml:space="preserve"> </w:t>
      </w:r>
      <w:r>
        <w:rPr/>
        <w:t>De asemenea, la solicitarea părţii civile a fost audiat în mod nemijlocit de instanţă martorul M3 (fila 272 dosar).</w:t>
      </w:r>
    </w:p>
    <w:p>
      <w:pPr>
        <w:pStyle w:val="Normal"/>
        <w:shd w:val="clear" w:fill="FFFFFF"/>
        <w:ind w:firstLine="720"/>
        <w:jc w:val="both"/>
        <w:rPr/>
      </w:pPr>
      <w:r>
        <w:rPr/>
        <w:t xml:space="preserve"> </w:t>
      </w:r>
      <w:r>
        <w:rPr/>
        <w:t xml:space="preserve">Totodată, instanţa a dispus efectuarea unui referat de evaluare pentru inculpata minoră R2, care nu a putut fi efectuat de Serviciul de Probaţiune ... (filele 101-113 dosar fond).  </w:t>
      </w:r>
    </w:p>
    <w:p>
      <w:pPr>
        <w:pStyle w:val="Normal"/>
        <w:jc w:val="both"/>
        <w:rPr/>
      </w:pPr>
      <w:r>
        <w:rPr/>
        <w:t xml:space="preserve"> </w:t>
      </w:r>
      <w:r>
        <w:rPr/>
        <w:tab/>
        <w:t xml:space="preserve">În termen legal, până la începerea cercetării judecătoreşti, persoana vătămată Organizaţia Utilizatorilor de Apă pentru Irigaţii ..., cu sediu in sat/com. ..., jud. ..., CIF ..., prin reprezentant ing. B1, s-a constituit parte civilă în cauză cu suma de 14.720,08 lei cu titlu de despăgubiri materiale.   </w:t>
      </w:r>
    </w:p>
    <w:p>
      <w:pPr>
        <w:pStyle w:val="Normal"/>
        <w:spacing w:before="0" w:after="0"/>
        <w:ind w:right="-49" w:firstLine="708"/>
        <w:contextualSpacing/>
        <w:jc w:val="both"/>
        <w:rPr/>
      </w:pPr>
      <w:r>
        <w:rPr/>
        <w:t xml:space="preserve">La termenul de judecată din 10.02.2015, instanţa a pus în discuţie aplicarea legii penale mai favorabile, având în vedere dispoziţiile art. 5 alin. 1 din noul Cod penal, intrat în vigoare la data de 01.02.2014. </w:t>
      </w:r>
    </w:p>
    <w:p>
      <w:pPr>
        <w:pStyle w:val="Normal"/>
        <w:ind w:right="-50" w:firstLine="708"/>
        <w:jc w:val="both"/>
        <w:rPr/>
      </w:pPr>
      <w:r>
        <w:rPr>
          <w:b/>
        </w:rPr>
        <w:t>Analizând şi coroborând materialul probator existent la dosarul cauzei, instanţa reţine următoarele</w:t>
      </w:r>
      <w:r>
        <w:rPr/>
        <w:t>:</w:t>
      </w:r>
    </w:p>
    <w:p>
      <w:pPr>
        <w:pStyle w:val="Normal"/>
        <w:shd w:val="clear" w:fill="FFFFFF"/>
        <w:ind w:firstLine="720"/>
        <w:jc w:val="both"/>
        <w:rPr/>
      </w:pPr>
      <w:r>
        <w:rPr>
          <w:b/>
        </w:rPr>
        <w:t>În fapt</w:t>
      </w:r>
      <w:r>
        <w:rPr/>
        <w:t xml:space="preserve">, inculpaţii R1, R2 sunt vecini, locuind în satul ..., ., com. ..., ., jud... </w:t>
      </w:r>
    </w:p>
    <w:p>
      <w:pPr>
        <w:pStyle w:val="Normal"/>
        <w:shd w:val="clear" w:fill="FFFFFF"/>
        <w:ind w:firstLine="720"/>
        <w:jc w:val="both"/>
        <w:rPr>
          <w:rFonts w:ascii="Times New Roman" w:hAnsi="Times New Roman"/>
          <w:sz w:val="24"/>
        </w:rPr>
      </w:pPr>
      <w:r>
        <w:rPr>
          <w:rStyle w:val="FontStyle58"/>
          <w:sz w:val="24"/>
        </w:rPr>
        <w:t xml:space="preserve">Pe raza teritorială a comunei ..., ., pe imaşul localităţii, în apropiere de Ferma ..... se află amplasată Staţia de pompare a apei nr. 3, aflată în administrarea persoanei vătămate O.U.A.I. .... Staţia este compusă dintr-o singură clădire înconjurată de un gard, în incinta acesteia aflându-se diferite motoare care au în componenţa lor piese şi subansambluri din fier, aluminiu sau cupru, neavând asigurată uşa la intrare. </w:t>
      </w:r>
    </w:p>
    <w:p>
      <w:pPr>
        <w:pStyle w:val="Normal"/>
        <w:shd w:val="clear" w:fill="FFFFFF"/>
        <w:ind w:firstLine="720"/>
        <w:jc w:val="both"/>
        <w:rPr>
          <w:rFonts w:ascii="Times New Roman" w:hAnsi="Times New Roman"/>
          <w:sz w:val="24"/>
        </w:rPr>
      </w:pPr>
      <w:r>
        <w:rPr>
          <w:rStyle w:val="FontStyle58"/>
          <w:sz w:val="24"/>
        </w:rPr>
        <w:t xml:space="preserve"> </w:t>
      </w:r>
      <w:r>
        <w:rPr>
          <w:rStyle w:val="FontStyle58"/>
          <w:sz w:val="24"/>
        </w:rPr>
        <w:t>La data de 15.02.2011, staţia nu mai funcţiona de 3-4 ani, din lipsă de comenzi, fiind în stare de conservare.</w:t>
      </w:r>
    </w:p>
    <w:p>
      <w:pPr>
        <w:pStyle w:val="Style25"/>
        <w:widowControl/>
        <w:spacing w:line="240" w:lineRule="auto"/>
        <w:ind w:firstLine="749"/>
        <w:rPr>
          <w:rFonts w:ascii="Times New Roman" w:hAnsi="Times New Roman"/>
          <w:sz w:val="24"/>
          <w:lang w:val="ro-RO"/>
        </w:rPr>
      </w:pPr>
      <w:r>
        <w:rPr>
          <w:rStyle w:val="FontStyle58"/>
          <w:rFonts w:ascii="Times New Roman" w:hAnsi="Times New Roman"/>
          <w:sz w:val="24"/>
          <w:lang w:val="ro-RO"/>
        </w:rPr>
        <w:t>Cunoscând faptul că acea clădire nu avea pază umană sau alte sisteme împotriva efracţiei, în dimineaţa zilei de 15.02.2011, în jurul orei 10.00, inculpatul R1 a mers la locuinţa inculpatei minore R2 şi i-a propus să se deplaseze împreună la Staţia de pompare a apei, de unde să sustragă diferite componente feroase şi neferoase de la motoarele din interior, pe care să le valorifice ulterior, propunere acceptată de minoră.</w:t>
      </w:r>
    </w:p>
    <w:p>
      <w:pPr>
        <w:pStyle w:val="Style25"/>
        <w:widowControl/>
        <w:spacing w:line="240" w:lineRule="auto"/>
        <w:ind w:firstLine="749"/>
        <w:rPr>
          <w:rFonts w:ascii="Times New Roman" w:hAnsi="Times New Roman"/>
          <w:sz w:val="24"/>
          <w:lang w:val="ro-RO"/>
        </w:rPr>
      </w:pPr>
      <w:r>
        <w:rPr>
          <w:rStyle w:val="FontStyle58"/>
          <w:rFonts w:ascii="Times New Roman" w:hAnsi="Times New Roman"/>
          <w:sz w:val="24"/>
          <w:lang w:val="ro-RO"/>
        </w:rPr>
        <w:t>În timp ce R1 s-a deplasat la staţie, având asupra lui un rucsac cu diferite unelte (un ciocan, bonfaier şi patru chei), inculpata R2 a mers la locuinţei martorei B2. Inculpata a găsit-o acasă pe martora B2 şi pe sora acesteia, B3, şi le-a propus celor două persoane să o însoţească la staţia de pompare a apei, pentru a sustrage bunuri. Fiind de acord cu propunerea inculpatei, cele două surori au luat câte un rucsac şi s-au deplasat împreună cu inculpata R2 la staţia de pompare, unde l-au găsit pe R1 în interiorul staţiei, demontând componente din motoare, cu ajutorul uneltelor ce le avea asupra sa.</w:t>
      </w:r>
    </w:p>
    <w:p>
      <w:pPr>
        <w:pStyle w:val="Style25"/>
        <w:widowControl/>
        <w:spacing w:line="240" w:lineRule="auto"/>
        <w:ind w:firstLine="744"/>
        <w:rPr>
          <w:rFonts w:ascii="Times New Roman" w:hAnsi="Times New Roman"/>
          <w:sz w:val="24"/>
          <w:lang w:val="ro-RO"/>
        </w:rPr>
      </w:pPr>
      <w:r>
        <w:rPr>
          <w:rStyle w:val="FontStyle58"/>
          <w:rFonts w:ascii="Times New Roman" w:hAnsi="Times New Roman"/>
          <w:sz w:val="24"/>
          <w:lang w:val="ro-RO"/>
        </w:rPr>
        <w:t>După ce au pătruns în incinta staţiei, inculpata şi cele două martore, cu ajutorul uneltelor aduse de inculpatul R1, au dezasamblat şi ele diferite componente de la motoarele staţiei, componente din aluminiu şi cupru pe care, le-au pus fiecare în rucsacii cu care veniseră. R1 a mai ascuns în zona staţiei, în afara de cantitatea pe care a pus-o în rucsacul său, şi alte componente din aluminiu, având intenţia să revină pentru a le ridica, aşa cum rezultă din procesul-verbal de cercetare la faţa locului.</w:t>
      </w:r>
    </w:p>
    <w:p>
      <w:pPr>
        <w:pStyle w:val="Style25"/>
        <w:widowControl/>
        <w:spacing w:line="240" w:lineRule="auto"/>
        <w:rPr>
          <w:rFonts w:ascii="Times New Roman" w:hAnsi="Times New Roman"/>
          <w:sz w:val="24"/>
          <w:lang w:val="ro-RO"/>
        </w:rPr>
      </w:pPr>
      <w:r>
        <w:rPr>
          <w:rStyle w:val="FontStyle58"/>
          <w:rFonts w:ascii="Times New Roman" w:hAnsi="Times New Roman"/>
          <w:sz w:val="24"/>
          <w:lang w:val="ro-RO"/>
        </w:rPr>
        <w:t>După ce au plecat de la staţia de pompare, spre domiciliile lor, în jurul orelor 14.00, în timp ce se deplasau pe jos, pe imaşul localităţii, cei doi inculpaţi şi martorele B2 şi B3 au fost observaţi de o patrulă a poliţiei de frontieră din cadrul S.P.F. ..., care a procedat la oprirea acestora şi la constatarea infracţiunii flagrante, fiind întocmit procesul verbal aflat la filele 13-14 dosar de urmărire penală.</w:t>
      </w:r>
    </w:p>
    <w:p>
      <w:pPr>
        <w:pStyle w:val="Style25"/>
        <w:widowControl/>
        <w:spacing w:line="240" w:lineRule="auto"/>
        <w:ind w:firstLine="754"/>
        <w:rPr>
          <w:rFonts w:ascii="Times New Roman" w:hAnsi="Times New Roman"/>
          <w:sz w:val="24"/>
          <w:lang w:val="ro-RO"/>
        </w:rPr>
      </w:pPr>
      <w:r>
        <w:rPr>
          <w:rStyle w:val="FontStyle58"/>
          <w:rFonts w:ascii="Times New Roman" w:hAnsi="Times New Roman"/>
          <w:sz w:val="24"/>
          <w:lang w:val="ro-RO"/>
        </w:rPr>
        <w:t xml:space="preserve">După identificarea celor patru persoane, s-a procedat la cântărirea materialelor feroase şi neferoase sustrase, rezultând cantitatea totală de 14 kg de cupru, 106,5 kg de aluminiu si 7,5 kg de fier si 4 sticle cu 10 l de ulei de transformator, bunuri care au fost predate de organele poliţiei de frontieră reprezentanţilor </w:t>
      </w:r>
      <w:r>
        <w:rPr>
          <w:rStyle w:val="FontStyle58"/>
          <w:rFonts w:ascii="Times New Roman" w:hAnsi="Times New Roman"/>
          <w:sz w:val="24"/>
        </w:rPr>
        <w:t>O.U.A.I. ...</w:t>
      </w:r>
      <w:r>
        <w:rPr>
          <w:rStyle w:val="FontStyle58"/>
          <w:rFonts w:ascii="Times New Roman" w:hAnsi="Times New Roman"/>
          <w:sz w:val="24"/>
          <w:lang w:val="ro-RO"/>
        </w:rPr>
        <w:t>.</w:t>
      </w:r>
    </w:p>
    <w:p>
      <w:pPr>
        <w:pStyle w:val="Normal"/>
        <w:shd w:val="clear" w:fill="FFFFFF"/>
        <w:ind w:firstLine="720"/>
        <w:jc w:val="both"/>
        <w:rPr>
          <w:rFonts w:ascii="Times New Roman" w:hAnsi="Times New Roman"/>
          <w:sz w:val="24"/>
        </w:rPr>
      </w:pPr>
      <w:r>
        <w:rPr/>
        <w:t>Situaţia de fapt, astfel cum a fost reţinuta de către instanţă, se probează cu întreg ansamblul probator administrat in cauza respectiv cu: proces-verbal de constatare a infracțiunii flagrante (filele 13-14 d.u.p.)</w:t>
      </w:r>
      <w:r>
        <w:rPr>
          <w:rStyle w:val="FontStyle51"/>
          <w:sz w:val="24"/>
        </w:rPr>
        <w:t>;</w:t>
      </w:r>
      <w:r>
        <w:rPr/>
        <w:t xml:space="preserve"> </w:t>
      </w:r>
      <w:r>
        <w:rPr>
          <w:rStyle w:val="FontStyle51"/>
          <w:sz w:val="24"/>
        </w:rPr>
        <w:t>proces-verbal de cercetare la fața locului și planșe foto (filele 15-22 d.u.p.); proces verbal de cantarire și predare a bunurilor catre reprezentanții părții civile (fila 21 d.u.p); dovada de ridicare a bunurilor folosite la savarsirea infracțiunii și de depunere la Camera de corpuri delicte (filele 22-24 d.u.p.); proces verbal din data de 21.08.2011 de constatare a efectuării actelor premergătoare (fila 5 d.u.p.); înscrisuri (filele 27-29 d.u.p.); declaraţiile martorilor M1 (filele 31-32  d.u.p., 271 dosar fond), M2 (filele 33-34 d.u.p., fila 270 dosar fond), M3 (fila 272 dosar fond); declaraţiile date în cursul urmăririi penale, în calitate de învinuite, de inculpata R2 (filele 99-100) și martora B2 ( filele 83-84 d.u.p.).</w:t>
      </w:r>
    </w:p>
    <w:p>
      <w:pPr>
        <w:pStyle w:val="Normal"/>
        <w:ind w:firstLine="709"/>
        <w:jc w:val="both"/>
        <w:rPr/>
      </w:pPr>
      <w:r>
        <w:rPr>
          <w:rStyle w:val="FontStyle36"/>
          <w:sz w:val="24"/>
        </w:rPr>
        <w:t xml:space="preserve">In cursul urmăririi penale, audiata cu respectarea garanțiilor procesuale, inculpata R2 a recunoscut comiterea faptei, în modalitatea ce a fost descrisă mai sus. În ceea ce-l priveşte pe inculpatul R1, acesta a fost audiat doar în cursul judecăţii, ocazie cu care </w:t>
      </w:r>
      <w:r>
        <w:rPr/>
        <w:t>a recunoscut săvârşirea faptei, așa cum a fost aceasta reținută prin rechizitoriu, solicitând aplicarea dispozițiilor art. 374 alin. 4 rap. la art. 396 alin. 10 Cod procedură penală.</w:t>
      </w:r>
    </w:p>
    <w:p>
      <w:pPr>
        <w:pStyle w:val="Normal"/>
        <w:ind w:firstLine="709"/>
        <w:jc w:val="both"/>
        <w:rPr>
          <w:lang w:val="en-US"/>
        </w:rPr>
      </w:pPr>
      <w:r>
        <w:rPr/>
        <w:t>Art. 5 alin. 1 Noul Cod penal, intrat in vigoare la 01.02.2014, consacră principiul aplicării legii penale mai favorabile, conform căruia ,,în cazul în care de la săvârșirea infracțiunii până la judecarea definitivă a cauzei au intervenit una sau mai multe legi penale, se aplică legea penala mai favorabilă.</w:t>
      </w:r>
      <w:r>
        <w:rPr>
          <w:lang w:val="en-US"/>
        </w:rPr>
        <w:t>’’</w:t>
      </w:r>
    </w:p>
    <w:p>
      <w:pPr>
        <w:pStyle w:val="Normal"/>
        <w:ind w:firstLine="709"/>
        <w:jc w:val="both"/>
        <w:rPr/>
      </w:pPr>
      <w:r>
        <w:rPr/>
        <w:t>Condițiile de aplicare a art. 5 din Noul Cod penal, privesc, prin urmare, în mod cumulativ, existența unei situații tranzitorii, caracterizarea faptei ca infracțiune atât potrivit legii contemporane datei săvârșirii acesteia, cât și legilor succesive noi, condiția ca pricina să nu fi fost soluționată definitiv și, evident existența unei legi penale mai favorabile între legile succesive.</w:t>
      </w:r>
    </w:p>
    <w:p>
      <w:pPr>
        <w:pStyle w:val="Normal"/>
        <w:ind w:firstLine="709"/>
        <w:jc w:val="both"/>
        <w:rPr/>
      </w:pPr>
      <w:r>
        <w:rPr/>
        <w:t xml:space="preserve">Astfel, în cazul în care de la săvârșirea infracțiunii până la judecarea definitivă a cauzei au intervenit una sau mai multe legi penale, dacă dispozițiile acestora diferă în cazul dedus spre soluționare, se aplică legea mai favorabila. </w:t>
      </w:r>
    </w:p>
    <w:p>
      <w:pPr>
        <w:pStyle w:val="Normal"/>
        <w:ind w:firstLine="709"/>
        <w:jc w:val="both"/>
        <w:rPr/>
      </w:pPr>
      <w:r>
        <w:rPr/>
        <w:t xml:space="preserve">Instanţa reţine că potrivit noului Cod penal, fapta comisa de inculpaţii R1 şi R2 se circumscrie infracţiunii de  furt calificat prev și ped. de art. 228 alin. 1-229 alin. 3 lit. b. </w:t>
      </w:r>
    </w:p>
    <w:p>
      <w:pPr>
        <w:pStyle w:val="Normal"/>
        <w:spacing w:before="0" w:after="0"/>
        <w:ind w:firstLine="720"/>
        <w:contextualSpacing/>
        <w:jc w:val="both"/>
        <w:rPr/>
      </w:pPr>
      <w:r>
        <w:rPr/>
        <w:t>În ceea ce privește elementele constitutive ale infracțiunii şi condițiile de tragere la răspundere instanţa constată că nu există diferențe între cele două reglementări.</w:t>
      </w:r>
    </w:p>
    <w:p>
      <w:pPr>
        <w:pStyle w:val="Normal"/>
        <w:tabs>
          <w:tab w:val="clear" w:pos="720"/>
          <w:tab w:val="left" w:leader="none" w:pos="8640"/>
        </w:tabs>
        <w:spacing w:before="0" w:after="0"/>
        <w:ind w:firstLine="709"/>
        <w:contextualSpacing/>
        <w:jc w:val="both"/>
        <w:rPr/>
      </w:pPr>
      <w:r>
        <w:rPr/>
        <w:t>Prin urmare, în stabilirea legii mai favorabile, instanţa va avea în vedere regimul sancţionator.</w:t>
      </w:r>
    </w:p>
    <w:p>
      <w:pPr>
        <w:pStyle w:val="Normal"/>
        <w:ind w:firstLine="709"/>
        <w:jc w:val="both"/>
        <w:rPr/>
      </w:pPr>
      <w:r>
        <w:rPr/>
        <w:t xml:space="preserve">Instanţa reţine că potrivit noului Cod penal, fapta comisa de inculpaţii R1 şi R2 se pedepseste cu inchisoare de la 3 la 10 ani. </w:t>
      </w:r>
    </w:p>
    <w:p>
      <w:pPr>
        <w:pStyle w:val="Normal"/>
        <w:tabs>
          <w:tab w:val="clear" w:pos="720"/>
          <w:tab w:val="left" w:leader="none" w:pos="8640"/>
        </w:tabs>
        <w:spacing w:before="0" w:after="0"/>
        <w:ind w:firstLine="708"/>
        <w:contextualSpacing/>
        <w:jc w:val="both"/>
        <w:rPr/>
      </w:pPr>
      <w:r>
        <w:rPr/>
        <w:t xml:space="preserve">Instanţa arata că fapta din prezenta cauză este concurentă cu </w:t>
      </w:r>
      <w:r>
        <w:rPr>
          <w:color w:val="000000"/>
        </w:rPr>
        <w:t xml:space="preserve">cea pentru care inculpatul R1 a fost condamnat la o pedeapsă de 1 an închisoare prin sentința penala nr. SP2 a Judecătoriei .... De asemenea, fapta din prezenta cauză  </w:t>
      </w:r>
      <w:r>
        <w:rPr/>
        <w:t xml:space="preserve">a fost săvârşita de inculpatul R1 în stare recidivă postexecutorie. </w:t>
      </w:r>
    </w:p>
    <w:p>
      <w:pPr>
        <w:pStyle w:val="Normal"/>
        <w:ind w:firstLine="709"/>
        <w:jc w:val="both"/>
        <w:rPr/>
      </w:pPr>
      <w:r>
        <w:rPr/>
        <w:t>Instanța reține că noul Cod penal a operat modificări cu privire la tratamentul sancționator in cazul recidivei</w:t>
      </w:r>
      <w:r>
        <w:rPr>
          <w:b/>
        </w:rPr>
        <w:t xml:space="preserve">, </w:t>
      </w:r>
      <w:r>
        <w:rPr/>
        <w:t xml:space="preserve">cumulul juridic consacrat de art. 39 alin. 1 și 2 Cod penal de la 1969, fiind înlocuit cu un cumul aritmetic, în cazul recidivei postcondamnatorii iar în cazul recidivei postexecutorii limitele speciale ale pedepsei prevăzute de lege pentru noua infracţiune majorându-se cu jumătate.  </w:t>
      </w:r>
    </w:p>
    <w:p>
      <w:pPr>
        <w:pStyle w:val="Normal"/>
        <w:ind w:firstLine="709"/>
        <w:jc w:val="both"/>
        <w:rPr/>
      </w:pPr>
      <w:r>
        <w:rPr/>
        <w:t xml:space="preserve">Cât priveşte tratamentul sancţionator al concursului de infracţiuni, instanța arată că algoritmul de calcul prevăzut de art. 39 Noul cod penal pentru concursul de infracţiuni, constă în aplicarea pedepsei mai grele la care se adaugă un spor obligatoriu de 1/3 din totalul celorlalte pedepse. </w:t>
      </w:r>
    </w:p>
    <w:p>
      <w:pPr>
        <w:pStyle w:val="Style13"/>
        <w:widowControl/>
        <w:spacing w:line="240" w:lineRule="auto"/>
        <w:ind w:firstLine="691"/>
        <w:rPr>
          <w:rFonts w:ascii="Times New Roman" w:hAnsi="Times New Roman"/>
        </w:rPr>
      </w:pPr>
      <w:r>
        <w:rPr>
          <w:rFonts w:ascii="Times New Roman" w:hAnsi="Times New Roman"/>
        </w:rPr>
        <w:tab/>
        <w:t xml:space="preserve">În ceea ce priveşte efectul circumstanţelor atenuante, instanţa constată că noul Cod penal restrânge efectele acestor circumstanţe, în sensul că în prezenţa acestora nu mai este obligatorie coborârea pedepsei sub minimul special, efectul lor fiind limitat la reducerea limitelor legale de pedeapsă cu 1/3. </w:t>
      </w:r>
    </w:p>
    <w:p>
      <w:pPr>
        <w:pStyle w:val="Normal"/>
        <w:jc w:val="both"/>
        <w:rPr/>
      </w:pPr>
      <w:r>
        <w:rPr/>
        <w:tab/>
        <w:t xml:space="preserve">Aplicând dispoziţiile noului Cod penal la speţa de faţă, instanța constată că în cazul inculpatului R1 Codul penal din 1969 ce prevede posibilitatea coborârii pedepsei sub minimul special, in cazul reţinerii circumstanţelor atenuante, precum şi un tratament sancţionator mai bând, în cazul recidivei şi concursului de infracţiuni, este lege penala mai favorabila. </w:t>
      </w:r>
    </w:p>
    <w:p>
      <w:pPr>
        <w:pStyle w:val="Normal"/>
        <w:jc w:val="both"/>
        <w:rPr/>
      </w:pPr>
      <w:r>
        <w:rPr/>
        <w:tab/>
        <w:t xml:space="preserve"> În ceea ce o priveşte pe inculpata R2, născută la data de ..., instanţa constată că aceasta era minoră la data săvârşirii faptei pentru care a fost trimisă în judecată (15.02.2011). </w:t>
      </w:r>
    </w:p>
    <w:p>
      <w:pPr>
        <w:pStyle w:val="Normal"/>
        <w:jc w:val="both"/>
        <w:rPr/>
      </w:pPr>
      <w:r>
        <w:rPr/>
        <w:t xml:space="preserve"> </w:t>
      </w:r>
      <w:r>
        <w:rPr/>
        <w:tab/>
        <w:t xml:space="preserve">Instanţa reţine că noul Cod penal modifică într-o manieră substanţială regimul sancţionator aplicabil minorilor, renunţând complet la aplicarea de pedepse în favoarea măsurilor educative. </w:t>
      </w:r>
    </w:p>
    <w:p>
      <w:pPr>
        <w:pStyle w:val="Normal"/>
        <w:jc w:val="both"/>
        <w:rPr/>
      </w:pPr>
      <w:r>
        <w:rPr/>
        <w:tab/>
        <w:t xml:space="preserve">Având în vedere limitele de pedeapsă prevăzute de lege pentru infracţiunea de furt calificat pentru care a fost trimisă în judecată inculpata R2,  instanţa apreciază că potrivit noului Cod penal, faţă de aceasta nu se poate dispune o măsură educativă neprivativă de libertate, ci una privativă de libertate. </w:t>
      </w:r>
    </w:p>
    <w:p>
      <w:pPr>
        <w:pStyle w:val="Normal"/>
        <w:jc w:val="both"/>
        <w:rPr/>
      </w:pPr>
      <w:r>
        <w:rPr/>
        <w:tab/>
        <w:t xml:space="preserve">Instanţa reţine că art. 17 LPACP prevede că o pedeapsă cu suspendarea executării aplicabilă potrivit Codului penal din 1969 este considerată mai favorabilă decât o măsură educativă privativă de libertate prevăzută de noul Cod penal.   </w:t>
      </w:r>
    </w:p>
    <w:p>
      <w:pPr>
        <w:pStyle w:val="Normal"/>
        <w:ind w:firstLine="708"/>
        <w:jc w:val="both"/>
        <w:rPr/>
      </w:pPr>
      <w:r>
        <w:rPr/>
        <w:t xml:space="preserve">Aşa fiind, instanţa va constata că şi în cazul inculpatei R2, Codul penal din 1969 ce prevede posibilitatea aplicarea unei pedepse cu suspendarea executării, este lege penală mai favorabilă. </w:t>
      </w:r>
    </w:p>
    <w:p>
      <w:pPr>
        <w:pStyle w:val="Normal"/>
        <w:ind w:firstLine="708"/>
        <w:jc w:val="both"/>
        <w:rPr/>
      </w:pPr>
      <w:r>
        <w:rPr/>
        <w:t>Întrucât aşa cum s-a arătat anterior, la data săvârşirii infracţiunii, inculpata R2 era minoră, instanţa constată că, în mod greşit, organele de urmărire penală au reţinut în încadrarea juridică a faptei pentru care a fost trimisă în judecată inculpata circumstanţa agravantă prevăzută de art. 75 alin. 1 lit. c, respectiv săvârşirea infracţiunii de către un infractor major, dacă aceasta a fost comisă împreună cu un minor.</w:t>
      </w:r>
    </w:p>
    <w:p>
      <w:pPr>
        <w:pStyle w:val="Normal"/>
        <w:ind w:firstLine="708"/>
        <w:jc w:val="both"/>
        <w:rPr/>
      </w:pPr>
      <w:r>
        <w:rPr/>
        <w:t xml:space="preserve"> </w:t>
      </w:r>
      <w:r>
        <w:rPr/>
        <w:t>În consecinţă, în temeiul art. 386 Cod procedură penală se va dispune schimbarea încadrării juridice a faptei pentru care a fost trimisă în judecată inculpata R2 prin Rechizitoriul nr. D2 din ... al Parchetului de pe lângă Judecătoria... din infracțiunea de infracţiunea de furt calificat prevăzuta de art. 208 alin. 1-209 alin. 1 lit. aşi alin. 3 lit. b Cod penal din 1969, cu aplicarea art. 75 lit. c Cod penal</w:t>
      </w:r>
      <w:r>
        <w:rPr>
          <w:b/>
        </w:rPr>
        <w:t xml:space="preserve"> </w:t>
      </w:r>
      <w:r>
        <w:rPr/>
        <w:t>din 1969</w:t>
      </w:r>
      <w:r>
        <w:rPr>
          <w:b/>
        </w:rPr>
        <w:t xml:space="preserve"> </w:t>
      </w:r>
      <w:r>
        <w:rPr/>
        <w:t>în infracțiunea de furt calificat prevăzuta de art. 208 alin. 1-209 alin. 1 lit. a, alin. 3 lit. b Cod penal din 1969, cu aplicarea art. 99 alin. 3 Cod penal</w:t>
      </w:r>
      <w:r>
        <w:rPr>
          <w:b/>
        </w:rPr>
        <w:t xml:space="preserve"> </w:t>
      </w:r>
      <w:r>
        <w:rPr/>
        <w:t>din 1969 şi art. 5 alin. 1 noul Cod penal.</w:t>
      </w:r>
    </w:p>
    <w:p>
      <w:pPr>
        <w:pStyle w:val="Normal"/>
        <w:ind w:firstLine="708"/>
        <w:jc w:val="both"/>
        <w:rPr/>
      </w:pPr>
      <w:r>
        <w:rPr>
          <w:rStyle w:val="FontStyle43"/>
          <w:b w:val="false"/>
          <w:sz w:val="24"/>
        </w:rPr>
        <w:t xml:space="preserve">Instanţa va constata că, </w:t>
      </w:r>
      <w:r>
        <w:rPr>
          <w:rStyle w:val="FontStyle43"/>
          <w:sz w:val="24"/>
        </w:rPr>
        <w:t>în drept</w:t>
      </w:r>
      <w:r>
        <w:rPr>
          <w:rStyle w:val="FontStyle43"/>
          <w:b w:val="false"/>
          <w:sz w:val="24"/>
        </w:rPr>
        <w:t xml:space="preserve">, fapta inculpatei minore </w:t>
      </w:r>
      <w:r>
        <w:rPr/>
        <w:t>R2</w:t>
      </w:r>
      <w:r>
        <w:rPr>
          <w:rStyle w:val="FontStyle58"/>
          <w:sz w:val="24"/>
        </w:rPr>
        <w:t>, care împreună cu inculpatul major R1 şi numitele B2 şi B3, au sustras la data de 15.02.2011, în intervalul orar 10:00-14:00, materiale feroase şi neferoase de la componentele sistemului de irigaţii aflate in interiorul staţiei de pompare a apei nr. 3 amplasată pe raza sat/com. ..., ., jud. laşi, cauzând un prejudiciu de 14720,08 lei</w:t>
      </w:r>
      <w:r>
        <w:rPr>
          <w:rStyle w:val="FontStyle54"/>
          <w:sz w:val="24"/>
        </w:rPr>
        <w:t xml:space="preserve">, </w:t>
      </w:r>
      <w:r>
        <w:rPr>
          <w:rStyle w:val="FontStyle43"/>
          <w:b w:val="false"/>
          <w:sz w:val="24"/>
        </w:rPr>
        <w:t xml:space="preserve">întruneşte elementele constitutive ale infracţiunii de furt calificat prevăzută de art. </w:t>
      </w:r>
      <w:r>
        <w:rPr/>
        <w:t>208 alin. 1-209 alin. 1 lit. a, alin. 3 lit. b Cod penal din 1969, cu aplicarea art. 99 alin. 3 Cod penal</w:t>
      </w:r>
      <w:r>
        <w:rPr>
          <w:b/>
        </w:rPr>
        <w:t xml:space="preserve"> </w:t>
      </w:r>
      <w:r>
        <w:rPr/>
        <w:t>din 1969 şi art. 5 alin. 1 noul Cod penal</w:t>
        <w:tab/>
        <w:t>.</w:t>
      </w:r>
    </w:p>
    <w:p>
      <w:pPr>
        <w:pStyle w:val="Normal"/>
        <w:ind w:firstLine="708"/>
        <w:jc w:val="both"/>
        <w:rPr/>
      </w:pPr>
      <w:r>
        <w:rPr>
          <w:rStyle w:val="FontStyle43"/>
          <w:b w:val="false"/>
          <w:sz w:val="24"/>
        </w:rPr>
        <w:t>Fapta inculpatului</w:t>
      </w:r>
      <w:r>
        <w:rPr>
          <w:rStyle w:val="FontStyle58"/>
          <w:sz w:val="24"/>
        </w:rPr>
        <w:t xml:space="preserve"> major R1, care </w:t>
      </w:r>
      <w:r>
        <w:rPr>
          <w:rStyle w:val="FontStyle43"/>
          <w:b w:val="false"/>
          <w:sz w:val="24"/>
        </w:rPr>
        <w:t xml:space="preserve">împreună cu inculpata minora </w:t>
      </w:r>
      <w:r>
        <w:rPr/>
        <w:t>R2</w:t>
      </w:r>
      <w:r>
        <w:rPr>
          <w:rStyle w:val="FontStyle58"/>
          <w:sz w:val="24"/>
        </w:rPr>
        <w:t xml:space="preserve"> şi numitele B2 şi B3, au sustras la data de 15.02.2011, în intervalul orar 10:00-14:00, materiale feroase şi neferoase de la componentele sistemului de irigaţii aflate in interiorul staţiei de pompare a apei nr. 3 amplasată pe raza sat/com. ..., ., jud. ..., cauzând un prejudiciu de 14720,08 lei</w:t>
      </w:r>
      <w:r>
        <w:rPr>
          <w:rStyle w:val="FontStyle54"/>
          <w:sz w:val="24"/>
        </w:rPr>
        <w:t xml:space="preserve">, </w:t>
      </w:r>
      <w:r>
        <w:rPr>
          <w:rStyle w:val="FontStyle43"/>
          <w:b w:val="false"/>
          <w:sz w:val="24"/>
        </w:rPr>
        <w:t xml:space="preserve">întruneşte elementele constitutive ale infracţiunii de furt calificat prevăzută de art. </w:t>
      </w:r>
      <w:r>
        <w:rPr/>
        <w:t>208 alin. 1-209 alin. 1 lit. a, alin. 3 lit. b Cod penal din 1969, cu aplicarea art. 75 alin. 1 lit. c Cod penal</w:t>
      </w:r>
      <w:r>
        <w:rPr>
          <w:b/>
        </w:rPr>
        <w:t xml:space="preserve"> </w:t>
      </w:r>
      <w:r>
        <w:rPr/>
        <w:t>din 1969, art. 37 alin. 1 lit. b Cod penal din 1969 şi art. 5 alin. 1 noul Cod penal.</w:t>
      </w:r>
    </w:p>
    <w:p>
      <w:pPr>
        <w:pStyle w:val="Normal"/>
        <w:ind w:firstLine="708"/>
        <w:jc w:val="both"/>
        <w:rPr/>
      </w:pPr>
      <w:r>
        <w:rPr/>
        <w:t>Sub aspectul laturii obiective, elementul material al infracţiunii de furt este reprezentat de acţiunea de luare a bunurilor sus-menţionate, în condiţiile prevăzute de art. 208 alin. 1 Cod penal din 19169, respectiv fără consimţământul persoanei în a cărei proprietate se aflau acestea, în scopul de a şi le însuşi pe nedrept.</w:t>
        <w:tab/>
      </w:r>
    </w:p>
    <w:p>
      <w:pPr>
        <w:pStyle w:val="Normal"/>
        <w:jc w:val="both"/>
        <w:rPr/>
      </w:pPr>
      <w:r>
        <w:rPr>
          <w:i/>
        </w:rPr>
        <w:tab/>
        <w:t xml:space="preserve"> </w:t>
      </w:r>
      <w:r>
        <w:rPr/>
        <w:t xml:space="preserve">Urmarea imediată a faptei constă în atingerea adusă relaţiilor sociale referitoare la posesia bunurilor mobile şi producerea unei pagube, constând în lipsirea părţii vătămate de posesia </w:t>
      </w:r>
      <w:r>
        <w:rPr>
          <w:rStyle w:val="FontStyle58"/>
          <w:sz w:val="24"/>
        </w:rPr>
        <w:t>componentelor feroase şi neferoase</w:t>
      </w:r>
      <w:r>
        <w:rPr/>
        <w:t>, pe care le avea în proprietate. Paguba nu s-ar fi produs în lipsa activităţii infracţionale a inculpaţilor, dovedind astfel existenţa raportului de cauzalitate.</w:t>
      </w:r>
    </w:p>
    <w:p>
      <w:pPr>
        <w:pStyle w:val="Normal"/>
        <w:jc w:val="both"/>
        <w:rPr/>
      </w:pPr>
      <w:r>
        <w:rPr/>
        <w:tab/>
        <w:t xml:space="preserve">Infracţiunea s-a consumat în momentul apropriaţiunii </w:t>
      </w:r>
      <w:r>
        <w:rPr>
          <w:rStyle w:val="FontStyle58"/>
          <w:sz w:val="24"/>
        </w:rPr>
        <w:t xml:space="preserve">componentelor feroase şi neferoase </w:t>
      </w:r>
      <w:r>
        <w:rPr/>
        <w:t>de către inculpaţi prin scoaterea acestora din sfera de stăpânire a persoanei vătămate.</w:t>
      </w:r>
    </w:p>
    <w:p>
      <w:pPr>
        <w:pStyle w:val="Normal"/>
        <w:jc w:val="both"/>
        <w:rPr/>
      </w:pPr>
      <w:r>
        <w:rPr/>
        <w:tab/>
        <w:t>Sub aspectul laturii subiective, inculpaţii au acţionat cu intenţie directă (art.19, alin.1 lit.a C.pen. din 1969), prevăzând rezultatul păgubitor pentru patrimoniul părţii civile şi urmărind producerea lui prin sustragerea bunurilor, fără consimţământul persoanei care le deţine.</w:t>
      </w:r>
    </w:p>
    <w:p>
      <w:pPr>
        <w:pStyle w:val="Normal"/>
        <w:jc w:val="both"/>
        <w:rPr/>
      </w:pPr>
      <w:r>
        <w:rPr/>
        <w:tab/>
        <w:t>Infracţiunea a fost săvârşită de către „două sau mai multe persoane împreună”, fiind reţinută participarea concomitentă la comiterea furtului a inculpaţilor R2 şi R1, precum şi a</w:t>
      </w:r>
      <w:r>
        <w:rPr>
          <w:rStyle w:val="FontStyle58"/>
          <w:sz w:val="24"/>
        </w:rPr>
        <w:t xml:space="preserve"> numitelor B2 şi B3,</w:t>
      </w:r>
      <w:r>
        <w:rPr/>
        <w:t>, agravanta fiind aplicabilă independent de modul de participaţie la comiterea infracţiunii, precum şi de forma şi gradul de vinovăţie al acestora, considerându-se că simpla cooperare a mai multor persoane este de natură să confere caracter agravat infracţiunii săvârşite, întrucât, prin săvârşirea infracţiunii în această modalitate, îndrăzneala participanţilor şi gradul de reuşită al activităţii întreprinse sporesc, aspect ce s-a putut observa şi în prezenta cauză, fiind rezonabil să se presupună că, în absenţa susţinerii reciproce a celorlalte persoane, infracţiunea nu ar fi putut fi comisă în maniera expusă mai sus, raportat la cantitatea de material feros sustras şi la succesul operaţiunii întreprinse.</w:t>
      </w:r>
    </w:p>
    <w:p>
      <w:pPr>
        <w:pStyle w:val="Style31"/>
        <w:widowControl/>
        <w:spacing w:line="240" w:lineRule="auto"/>
        <w:ind w:firstLine="749"/>
        <w:rPr>
          <w:color w:val="000000"/>
          <w:lang w:val="ro-RO"/>
        </w:rPr>
      </w:pPr>
      <w:r>
        <w:rPr>
          <w:lang w:val="ro-RO"/>
        </w:rPr>
        <w:t xml:space="preserve">De asemenea, se va reţine agravanta prevăzută de art. 209 alin. 3 lit. b Cod penal din 1969, având în vedere că </w:t>
      </w:r>
      <w:r>
        <w:rPr>
          <w:rStyle w:val="FontStyle58"/>
          <w:sz w:val="24"/>
          <w:lang w:val="ro-RO"/>
        </w:rPr>
        <w:t>materialele feroase şi neferoase sustrase de inculpaţi proveneau de la componentele sistemului de irigaţie aflat în interiorul staţiei de pompare a apei</w:t>
      </w:r>
      <w:r>
        <w:rPr>
          <w:lang w:val="ro-RO"/>
        </w:rPr>
        <w:t>.</w:t>
      </w:r>
      <w:r>
        <w:rPr>
          <w:color w:val="000000"/>
          <w:lang w:val="ro-RO"/>
        </w:rPr>
        <w:t xml:space="preserve"> </w:t>
      </w:r>
    </w:p>
    <w:p>
      <w:pPr>
        <w:pStyle w:val="Style31"/>
        <w:widowControl/>
        <w:spacing w:line="240" w:lineRule="auto"/>
        <w:ind w:firstLine="749"/>
        <w:rPr>
          <w:color w:val="000000"/>
          <w:lang w:val="ro-RO"/>
        </w:rPr>
      </w:pPr>
      <w:r>
        <w:rPr>
          <w:color w:val="000000"/>
          <w:lang w:val="ro-RO"/>
        </w:rPr>
        <w:t xml:space="preserve"> </w:t>
      </w:r>
      <w:r>
        <w:rPr>
          <w:color w:val="000000"/>
          <w:lang w:val="ro-RO"/>
        </w:rPr>
        <w:t xml:space="preserve">Instanţa arată că potrivit </w:t>
      </w:r>
      <w:r>
        <w:rPr>
          <w:b/>
          <w:color w:val="000000"/>
          <w:lang w:val="ro-RO"/>
        </w:rPr>
        <w:t>anexei I la Legea nr. 138/2004</w:t>
      </w:r>
      <w:r>
        <w:rPr>
          <w:color w:val="000000"/>
          <w:lang w:val="ro-RO"/>
        </w:rPr>
        <w:t xml:space="preserve"> privind îmbunătăţirile funciare </w:t>
      </w:r>
      <w:r>
        <w:rPr>
          <w:b/>
          <w:color w:val="000000"/>
          <w:lang w:val="ro-RO"/>
        </w:rPr>
        <w:t>prin sistem de irigaţii</w:t>
      </w:r>
      <w:r>
        <w:rPr>
          <w:color w:val="000000"/>
          <w:lang w:val="ro-RO"/>
        </w:rPr>
        <w:t xml:space="preserve"> se înţelege o reţea hidraulic distinctã de structuri, pompe, canale, conducte care pot fi folosite pentru a preleva şi/sau a transporta apa, a distribui şi a aplica apa pentru irigaţii pe o suprafaţã de teren definitã şi care cuprinde terenul, </w:t>
      </w:r>
      <w:r>
        <w:rPr>
          <w:b/>
          <w:color w:val="000000"/>
          <w:lang w:val="ro-RO"/>
        </w:rPr>
        <w:t>clãdirile,</w:t>
      </w:r>
      <w:r>
        <w:rPr>
          <w:color w:val="000000"/>
          <w:lang w:val="ro-RO"/>
        </w:rPr>
        <w:t xml:space="preserve"> </w:t>
      </w:r>
      <w:r>
        <w:rPr>
          <w:b/>
          <w:color w:val="000000"/>
          <w:lang w:val="ro-RO"/>
        </w:rPr>
        <w:t>echipamentul fix sau mobil</w:t>
      </w:r>
      <w:r>
        <w:rPr>
          <w:color w:val="000000"/>
          <w:lang w:val="ro-RO"/>
        </w:rPr>
        <w:t>, drumurile de acces şi infrastructura aferente, necesare pentru a exploata, a întreţine şi a repara sistemul.</w:t>
      </w:r>
    </w:p>
    <w:p>
      <w:pPr>
        <w:pStyle w:val="Style31"/>
        <w:widowControl/>
        <w:spacing w:line="240" w:lineRule="auto"/>
        <w:ind w:firstLine="749"/>
        <w:rPr>
          <w:lang w:val="ro-RO"/>
        </w:rPr>
      </w:pPr>
      <w:r>
        <w:rPr>
          <w:color w:val="000000"/>
          <w:lang w:val="ro-RO"/>
        </w:rPr>
        <w:t xml:space="preserve">Pentru reţinerea agravantei nu este necesar ca sistemul de irigaţii să fie în funcţiune. Astfel se apreciază că în cauza de faţă, împrejurarea că, de mai mulţi ani, sistemul de irigaţii nu a mai funcţionat este irelevantă, de vreme ce el exista fizic la data săvârşirii furtului. </w:t>
      </w:r>
    </w:p>
    <w:p>
      <w:pPr>
        <w:pStyle w:val="Normal"/>
        <w:ind w:firstLine="708"/>
        <w:jc w:val="both"/>
        <w:rPr/>
      </w:pPr>
      <w:r>
        <w:rPr/>
        <w:t xml:space="preserve">În cazul inculpatului R1 va fi reţinuta şi circumstanţa agravantă prev. de art. 75 alin.1 lit. c Cod penal din 1969 având în vedere aceasta a comis fapta împreună cu un minor. Vor fi reţinute, de asemenea, şi disp. art. 37 alin. 1 lit. b Cod penal, având în vedere că fapta din prezenta cauză a fost săvârşită de inculpatul R1, în stare recidivă  postexecutorie, deoarece a fost săvârşită cu intenţie, după ce se consideră executată pedeapsa de 3 ani închisoare, aplicată prin sentinţa penală nr. SP4 a Judecătoriei .... </w:t>
      </w:r>
    </w:p>
    <w:p>
      <w:pPr>
        <w:pStyle w:val="Normal"/>
        <w:jc w:val="both"/>
        <w:rPr/>
      </w:pPr>
      <w:r>
        <w:rPr/>
        <w:tab/>
        <w:t xml:space="preserve">În cazul inculpatei R2 vor fi reţinute disp. art. 99 alin. 3 Cod penal din 1969, având în vedere starea de minoritate a acesteia la data săvârşirii faptei.   </w:t>
      </w:r>
    </w:p>
    <w:p>
      <w:pPr>
        <w:pStyle w:val="Style31"/>
        <w:widowControl/>
        <w:spacing w:line="240" w:lineRule="auto"/>
        <w:ind w:firstLine="749"/>
        <w:rPr>
          <w:lang w:val="ro-RO"/>
        </w:rPr>
      </w:pPr>
      <w:r>
        <w:rPr>
          <w:lang w:val="ro-RO"/>
        </w:rPr>
        <w:t xml:space="preserve"> </w:t>
      </w:r>
      <w:r>
        <w:rPr>
          <w:lang w:val="ro-RO"/>
        </w:rPr>
        <w:t xml:space="preserve">Faţă de considerentele de fapt şi de drept mai sus arătate, instanţa constată că fapta sesizate exista, a fost săvârşita de inculpaţii R1 şi R2 şi constituie infracţiune în sensul art. 17 Cod penal din 1969, în baza art. 396 alin. 2 Noul Cod procedură penală, urmând să-i condamne pe aceştia la câte o pedeapsă cu închisoare în limitele prevăzute de lege, reţinând în favoarea acestora circumstanţele atenuante prevăzute de art. 74 alin. 2 Cod penal din 1969, raportat la condiţiile concrete de săvârşire a faptei, la faptul că sunt persoane tinere, fără o experienţă de viaţă corespunzătoare. </w:t>
      </w:r>
    </w:p>
    <w:p>
      <w:pPr>
        <w:pStyle w:val="Style31"/>
        <w:widowControl/>
        <w:spacing w:line="240" w:lineRule="auto"/>
        <w:ind w:firstLine="749"/>
        <w:rPr>
          <w:lang w:val="ro-RO"/>
        </w:rPr>
      </w:pPr>
      <w:r>
        <w:rPr>
          <w:lang w:val="ro-RO"/>
        </w:rPr>
        <w:t xml:space="preserve"> </w:t>
      </w:r>
      <w:r>
        <w:rPr>
          <w:lang w:val="ro-RO"/>
        </w:rPr>
        <w:t xml:space="preserve">La individualizarea pedepsei ce va fi aplicata inculpatului R1, instanţa va ţine seama limitele prevăzute de lege, reduse cu 1/3, conform art. 396 alin. 10 N.C.P.P, precum şi de criteriile generale de individualizare a pedepsei prevăzute la art. 52 Cod penal din 1969, respectiv de împrejurarea şi modalitatea în care a fost comisa fapta, de starea de pericol creată pentru valoarea ocrotită, de urmarea produsă, de motivul săvârșirii infracțiunii, precum şi circumstanţele personale ale inculpatului, care deși a a manifestat o atitudine constantă de recunoaştere şi colaborare ce a permis soluţionarea completă şi optimă a cauzei, a mai fost anterior condamnat pentru fapte de acelaşi gen. </w:t>
      </w:r>
    </w:p>
    <w:p>
      <w:pPr>
        <w:pStyle w:val="Normal"/>
        <w:jc w:val="both"/>
        <w:rPr/>
      </w:pPr>
      <w:r>
        <w:rPr/>
        <w:tab/>
        <w:t xml:space="preserve">Instanța apreciază că aplicarea unei pedepse de 1 an şi 6 luni închisoare pentru săvârșirea infracțiunii de furt calificat inculpatului R1, asigură o proporţie echitabilă între gradul de pericol social al faptelor şi profilul socio-moral al inculpatului, fiind în măsură să realizeze în concret atribuţiile sancţiunii penale ca mijloc de reeducare şi de prevenire a săvârşirii de noi infracţiuni. </w:t>
      </w:r>
    </w:p>
    <w:p>
      <w:pPr>
        <w:pStyle w:val="Normal"/>
        <w:spacing w:before="0" w:after="0"/>
        <w:ind w:right="-49" w:firstLine="720"/>
        <w:contextualSpacing/>
        <w:jc w:val="both"/>
        <w:rPr/>
      </w:pPr>
      <w:r>
        <w:rPr/>
        <w:t>În ceea ce o priveşte pe inculpata R2, la individualizarea pedepsei ce va fi aplicata acesteia, instanţa va avea în vedere limitele prevăzute de lege, reduse  la jumătate, conform art. 109 Cod penal din 1969, natura relaţiilor juridice periclitate, modalitatea şi împrejurările concrete în care a fost comisa fapta, iar – pe de altă parte – va avea în vedere circumstanţele personale ale inculpatei (sub acest aspect este necesar a se remarca că inculpata este o persoană care se află la primul impact cu legea penală şi prezintă posibilităţi reale de îndreptare). Raportat la aceste elemente, instanţa apreciază că aplicarea unei pedepse de 8 luni  închisoare va fi în măsură să conducă la reeducarea şi sancţionarea inculpatei R2, la îndeplinirea cerinţelor prevăzute de art. 52 Cod penal din 1969, respectiv atingerea scopului sancţionator şi preventiv al pedepsei. Instanţa reţine că prin aplicarea pedepsei nu trebuie să se urmărească doar reprimarea infractorului, ci şi formarea la acesta a unei noi atitudini faţă de valorile sociale.</w:t>
      </w:r>
    </w:p>
    <w:p>
      <w:pPr>
        <w:pStyle w:val="Normal"/>
        <w:ind w:firstLine="720"/>
        <w:jc w:val="both"/>
        <w:rPr/>
      </w:pPr>
      <w:r>
        <w:rPr/>
        <w:t xml:space="preserve">În ceea ce priveşte modalitatea de executare a pedepsei închisorii aplicată inculpatei R2, apreciind că reeducarea, reinserţia socială a acesteia poate avea loc şi fără privare de libertate, că judecata în prezenta cauza constituie un avertisment suficient pentru a o determina ca, pe viitor, să se  abţină de la comiterea de alte fapte antisociale, constatând  că sunt întrunite şi celelalte condiţii prevăzute de art. 81 Cod penal din 1969, instanța va dispune suspendarea condiţionată a executării pedepsei pe durata unui termen de încercare, stabilit în condiţiile art. 82 Cod penal din 1969. </w:t>
      </w:r>
    </w:p>
    <w:p>
      <w:pPr>
        <w:pStyle w:val="Style31"/>
        <w:widowControl/>
        <w:spacing w:line="240" w:lineRule="auto"/>
        <w:ind w:firstLine="749"/>
        <w:rPr>
          <w:lang w:val="ro-RO"/>
        </w:rPr>
      </w:pPr>
      <w:r>
        <w:rPr>
          <w:lang w:val="ro-RO"/>
        </w:rPr>
        <w:t>De asemenea, instanța va atrage atenţia inculpatei asupra consecinţelor prevăzute de art. 83 Cod penal anterior, în cazul săvârşirii, cu intenţie, în interiorul termenului de încercare, a unei alte infracţiuni sau a neachitării despăgubirilor civile.</w:t>
      </w:r>
    </w:p>
    <w:p>
      <w:pPr>
        <w:pStyle w:val="Normal"/>
        <w:jc w:val="both"/>
        <w:rPr/>
      </w:pPr>
      <w:r>
        <w:rPr>
          <w:color w:val="000000"/>
        </w:rPr>
        <w:tab/>
        <w:t xml:space="preserve">În ceea ce-l priveşte pe inculpatul R1, instanţa reţine că acesta a fost condamnat la mai multe pedepse cu închisoarea, ultima condamnare fiindu-i aplicată prin sentința penala nr. SP2 a Judecătoriei ..., modificată și rămasă definitivă, prin decizia penală nr. DP1 a Curții de APEL... (filele 215-218, 228-234 dosar fond). </w:t>
      </w:r>
      <w:r>
        <w:rPr/>
        <w:t>Instanţa mai reţine că, anterior acestei hotărâri, inculpatul R1 a fost condamnat prin sentinţa penală nr. SP5 a Judecătoriei ..., definitivă prin decizia penală nr. DP2 a Curţii de APEL... (filele 57-62 dosar fond) la o pedeapsă de 3 ani şi 3 luni închisoare. A început executarea acestei pedepse la data de 22.04.2014 iar la data de ..., ca urmare a admiterii cererii de redeschidere a procesului penal formulată de inculpat, sentinţa penală nr. SP5 a Judecătoriei ... a fost desfiinţată de drept, prin sentinţa penală nr. SP6 a Judecătoriei ..., modificată şi rămasă definitivă prin decizia penală nr. DP3 a Curţii de APEL..., dispunându-se arestarea preventivă a inculpatului (filele 236-241 dosar fond).</w:t>
      </w:r>
    </w:p>
    <w:p>
      <w:pPr>
        <w:pStyle w:val="Normal"/>
        <w:jc w:val="both"/>
        <w:rPr/>
      </w:pPr>
      <w:r>
        <w:rPr>
          <w:color w:val="000000"/>
        </w:rPr>
        <w:tab/>
        <w:t>Verificând data la care a fost săvârşita infracţiunea pentru care inculpatul a fost condamnat prin sentinţa penala nr. SP2 a Judecătoriei ..., precum şi data la care această hotărâre a rămas definitivă, instanţa constată că infracțiunea dedusa judecății în prezenta cauză și infracțiunea de tăiere ilegală de arbori, prevăzuta de art. 108 alin. 1 lit. a din Legea nr. 46/2008 săvârșita de inculpat la data de 31.07.2011</w:t>
      </w:r>
      <w:r>
        <w:rPr>
          <w:b/>
          <w:color w:val="000000"/>
        </w:rPr>
        <w:t>,</w:t>
      </w:r>
      <w:r>
        <w:rPr>
          <w:color w:val="000000"/>
        </w:rPr>
        <w:t xml:space="preserve"> pentru care acesta a fost condamnat la o pedeapsă de 1 an închisoare prin sentința penala nr. SP2 a Judecătoriei ..., modificată și rămasă definitivă, prin decizia penală nr. DP1 a Curții de APEL... </w:t>
      </w:r>
      <w:r>
        <w:rPr/>
        <w:t xml:space="preserve">sunt concurente, respectiv aflate in stare de concurs real. </w:t>
      </w:r>
    </w:p>
    <w:p>
      <w:pPr>
        <w:pStyle w:val="Normal"/>
        <w:ind w:firstLine="708"/>
        <w:jc w:val="both"/>
        <w:rPr>
          <w:color w:val="000000"/>
        </w:rPr>
      </w:pPr>
      <w:r>
        <w:rPr>
          <w:color w:val="000000"/>
        </w:rPr>
        <w:t>În consecinţă, în baza art. 36 alin. 1 Cod penal din 1969 raportat la art. 33 lit. a Cod penal din 1969 și art. 34  alin. 1 lit. b Cod penal din 1969,  cu aplicarea art. 5 Noul Cod penal, instanţa va contopi pedeapsa de 1 (un) an şi 6 (şase) luni închisoare, aplicata pentru infracțiunea dedusa judecății în prezenta cauză cu pedeapsa de 1 an închisoare aplicată prin sentința penala nr. SP2 a Judecătoriei ..., modificată și rămasă definitivă, prin decizia penală nr. DP1 a Curții de APEL...</w:t>
      </w:r>
      <w:r>
        <w:rPr/>
        <w:t>,</w:t>
      </w:r>
      <w:r>
        <w:rPr>
          <w:color w:val="000000"/>
        </w:rPr>
        <w:t xml:space="preserve"> urmând ca inculpatul R1 să execute pedeapsa cea mai grea de 1 (un) an şi 6 (şase) luni închisoare.</w:t>
      </w:r>
    </w:p>
    <w:p>
      <w:pPr>
        <w:pStyle w:val="Style31"/>
        <w:widowControl/>
        <w:spacing w:line="240" w:lineRule="auto"/>
        <w:ind w:firstLine="749"/>
        <w:rPr>
          <w:lang w:val="ro-RO"/>
        </w:rPr>
      </w:pPr>
      <w:r>
        <w:rPr>
          <w:lang w:val="ro-RO"/>
        </w:rPr>
        <w:t xml:space="preserve">Situaţia juridică a inculpatului R1, care a săvârşit fapta din prezenta cauză în stare de recidivă, determină instanţa să constate că singura modalitate de executare a pedepsei de 1 an şi 6 luni închisoare rămâne executarea efectivă a acesteia. </w:t>
      </w:r>
    </w:p>
    <w:p>
      <w:pPr>
        <w:pStyle w:val="Normal"/>
        <w:ind w:firstLine="708"/>
        <w:jc w:val="both"/>
        <w:rPr/>
      </w:pPr>
      <w:r>
        <w:rPr/>
        <w:t xml:space="preserve">In baza art. 36 alin. 3 Cod penal din 1969, se va deduce din pedeapsa aplicata inculpatului R1 perioada executată anterior, în baza sentinţei penale nr. </w:t>
      </w:r>
      <w:r>
        <w:rPr>
          <w:color w:val="000000"/>
        </w:rPr>
        <w:t>SP2 a Judecătoriei ..., modificată și rămasă definitivă, prin decizia penală nr. DP1 a Curții de APEL..., respectiv de la data de</w:t>
      </w:r>
      <w:r>
        <w:rPr/>
        <w:t xml:space="preserve"> ... la zi. </w:t>
      </w:r>
    </w:p>
    <w:p>
      <w:pPr>
        <w:pStyle w:val="Normal"/>
        <w:ind w:firstLine="708"/>
        <w:jc w:val="both"/>
        <w:rPr>
          <w:color w:val="000000"/>
        </w:rPr>
      </w:pPr>
      <w:r>
        <w:rPr>
          <w:color w:val="000000"/>
        </w:rPr>
        <w:t>Ca o consecinţă a modificării pedepsei aplicată inculpatului R1, instanţa va dispune retragerea mandatului de executare a pedepsei închisorii emis de Judecătoria ... în temeiul sentinţei penale nr. SP2 a Judecătoriei ..., modificată și rămasă definitivă, prin decizia penală nr. DP1 a Curții de APEL... şi emiterea unui nou mandat de executare în baza prezentei sentințe, după rămânerea sa definitivă.</w:t>
      </w:r>
    </w:p>
    <w:p>
      <w:pPr>
        <w:pStyle w:val="Normal"/>
        <w:ind w:firstLine="708"/>
        <w:jc w:val="both"/>
        <w:rPr/>
      </w:pPr>
      <w:r>
        <w:rPr>
          <w:color w:val="000000"/>
        </w:rPr>
        <w:t xml:space="preserve"> </w:t>
      </w:r>
      <w:r>
        <w:rPr/>
        <w:t xml:space="preserve">În ceea ce priveşte pedeapsa accesorie, instanţa reţine că potrivit art. 12 alin. 1 din LPANCP, în cazul succesiunii de legi intervenite până la rămânerea definitivă a hotărârii de condamnare, pedepsele accesorii și complementare se aplică potrivit legii care a fost identificată ca lege mai favorabilă în raport cu infracțiunea comisă, în speța de față Codul penal din 1969.    </w:t>
      </w:r>
    </w:p>
    <w:p>
      <w:pPr>
        <w:pStyle w:val="Style32"/>
        <w:widowControl/>
        <w:spacing w:line="240" w:lineRule="auto"/>
        <w:rPr>
          <w:rFonts w:ascii="Times New Roman" w:hAnsi="Times New Roman"/>
          <w:lang w:val="ro-RO"/>
        </w:rPr>
      </w:pPr>
      <w:r>
        <w:rPr>
          <w:rFonts w:ascii="Times New Roman" w:hAnsi="Times New Roman"/>
          <w:lang w:val="ro-RO"/>
        </w:rPr>
        <w:tab/>
        <w:t>În cauză natura faptei săvârşită, ansamblul circumstanţelor personale ale inculpaţilor conduc la concluzia existenţei unei nedemnităţi în exercitarea drepturilor de natură electorală, respectiv dreptul de a fi aleşi în autorităţile publice sau în funcţii elective publice şi dreptul de a ocupa o funcţie implicând exerciţiul autorităţii de stat.</w:t>
      </w:r>
    </w:p>
    <w:p>
      <w:pPr>
        <w:pStyle w:val="Style32"/>
        <w:widowControl/>
        <w:spacing w:line="240" w:lineRule="auto"/>
        <w:rPr>
          <w:rFonts w:ascii="Times New Roman" w:hAnsi="Times New Roman"/>
          <w:lang w:val="ro-RO"/>
        </w:rPr>
      </w:pPr>
      <w:r>
        <w:rPr>
          <w:rFonts w:ascii="Times New Roman" w:hAnsi="Times New Roman"/>
          <w:lang w:val="ro-RO"/>
        </w:rPr>
        <w:tab/>
        <w:t xml:space="preserve"> Instanța nu va interzice inculpaţilor dreptul de a alege ci doar pe cel de a fi aleşi, având în vedere exigenţele CEDO, reflectate în Hotărârea din 6 octombrie 2005, în cauza Hirst împotriva  Regatului Unit</w:t>
      </w:r>
      <w:r>
        <w:rPr>
          <w:rFonts w:ascii="Times New Roman" w:hAnsi="Times New Roman"/>
          <w:b/>
          <w:lang w:val="ro-RO"/>
        </w:rPr>
        <w:t xml:space="preserve"> </w:t>
      </w:r>
      <w:r>
        <w:rPr>
          <w:rFonts w:ascii="Times New Roman" w:hAnsi="Times New Roman"/>
          <w:lang w:val="ro-RO"/>
        </w:rPr>
        <w:t>al Marii Britanii si Irlandei de Nord, în care Curtea a apreciat, păstrând linia stabilită prin decizia  Sabou şi Pîrcălab împotriva  României, că nu se impune interzicerea ope legis a drepturilor electorale, aceasta trebuind să fie dispusă în funcţie de natura faptei sau de gravitatea deosebită a acesteia.</w:t>
      </w:r>
    </w:p>
    <w:p>
      <w:pPr>
        <w:pStyle w:val="Style32"/>
        <w:widowControl/>
        <w:spacing w:line="240" w:lineRule="auto"/>
        <w:rPr>
          <w:rFonts w:ascii="Times New Roman" w:hAnsi="Times New Roman"/>
          <w:lang w:val="ro-RO"/>
        </w:rPr>
      </w:pPr>
      <w:r>
        <w:rPr>
          <w:rFonts w:ascii="Times New Roman" w:hAnsi="Times New Roman"/>
          <w:lang w:val="ro-RO"/>
        </w:rPr>
        <w:tab/>
        <w:t xml:space="preserve">Or, faptele care au făcut obiectul prezentei cauze nu au conotaţie electorală sau vreo gravitate specială, astfel că instanţa apreciază că nu se impune interzicerea dreptului de a alege. </w:t>
      </w:r>
    </w:p>
    <w:p>
      <w:pPr>
        <w:pStyle w:val="Normal"/>
        <w:ind w:firstLine="708"/>
        <w:jc w:val="both"/>
        <w:rPr/>
      </w:pPr>
      <w:r>
        <w:rPr/>
        <w:t>În consecință, în baza art. 12 alin. 1 LPANCP</w:t>
      </w:r>
      <w:r>
        <w:rPr>
          <w:b/>
        </w:rPr>
        <w:t xml:space="preserve"> </w:t>
      </w:r>
      <w:r>
        <w:rPr/>
        <w:t xml:space="preserve">pe durata şi în condiţiile prev. de art.71 din Codul penal din 1969, instanța va aplica inculpaţilor </w:t>
      </w:r>
      <w:r>
        <w:rPr>
          <w:b/>
        </w:rPr>
        <w:t>pedeapsa accesorie</w:t>
      </w:r>
      <w:r>
        <w:rPr/>
        <w:t xml:space="preserve"> a interzicerii exerciţiului drepturilor prev. de art.64 alin.1 lit. a) teza a II-a şi lit. b) din Codul penal din 1969.</w:t>
      </w:r>
    </w:p>
    <w:p>
      <w:pPr>
        <w:pStyle w:val="Normal"/>
        <w:ind w:firstLine="708"/>
        <w:jc w:val="both"/>
        <w:rPr/>
      </w:pPr>
      <w:r>
        <w:rPr/>
        <w:t>Având în vedere că executarea pedepsei aplicată inculpatei R2 a fost suspendată condiţionat, în temeiul art. 71 alin. 5 Cod penal 1969, instanţa va dispune suspendarea executării pedepsei accesorii, pe durata termenului de încercare.</w:t>
      </w:r>
    </w:p>
    <w:p>
      <w:pPr>
        <w:pStyle w:val="Normal"/>
        <w:ind w:firstLine="708"/>
        <w:jc w:val="both"/>
        <w:rPr/>
      </w:pPr>
      <w:r>
        <w:rPr/>
        <w:t xml:space="preserve"> </w:t>
      </w:r>
      <w:r>
        <w:rPr/>
        <w:t xml:space="preserve">Pe </w:t>
      </w:r>
      <w:r>
        <w:rPr>
          <w:b/>
        </w:rPr>
        <w:t>latură civilă,</w:t>
      </w:r>
      <w:r>
        <w:rPr/>
        <w:t xml:space="preserve"> instanţa va constata că persoana vătămată </w:t>
      </w:r>
      <w:r>
        <w:rPr>
          <w:b/>
        </w:rPr>
        <w:t xml:space="preserve">Organizaţia Utilizatorilor de Apă pentru Irigaţii ..., </w:t>
      </w:r>
      <w:r>
        <w:rPr/>
        <w:t>cu sediu in sat/com. ..., jud. ... CIF ..., prin reprezentant ing. B1</w:t>
      </w:r>
      <w:r>
        <w:rPr>
          <w:rStyle w:val="FontStyle51"/>
          <w:sz w:val="24"/>
        </w:rPr>
        <w:t xml:space="preserve"> s-a constituit parte civilă cu suma de  </w:t>
      </w:r>
      <w:r>
        <w:rPr>
          <w:b/>
        </w:rPr>
        <w:t xml:space="preserve">14.720,08 lei reprezentând daune materiale, respectiv contravaloarea componentelor sistemului de irigaţii distruse de inculpaţi, cu ocazia sustragerii materialelor feroase şi neferoase. </w:t>
      </w:r>
    </w:p>
    <w:p>
      <w:pPr>
        <w:pStyle w:val="Normal"/>
        <w:ind w:firstLine="708"/>
        <w:jc w:val="both"/>
        <w:rPr>
          <w:rFonts w:ascii="Times New Roman" w:hAnsi="Times New Roman"/>
          <w:sz w:val="24"/>
        </w:rPr>
      </w:pPr>
      <w:r>
        <w:rPr>
          <w:rStyle w:val="FontStyle51"/>
          <w:sz w:val="24"/>
        </w:rPr>
        <w:t>Pentru dovedirea cuantumului prejudiciului, partea civilă a depus la dosar înscrisuri (filele 27-29 d.u.p.) şi a solicitat audierea martorului M3.</w:t>
      </w:r>
    </w:p>
    <w:p>
      <w:pPr>
        <w:pStyle w:val="Normal"/>
        <w:ind w:firstLine="708"/>
        <w:jc w:val="both"/>
        <w:rPr>
          <w:rFonts w:ascii="Times New Roman" w:hAnsi="Times New Roman"/>
          <w:sz w:val="24"/>
        </w:rPr>
      </w:pPr>
      <w:r>
        <w:rPr>
          <w:rStyle w:val="FontStyle51"/>
          <w:sz w:val="24"/>
        </w:rPr>
        <w:t xml:space="preserve"> </w:t>
      </w:r>
      <w:r>
        <w:rPr>
          <w:rStyle w:val="FontStyle51"/>
          <w:sz w:val="24"/>
        </w:rPr>
        <w:t>La termenul de judecată din 23.09.2014, inculpatul R1 a achiesat la pretenţiile părţii civile (declaraţie, fila 102 dosar).</w:t>
      </w:r>
    </w:p>
    <w:p>
      <w:pPr>
        <w:pStyle w:val="Normal"/>
        <w:ind w:firstLine="708"/>
        <w:jc w:val="both"/>
        <w:rPr/>
      </w:pPr>
      <w:r>
        <w:rPr>
          <w:rStyle w:val="FontStyle51"/>
          <w:sz w:val="24"/>
        </w:rPr>
        <w:t xml:space="preserve">  </w:t>
      </w:r>
      <w:r>
        <w:rPr/>
        <w:t>Analizând înscrisurile depuse de partea civila la dosar, instanța apreciază ca aceasta a făcut dovada cuantumului prejudiciului suferit și constatând ca sunt îndeplinite și celelalte condiții ce antrenează răspunderea civila delictuala a inculpaților (existenţa faptei ilicite, raportul de cauzalitate între fapta ilicită şi prejudiciu, vinovăţia inculpaţilor), în temeiul art. 19 şi art. 397 Cod de procedură penală, în referire la art. 998 şi urm. Cod civil din 1864, va admite acţiunea civilă formulată de partea civilă Organizaţia Utilizatorilor de Apă pentru Irigaţii ..., cu sediu in sat/com. ..., jud. ..., CIF ..., prin reprezentant ing. B1 şi obligă inculpaţii R2 şi R1, în solidar, să plătească acesteia suma de 14.720,08 lei reprezentând daune materiale.</w:t>
      </w:r>
    </w:p>
    <w:p>
      <w:pPr>
        <w:pStyle w:val="Style31"/>
        <w:widowControl/>
        <w:spacing w:line="240" w:lineRule="auto"/>
        <w:ind w:firstLine="749"/>
        <w:rPr>
          <w:lang w:val="ro-RO"/>
        </w:rPr>
      </w:pPr>
      <w:r>
        <w:rPr>
          <w:b/>
          <w:lang w:val="ro-RO"/>
        </w:rPr>
        <w:t xml:space="preserve"> </w:t>
      </w:r>
      <w:r>
        <w:rPr>
          <w:lang w:val="ro-RO"/>
        </w:rPr>
        <w:t>Aşa cum s-a arătat anterior, la secţiunea în drept,</w:t>
      </w:r>
      <w:r>
        <w:rPr>
          <w:b/>
          <w:lang w:val="ro-RO"/>
        </w:rPr>
        <w:t xml:space="preserve"> </w:t>
      </w:r>
      <w:r>
        <w:rPr>
          <w:lang w:val="ro-RO"/>
        </w:rPr>
        <w:t>împrej</w:t>
      </w:r>
      <w:r>
        <w:rPr>
          <w:color w:val="000000"/>
          <w:lang w:val="ro-RO"/>
        </w:rPr>
        <w:t>urarea că, de mai mulţi ani, sistemul de irigaţii nu a mai funcţionat este irelevantă, de vreme ce el exista fizic la data săvârşirii furtului, aşa cum rezultă din declaraţia martorului. M3</w:t>
      </w:r>
    </w:p>
    <w:p>
      <w:pPr>
        <w:pStyle w:val="Normal"/>
        <w:ind w:firstLine="720"/>
        <w:jc w:val="both"/>
        <w:rPr/>
      </w:pPr>
      <w:r>
        <w:rPr/>
        <w:t>În baza dispoziţiilor art. 272 Cod procedură penală, suma de 600 lei, reprezentând onorariile apărătorilor desemnaţi din oficiu pentru inculpaţii R1 şi R2  la judecata în fond a cauzei, conform delegaţiilor nr. ..1 din 31.01.2014  şi ...7/31.01.2014 emise de Baroul... va fi avansată din bugetul de venituri şi cheltuieli al Ministerului Justiţiei şi va rămâne în sarcina statului.</w:t>
      </w:r>
    </w:p>
    <w:p>
      <w:pPr>
        <w:pStyle w:val="Normal"/>
        <w:ind w:firstLine="720"/>
        <w:jc w:val="both"/>
        <w:rPr/>
      </w:pPr>
      <w:r>
        <w:rPr/>
        <w:t>Faţă de soluţia de condamnare dispusă în cauză, instanţa va obliga inculpaţii la plata cheltuielilor judiciare avansate de stat, în măsura în care le-au provocat, câte 600 lei fiecare inculpat din care 165 lei reprezentând cheltuieli avansate în cursul urmăririi penale.”</w:t>
      </w:r>
    </w:p>
    <w:p>
      <w:pPr>
        <w:pStyle w:val="Normal"/>
        <w:ind w:firstLine="709"/>
        <w:jc w:val="both"/>
        <w:rPr>
          <w:color w:val="FF0000"/>
        </w:rPr>
      </w:pPr>
      <w:r>
        <w:rPr>
          <w:color w:val="FF0000"/>
        </w:rPr>
      </w:r>
    </w:p>
    <w:p>
      <w:pPr>
        <w:pStyle w:val="Normal"/>
        <w:ind w:firstLine="709"/>
        <w:jc w:val="both"/>
        <w:rPr/>
      </w:pPr>
      <w:r>
        <w:rPr>
          <w:b/>
        </w:rPr>
        <w:t xml:space="preserve">Împotriva acestei hotărâri a formulat apel în termenul legal, prevăzut de art. 410 Cod de procedură penală, inculpatul R1, </w:t>
      </w:r>
      <w:r>
        <w:rPr/>
        <w:t>fără a motiva calea de atac promovată.</w:t>
      </w:r>
    </w:p>
    <w:p>
      <w:pPr>
        <w:pStyle w:val="Normal"/>
        <w:ind w:firstLine="709"/>
        <w:jc w:val="both"/>
        <w:rPr/>
      </w:pPr>
      <w:r>
        <w:rPr/>
        <w:t>La termenul de judecată din 11 august 2015, în fața instanței de control judiciar, apelantul a solicitat redozarea pedepsei aplicată de către instanța de fond și contopirea pedepselor.</w:t>
      </w:r>
    </w:p>
    <w:p>
      <w:pPr>
        <w:pStyle w:val="Normal"/>
        <w:ind w:firstLine="709"/>
        <w:jc w:val="both"/>
        <w:rPr/>
      </w:pPr>
      <w:r>
        <w:rPr/>
        <w:t xml:space="preserve">Interpelat, conform art. 420 alin. 4 Cod de procedură penală, inculpatul-apelant R1 a învederat că </w:t>
      </w:r>
      <w:r>
        <w:rPr>
          <w:u w:val="single"/>
        </w:rPr>
        <w:t>nu dorește a da declarații în fața instanței de apel</w:t>
      </w:r>
      <w:r>
        <w:rPr/>
        <w:t>.</w:t>
      </w:r>
    </w:p>
    <w:p>
      <w:pPr>
        <w:pStyle w:val="Normal"/>
        <w:jc w:val="both"/>
        <w:rPr>
          <w:b/>
        </w:rPr>
      </w:pPr>
      <w:r>
        <w:rPr>
          <w:b/>
        </w:rPr>
      </w:r>
    </w:p>
    <w:p>
      <w:pPr>
        <w:pStyle w:val="Normal"/>
        <w:ind w:firstLine="709"/>
        <w:jc w:val="both"/>
        <w:rPr>
          <w:b/>
        </w:rPr>
      </w:pPr>
      <w:r>
        <w:rPr>
          <w:b/>
        </w:rPr>
        <w:t>Examinând actele şi lucrările cauzei, prin prisma motivelor de apel invocate, dar şi din oficiu sub toate aspectele de fapt şi de drept, în limitele prevăzute de art. 417 alin. 2 Cod procedură penală, Curtea apreciază ca nefondat apelul inculpatului R1, urmând a fi respins, pentru următoarele considerente:</w:t>
      </w:r>
    </w:p>
    <w:p>
      <w:pPr>
        <w:pStyle w:val="Normal"/>
        <w:jc w:val="both"/>
        <w:rPr/>
      </w:pPr>
      <w:r>
        <w:rPr/>
      </w:r>
    </w:p>
    <w:p>
      <w:pPr>
        <w:pStyle w:val="Normal"/>
        <w:ind w:firstLine="709"/>
        <w:jc w:val="both"/>
        <w:rPr/>
      </w:pPr>
      <w:r>
        <w:rPr/>
        <w:t xml:space="preserve">În mod corect, şi în deplină concordanţă cu materialul probator administrat în cauză, în cursul urmăririi penale , însușit de inculpatul </w:t>
      </w:r>
      <w:r>
        <w:rPr>
          <w:b/>
        </w:rPr>
        <w:t>R1</w:t>
      </w:r>
      <w:r>
        <w:rPr/>
        <w:t>,</w:t>
      </w:r>
      <w:r>
        <w:rPr>
          <w:b/>
        </w:rPr>
        <w:t xml:space="preserve"> </w:t>
      </w:r>
      <w:r>
        <w:rPr/>
        <w:t xml:space="preserve">care a solicitat judecarea cauzei în procedură simplificată, cerere încuviințată ,  instanţa de fond a reţinut că inculpatul a săvârșit o infracţiune de </w:t>
      </w:r>
      <w:r>
        <w:rPr>
          <w:i/>
        </w:rPr>
        <w:t>furt calificat</w:t>
      </w:r>
      <w:r>
        <w:rPr/>
        <w:t xml:space="preserve"> prev. de art. 208 alin. 1 Cod penal din 1969 – art. 209 alin. 1 lit. a), alin. 3 lit. b) Cod penal din 1969, cu aplicarea art. 75 lit. c) Cod penal din 1969, art. 37 alin. 1 lit. b) Cod penal din 1969, art. 74 alin. 2 Cod penal din 1969 în referire la art. 76 alin. 1 lit. d) Cod penal din 1969, art. 80 alin. 1 Cod penal din 1969, art. 5 alin. 1 Noul Cod penal și art. 396 alin. 10 Cod de procedură penală.</w:t>
      </w:r>
    </w:p>
    <w:p>
      <w:pPr>
        <w:pStyle w:val="Normal"/>
        <w:ind w:firstLine="709"/>
        <w:jc w:val="both"/>
        <w:rPr/>
      </w:pPr>
      <w:r>
        <w:rPr/>
        <w:t>Situația de fapt reţinută de instanţa de fond este corectă şi corespunde probelor administrate care au fost judicios interpretate.</w:t>
      </w:r>
    </w:p>
    <w:p>
      <w:pPr>
        <w:pStyle w:val="Normal"/>
        <w:ind w:firstLine="709"/>
        <w:jc w:val="both"/>
        <w:rPr/>
      </w:pPr>
      <w:r>
        <w:rPr>
          <w:b/>
        </w:rPr>
        <w:t>În data de 15 februarie 2011,</w:t>
      </w:r>
      <w:r>
        <w:rPr/>
        <w:t xml:space="preserve"> inculpații R1 și R2, împreună cu minorele B2 și B3, au sustras, în intervalul orar 10.00 – 14.00, materiale feroase și neferoase de la componentele din interiorul stației de pompare a apei nr. 3, amplasată pe raza sat/comună ..., ., cauzând un prejudiciu de 14.720 lei.</w:t>
      </w:r>
    </w:p>
    <w:p>
      <w:pPr>
        <w:pStyle w:val="Normal"/>
        <w:ind w:firstLine="709"/>
        <w:jc w:val="both"/>
        <w:rPr/>
      </w:pPr>
      <w:r>
        <w:rPr/>
        <w:t>Coroborând probele administrate în cursul urmăririi penale şi însuşite de inculpat, instanţa de fond a constatat, dincolo de orice îndoială rezonabilă, că fapta există, constituie infracțiune și a fost săvârșită de inculpatul R1.</w:t>
      </w:r>
    </w:p>
    <w:p>
      <w:pPr>
        <w:pStyle w:val="Normal"/>
        <w:ind w:firstLine="709"/>
        <w:jc w:val="both"/>
        <w:rPr/>
      </w:pPr>
      <w:r>
        <w:rPr/>
        <w:t xml:space="preserve">Individualizarea judiciară a pedepsei aplicată inculpatului R1 s-a făcut </w:t>
      </w:r>
      <w:r>
        <w:rPr>
          <w:i/>
        </w:rPr>
        <w:t>în mod temeinic</w:t>
      </w:r>
      <w:r>
        <w:rPr/>
        <w:t xml:space="preserve"> de către instanţa de fond, care a ţinut cont atent de gradul de pericol social concret al faptei comise, de modalitatea de săvârșire a acesteia (prin angrenarea în activitatea infracțională a unor minori), de cuantumul prejudiciului cauzat, rămas nerecuperat.</w:t>
      </w:r>
    </w:p>
    <w:p>
      <w:pPr>
        <w:pStyle w:val="Normal"/>
        <w:ind w:firstLine="709"/>
        <w:jc w:val="both"/>
        <w:rPr/>
      </w:pPr>
      <w:r>
        <w:rPr/>
        <w:t xml:space="preserve">Instanța a dat o justă eficiență circumstanţelor personale ale inculpatului, care a recunoscut săvârşirea faptei (judecarea cauzei s-a desfășurat în </w:t>
      </w:r>
      <w:r>
        <w:rPr>
          <w:i/>
        </w:rPr>
        <w:t>procedura abreviată</w:t>
      </w:r>
      <w:r>
        <w:rPr/>
        <w:t xml:space="preserve"> prevăzută de art. 349 alin. 2 Cod de procedură penală, art. 374 alin. 4 Cod de procedură penală, art. 375 Cod de procedură penală, art. 377 Cod de procedură penală, art. 395 alin. 2 Cod de procedură penală și art. 396 alin. 10 Cod de procedură penală), reținând în favoarea acestuia circumstanțe atenuante judiciare (vârsta, lipsa unei experiențe de viață adecvate),  luând în considerare însă și antecedentele penale ale inculpatului, respectiv starea de recidivă postexecutorie, raportat la existența unor condamnări anterioare pentru săvârșirea aceluiași gen de infracțiuni.</w:t>
      </w:r>
    </w:p>
    <w:p>
      <w:pPr>
        <w:pStyle w:val="Normal"/>
        <w:ind w:firstLine="709"/>
        <w:jc w:val="both"/>
        <w:rPr/>
      </w:pPr>
      <w:r>
        <w:rPr/>
        <w:t xml:space="preserve">Instanţa de fond a stabilit în mod adecvat cuantumul pedepsei aplicate inculpatului R1 (coborând pedeapsa sub minimul special prevăzut de art. 209 alin. 3 lit. b) Cod penal din 1969, minim redus cu o treime, deși în ipoteze concursului dintre circumstanțele atenuante, circumstanțele agravante și starea de recidivă coborârea sub minimul special </w:t>
      </w:r>
      <w:r>
        <w:rPr>
          <w:i/>
        </w:rPr>
        <w:t>nu era obligatorie</w:t>
      </w:r>
      <w:r>
        <w:rPr/>
        <w:t xml:space="preserve"> pentru instanța de judecată), care este în măsură, prin executarea în regim de detenţie, să ducă la reeducarea inculpatului, la prevenirea săvârşirii de noi infracţiuni şi la formarea unei atitudini corecte a acestuia faţă de normele de drept şi regulile de convieţuire socială.</w:t>
      </w:r>
    </w:p>
    <w:p>
      <w:pPr>
        <w:pStyle w:val="Normal"/>
        <w:ind w:firstLine="709"/>
        <w:jc w:val="both"/>
        <w:rPr/>
      </w:pPr>
      <w:r>
        <w:rPr/>
      </w:r>
    </w:p>
    <w:p>
      <w:pPr>
        <w:pStyle w:val="Normal"/>
        <w:ind w:firstLine="709"/>
        <w:jc w:val="both"/>
        <w:rPr/>
      </w:pPr>
      <w:r>
        <w:rPr/>
        <w:t xml:space="preserve">Instanţa de fond a soluţionat, în mod corect, fundamentat pe o analiză amplă şi judicioasă, situaţia juridică a inculpatului R1, raportat la legislaţia penală în vigoare anterior datei de 1 februarie 2014 şi la normele de drept penal în vigoare la acest moment. </w:t>
      </w:r>
    </w:p>
    <w:p>
      <w:pPr>
        <w:pStyle w:val="Normal"/>
        <w:ind w:firstLine="709"/>
        <w:jc w:val="both"/>
        <w:rPr/>
      </w:pPr>
      <w:r>
        <w:rPr/>
        <w:t>Au fost examinate, în mod just, comparaţiile între: elementele constitutive și condițiile de angajare a răspunderii penale</w:t>
      </w:r>
      <w:r>
        <w:rPr>
          <w:lang w:val="en-US"/>
        </w:rPr>
        <w:t>;</w:t>
      </w:r>
      <w:r>
        <w:rPr/>
        <w:t xml:space="preserve"> limitele pedepsei principale; tratamentul juridic sancţionator al concursului de infracțiuni și al stării de recidivă postexecutorie; sfera circumstanțelor atenuante care pot fi reținute și efectul acestora, raportat la considerentele expuse în sentinţa penală apelată, pe care instanţa de control judiciar le însuşeşte.</w:t>
      </w:r>
    </w:p>
    <w:p>
      <w:pPr>
        <w:pStyle w:val="Normal"/>
        <w:ind w:firstLine="709"/>
        <w:jc w:val="both"/>
        <w:rPr/>
      </w:pPr>
      <w:r>
        <w:rPr/>
        <w:t xml:space="preserve">În mod just, operațiunea de contopire, în condițiile concursului real reglementat de art. art. 36 alin. 2 Cod penal din 1969 raportat la art. 33 lit. a) Cod penal din 1969 și art. 34 alin. 1 lit. b) Cod penal din 1969, a fost realizat doar cu pedeapsa de </w:t>
      </w:r>
      <w:r>
        <w:rPr>
          <w:i/>
        </w:rPr>
        <w:t>1 (un) an de închisoare</w:t>
      </w:r>
      <w:r>
        <w:rPr/>
        <w:t xml:space="preserve">, aplicată prin sentința penală nr. SP2 pronunțată de Judecătoria ..., modificată și rămasă definitivă prin Decizia penală nr. DP4 din ... a Curții de APEL..., Secția I ... (faptă </w:t>
      </w:r>
      <w:r>
        <w:rPr>
          <w:b/>
        </w:rPr>
        <w:t>din 31.07.2011</w:t>
      </w:r>
      <w:r>
        <w:rPr/>
        <w:t>).</w:t>
      </w:r>
    </w:p>
    <w:p>
      <w:pPr>
        <w:pStyle w:val="Normal"/>
        <w:ind w:firstLine="709"/>
        <w:jc w:val="both"/>
        <w:rPr/>
      </w:pPr>
      <w:r>
        <w:rPr/>
        <w:t xml:space="preserve">Curtea arată că sentința penală nr. SP5 pronunțată de Judecătoria ..., modificată și rămasă definitivă prin Decizia penală nr. DP2 a Curții de APEL..., Secția I penală, prin care R1 a fost condamnat la pedeapsa de 3 (trei) ani și 3 (trei) luni de închisoare (fapte din </w:t>
      </w:r>
      <w:r>
        <w:rPr>
          <w:b/>
        </w:rPr>
        <w:t>30.06.2011</w:t>
      </w:r>
      <w:r>
        <w:rPr/>
        <w:t xml:space="preserve"> și </w:t>
      </w:r>
      <w:r>
        <w:rPr>
          <w:b/>
        </w:rPr>
        <w:t>20.07.2011</w:t>
      </w:r>
      <w:r>
        <w:rPr/>
        <w:t>) a fost desființată de drept prin  sentința penală nr. SP6 pronunțată de Judecătoria ..., modificată și rămasă definitivă prin Decizia penală nr. DP5 din ... a Curții de APEL... (dosar nr. D4), inculpatul fiind arestat preventiv în cauză la data de ....</w:t>
      </w:r>
    </w:p>
    <w:p>
      <w:pPr>
        <w:pStyle w:val="Normal"/>
        <w:ind w:firstLine="709"/>
        <w:jc w:val="both"/>
        <w:rPr/>
      </w:pPr>
      <w:r>
        <w:rPr/>
        <w:t xml:space="preserve">În dosarul nou-format, cu nr. D4*, astfel cum reiese din consultarea portalului instanțelor de judecată, prin sentința penală nr. SP7 pronunțată de Judecătoria ..., modificată și rămasă definitivă prin Decizia penală nr. DP6 a Curții de APEL..., Secția I ..., inculpatul R1 a fost condamnat la pedeapsa de 3 (trei) ani și 3 (trei) luni de închisoare, în temeiul art. 208 – 209 lit. a, g alin. 3 lit. f VCP cu aplic. art. 41 alin. 2 VCP şi art. 37 lit. b VCP, cu aplic. art. 5 NCP. </w:t>
      </w:r>
    </w:p>
    <w:p>
      <w:pPr>
        <w:pStyle w:val="Normal"/>
        <w:ind w:firstLine="709"/>
        <w:jc w:val="both"/>
        <w:rPr/>
      </w:pPr>
      <w:r>
        <w:rPr/>
        <w:t>S-a dedus, totodată, perioada executată de la 22.04.2014 până la data de 15.12.2014, inclusiv (MEPI nr. ..../2013, emis în dosarul nr. D4 a Judecătoriei ...) şi arestarea preventivă în prezenta cauză de la ... la zi.</w:t>
      </w:r>
    </w:p>
    <w:p>
      <w:pPr>
        <w:pStyle w:val="Normal"/>
        <w:ind w:firstLine="709"/>
        <w:jc w:val="both"/>
        <w:rPr/>
      </w:pPr>
      <w:r>
        <w:rPr/>
      </w:r>
    </w:p>
    <w:p>
      <w:pPr>
        <w:pStyle w:val="Normal"/>
        <w:ind w:firstLine="709"/>
        <w:jc w:val="both"/>
        <w:rPr>
          <w:i/>
          <w:i/>
        </w:rPr>
      </w:pPr>
      <w:r>
        <w:rPr/>
        <w:t xml:space="preserve">Curtea arată că nu poate dispune, ca și instanță de control judiciar, direct în calea de atac, contopirea pedepsei de </w:t>
      </w:r>
      <w:r>
        <w:rPr>
          <w:i/>
        </w:rPr>
        <w:t>3 (trei) ani și 3 (trei) luni de închisoare</w:t>
      </w:r>
      <w:r>
        <w:rPr/>
        <w:t xml:space="preserve"> </w:t>
      </w:r>
      <w:r>
        <w:rPr>
          <w:b/>
        </w:rPr>
        <w:t>cu</w:t>
      </w:r>
      <w:r>
        <w:rPr/>
        <w:t xml:space="preserve"> pedeapsa de </w:t>
      </w:r>
      <w:r>
        <w:rPr>
          <w:i/>
        </w:rPr>
        <w:t>1 (un) an de închisoare</w:t>
      </w:r>
      <w:r>
        <w:rPr/>
        <w:t xml:space="preserve"> aplicată prin sentința penală nr. SP5 pronunțată de Judecătoria ..., modificată și rămasă definitivă prin Decizia penală nr. DP2 a Curții de APEL..., Secția I penală </w:t>
      </w:r>
      <w:r>
        <w:rPr>
          <w:b/>
        </w:rPr>
        <w:t>și cu</w:t>
      </w:r>
      <w:r>
        <w:rPr/>
        <w:t xml:space="preserve"> pedeapsa de </w:t>
      </w:r>
      <w:r>
        <w:rPr>
          <w:i/>
        </w:rPr>
        <w:t>1 (un) an de închisoare și 6 (șase) luni aplicată</w:t>
      </w:r>
      <w:r>
        <w:rPr/>
        <w:t xml:space="preserve"> în prezenta cauză, dând eficiență Deciziei nr. 70/2007 a Înalte Curți de Casație și Justiție, Secțiile Unite, publicată în Monitorul Oficial nr. 359/17.07.2008, prin care s-a admis recursul în interesul legii declarat de procurorul general al Parchetului de pe lângă Înalta Curte de Casație și Justiție și s-a statuat că </w:t>
      </w:r>
      <w:r>
        <w:rPr>
          <w:i/>
        </w:rPr>
        <w:t>instanţele de control judiciar nu pot dispune direct în căile de atac contopirea pedepsei aplicate pentru infracţiunea care a făcut obiectul judecăţii cu pedepse aplicate infracţiunilor concurente, pentru care există o condamnare definitivă, în cazul în care contopirea nu a fost dispusă de către prima instanţă.</w:t>
      </w:r>
    </w:p>
    <w:p>
      <w:pPr>
        <w:pStyle w:val="Normal"/>
        <w:ind w:firstLine="709"/>
        <w:jc w:val="both"/>
        <w:rPr/>
      </w:pPr>
      <w:r>
        <w:rPr/>
        <w:t xml:space="preserve">S-a reținut în motivare că examinarea cauzei de către instanţa de control judiciar, în cadrul operaţiunii de rejudecare, nu poate depăşi ceea ce a constituit obiectul judecăţii anterioare, finalizată prin hotărârea împotriva căreia s-a exercitat calea de atac, pentru că un atare procedeu ar echivala cu o extindere nejustificată a competenţei sale funcţionale. Înseamnă că nu este posibilă nici efectuarea, de către acea instanţă, a contopirii pedepsei stabilite în cauza la care se referă calea de atac cu pedepse aplicate infracţiunilor concurente, pentru care condamnarea este definitivă, decât dacă prima instanţă însăşi a dispus contopirea sau dacă, fiind legal învestită, a omis să se pronunţe în această privinţă. </w:t>
      </w:r>
    </w:p>
    <w:p>
      <w:pPr>
        <w:pStyle w:val="Normal"/>
        <w:ind w:firstLine="709"/>
        <w:jc w:val="both"/>
        <w:rPr>
          <w:i/>
          <w:i/>
        </w:rPr>
      </w:pPr>
      <w:r>
        <w:rPr/>
        <w:t xml:space="preserve">Or, la momentul pronunțării sentinței penale nr. SP1/...  de către Judecătoria..., nu fusese pronunțată nici măcar o condamnare în primă instanță în privința faptelor din </w:t>
      </w:r>
    </w:p>
    <w:p>
      <w:pPr>
        <w:pStyle w:val="Normal"/>
        <w:jc w:val="both"/>
        <w:rPr/>
      </w:pPr>
      <w:r>
        <w:rPr/>
        <w:t>30.06.2011 și 20.07.2011.</w:t>
      </w:r>
    </w:p>
    <w:p>
      <w:pPr>
        <w:pStyle w:val="Normal"/>
        <w:ind w:firstLine="709"/>
        <w:jc w:val="both"/>
        <w:rPr/>
      </w:pPr>
      <w:r>
        <w:rPr/>
        <w:t>Pentru rezolvarea situației sale juridice, inculpatul R1 are posibilitatea de a formulare o cerere către instanța competentă, întemeiată pe dispozițiile art. 585 Cod de procedură penală.</w:t>
      </w:r>
    </w:p>
    <w:p>
      <w:pPr>
        <w:pStyle w:val="Normal"/>
        <w:ind w:firstLine="709"/>
        <w:jc w:val="both"/>
        <w:rPr/>
      </w:pPr>
      <w:r>
        <w:rPr/>
      </w:r>
    </w:p>
    <w:p>
      <w:pPr>
        <w:pStyle w:val="Normal"/>
        <w:ind w:firstLine="709"/>
        <w:jc w:val="both"/>
        <w:rPr/>
      </w:pPr>
      <w:r>
        <w:rPr/>
        <w:t>În ceea ce privește latura civilă a cauzei, Curtea constată că inculpatul R1 a achiesat la pretențiile formulate de partea civilă, la termenul de judecată din 22 septembrie 2014.</w:t>
      </w:r>
    </w:p>
    <w:p>
      <w:pPr>
        <w:pStyle w:val="Normal"/>
        <w:ind w:firstLine="709"/>
        <w:jc w:val="both"/>
        <w:rPr/>
      </w:pPr>
      <w:r>
        <w:rPr/>
      </w:r>
    </w:p>
    <w:p>
      <w:pPr>
        <w:pStyle w:val="Normal"/>
        <w:ind w:firstLine="708"/>
        <w:jc w:val="both"/>
        <w:rPr>
          <w:b/>
        </w:rPr>
      </w:pPr>
      <w:r>
        <w:rPr>
          <w:b/>
        </w:rPr>
        <w:t>Față de considerentele anterior expuse,</w:t>
      </w:r>
      <w:r>
        <w:rPr/>
        <w:t xml:space="preserve"> în baza art. 421 pct. 1 lit. b) Cod de procedură penală, va respinge, ca nefondat, apelul formulat de R1 împotriva sentinței penale nr. SP1/... pronunțată de către Judecătoria..., </w:t>
      </w:r>
      <w:r>
        <w:rPr>
          <w:b/>
        </w:rPr>
        <w:t>pe care o va menține.</w:t>
      </w:r>
    </w:p>
    <w:p>
      <w:pPr>
        <w:pStyle w:val="Normal"/>
        <w:ind w:firstLine="708"/>
        <w:jc w:val="both"/>
        <w:rPr>
          <w:b/>
        </w:rPr>
      </w:pPr>
      <w:r>
        <w:rPr/>
        <w:t>Va constata că inculpatul R1 este arestat în altă cauză.</w:t>
      </w:r>
    </w:p>
    <w:p>
      <w:pPr>
        <w:pStyle w:val="Normal"/>
        <w:ind w:firstLine="708"/>
        <w:jc w:val="both"/>
        <w:rPr>
          <w:b/>
        </w:rPr>
      </w:pPr>
      <w:r>
        <w:rPr/>
        <w:t>Suma de 260 lei reprezentând onorariu apărător desemnat din oficiu (avocat ... – delegație nr. ...1/22.06.2015 emisă de Baroul...) va fi suportată din fondurile Ministerului Justiției.</w:t>
      </w:r>
    </w:p>
    <w:p>
      <w:pPr>
        <w:pStyle w:val="Normal"/>
        <w:ind w:firstLine="708"/>
        <w:jc w:val="both"/>
        <w:rPr>
          <w:b/>
        </w:rPr>
      </w:pPr>
      <w:r>
        <w:rPr>
          <w:b/>
        </w:rPr>
        <w:t>Constatând culpa procesuală a inculpatului-apelant</w:t>
      </w:r>
      <w:r>
        <w:rPr/>
        <w:t>, în baza art. 275 alin. 2 Cod de procedură penală, va obliga pe inculpatul R1 la plata sumei de 400 lei cu titlul de cheltuieli judiciare avansate de către stat în vederea soluționării căii de atac a apelului, din care suma de 260 lei reprezentând onorariu apărător desemnat din oficiu (avocat ... – delegație nr. ...1/22.06.2015 emisă de Baroul...) va fi avansată către Baroul... din fondurile Ministerului Justiției.</w:t>
      </w:r>
    </w:p>
    <w:p>
      <w:pPr>
        <w:pStyle w:val="Normal"/>
        <w:jc w:val="center"/>
        <w:rPr>
          <w:b/>
          <w:sz w:val="26"/>
        </w:rPr>
      </w:pPr>
      <w:r>
        <w:rPr>
          <w:b/>
          <w:sz w:val="26"/>
        </w:rPr>
      </w:r>
    </w:p>
    <w:p>
      <w:pPr>
        <w:pStyle w:val="Normal"/>
        <w:jc w:val="center"/>
        <w:rPr>
          <w:b/>
          <w:sz w:val="26"/>
        </w:rPr>
      </w:pPr>
      <w:r>
        <w:rPr>
          <w:b/>
          <w:sz w:val="26"/>
        </w:rPr>
        <w:t>PENTRU ACESTE MOTIVE,</w:t>
        <w:br/>
        <w:t>ÎN NUMELE LEGII</w:t>
      </w:r>
    </w:p>
    <w:p>
      <w:pPr>
        <w:pStyle w:val="Normal"/>
        <w:jc w:val="center"/>
        <w:rPr>
          <w:b/>
          <w:sz w:val="28"/>
        </w:rPr>
      </w:pPr>
      <w:r>
        <w:rPr>
          <w:b/>
          <w:sz w:val="28"/>
        </w:rPr>
        <w:t>DECIDE:</w:t>
      </w:r>
    </w:p>
    <w:p>
      <w:pPr>
        <w:pStyle w:val="Normal"/>
        <w:rPr>
          <w:rFonts w:ascii="Arial Narrow" w:hAnsi="Arial Narrow"/>
          <w:color w:val="FF0000"/>
          <w:sz w:val="28"/>
        </w:rPr>
      </w:pPr>
      <w:r>
        <w:rPr>
          <w:rFonts w:ascii="Arial Narrow" w:hAnsi="Arial Narrow"/>
          <w:color w:val="FF0000"/>
          <w:sz w:val="28"/>
        </w:rPr>
      </w:r>
    </w:p>
    <w:p>
      <w:pPr>
        <w:pStyle w:val="Normal"/>
        <w:ind w:firstLine="708"/>
        <w:jc w:val="both"/>
        <w:rPr>
          <w:b/>
        </w:rPr>
      </w:pPr>
      <w:r>
        <w:rPr/>
        <w:t xml:space="preserve">În baza art. 421 pct. 1 lit. b) Cod de procedură penală, </w:t>
      </w:r>
      <w:r>
        <w:rPr>
          <w:b/>
        </w:rPr>
        <w:t>respinge, ca nefondat,</w:t>
      </w:r>
      <w:r>
        <w:rPr/>
        <w:t xml:space="preserve"> apelul formulat de </w:t>
      </w:r>
      <w:r>
        <w:rPr>
          <w:b/>
        </w:rPr>
        <w:t>R1</w:t>
      </w:r>
      <w:r>
        <w:rPr/>
        <w:t xml:space="preserve"> împotriva sentinței penale nr. SP1/... pronunțată de către Judecătoria..., </w:t>
      </w:r>
      <w:r>
        <w:rPr>
          <w:b/>
        </w:rPr>
        <w:t>pe care o menține.</w:t>
      </w:r>
    </w:p>
    <w:p>
      <w:pPr>
        <w:pStyle w:val="Normal"/>
        <w:ind w:firstLine="708"/>
        <w:jc w:val="both"/>
        <w:rPr/>
      </w:pPr>
      <w:r>
        <w:rPr/>
        <w:t>Constată că inculpatul R1 este arestat preventiv în altă cauză.</w:t>
      </w:r>
    </w:p>
    <w:p>
      <w:pPr>
        <w:pStyle w:val="Normal"/>
        <w:ind w:firstLine="708"/>
        <w:jc w:val="both"/>
        <w:rPr/>
      </w:pPr>
      <w:r>
        <w:rPr/>
        <w:t>Suma de 260 lei reprezentând onorariu apărător desemnat din oficiu (avocat ... – delegație nr. ...1/22.06.2015 emisă de Baroul...) va fi suportată din fondurile Ministerului Justiției.</w:t>
      </w:r>
    </w:p>
    <w:p>
      <w:pPr>
        <w:pStyle w:val="Normal"/>
        <w:ind w:firstLine="708"/>
        <w:jc w:val="both"/>
        <w:rPr/>
      </w:pPr>
      <w:r>
        <w:rPr/>
        <w:t>În baza art. 275 alin. 2 Cod de procedură penală, obligă pe inculpatul R1 la plata sumei de 400 lei cu titlul de cheltuieli judiciare avansate de către stat în vederea soluționării căii de atac a apelului, din care suma de 260 lei reprezentând onorariu apărător desemnat din oficiu (avocat ... – delegație nr. ...1/22.06.2015 emisă de Baroul...) va fi avansată către Baroul... din fondurile Ministerului Justiției.</w:t>
      </w:r>
    </w:p>
    <w:p>
      <w:pPr>
        <w:pStyle w:val="Normal"/>
        <w:ind w:firstLine="708"/>
        <w:jc w:val="both"/>
        <w:rPr>
          <w:b/>
        </w:rPr>
      </w:pPr>
      <w:r>
        <w:rPr>
          <w:b/>
        </w:rPr>
        <w:t>Definitivă.</w:t>
      </w:r>
    </w:p>
    <w:p>
      <w:pPr>
        <w:pStyle w:val="Normal"/>
        <w:ind w:firstLine="708"/>
        <w:rPr/>
      </w:pPr>
      <w:r>
        <w:rPr/>
        <w:t>Pronunțată în ședință publică, astăzi, ....</w:t>
      </w:r>
    </w:p>
    <w:p>
      <w:pPr>
        <w:pStyle w:val="Normal"/>
        <w:ind w:left="708"/>
        <w:rPr/>
      </w:pPr>
      <w:r>
        <w:rPr/>
      </w:r>
    </w:p>
    <w:p>
      <w:pPr>
        <w:pStyle w:val="Normal"/>
        <w:ind w:left="708"/>
        <w:rPr>
          <w:b/>
        </w:rPr>
      </w:pPr>
      <w:r>
        <w:rPr>
          <w:b/>
        </w:rPr>
        <w:t xml:space="preserve">  </w:t>
      </w:r>
    </w:p>
    <w:p>
      <w:pPr>
        <w:pStyle w:val="Normal"/>
        <w:ind w:left="708"/>
        <w:rPr>
          <w:b/>
        </w:rPr>
      </w:pPr>
      <w:r>
        <w:rPr>
          <w:b/>
        </w:rPr>
        <w:t xml:space="preserve">    </w:t>
      </w:r>
      <w:r>
        <w:rPr>
          <w:b/>
        </w:rPr>
        <w:t>Preşedinte,</w:t>
        <w:tab/>
        <w:tab/>
        <w:tab/>
        <w:tab/>
        <w:tab/>
        <w:tab/>
        <w:tab/>
        <w:t xml:space="preserve">     Judecător,</w:t>
      </w:r>
    </w:p>
    <w:p>
      <w:pPr>
        <w:pStyle w:val="Normal"/>
        <w:ind w:left="708"/>
        <w:rPr>
          <w:b/>
        </w:rPr>
      </w:pPr>
      <w:r>
        <w:rPr>
          <w:b/>
        </w:rPr>
        <w:t>....</w:t>
        <w:tab/>
        <w:tab/>
        <w:tab/>
        <w:tab/>
        <w:t xml:space="preserve">                           </w:t>
        <w:tab/>
        <w:tab/>
        <w:t xml:space="preserve">A0013 </w:t>
      </w:r>
    </w:p>
    <w:p>
      <w:pPr>
        <w:pStyle w:val="Normal"/>
        <w:jc w:val="center"/>
        <w:rPr/>
      </w:pPr>
      <w:r>
        <w:rPr/>
      </w:r>
    </w:p>
    <w:p>
      <w:pPr>
        <w:pStyle w:val="Normal"/>
        <w:jc w:val="center"/>
        <w:rPr/>
      </w:pPr>
      <w:r>
        <w:rPr/>
      </w:r>
    </w:p>
    <w:p>
      <w:pPr>
        <w:pStyle w:val="Normal"/>
        <w:jc w:val="center"/>
        <w:rPr>
          <w:b/>
        </w:rPr>
      </w:pPr>
      <w:r>
        <w:rPr>
          <w:b/>
        </w:rPr>
        <w:t>Grefier,</w:t>
      </w:r>
    </w:p>
    <w:p>
      <w:pPr>
        <w:pStyle w:val="Normal"/>
        <w:jc w:val="center"/>
        <w:rPr>
          <w:b/>
        </w:rPr>
      </w:pPr>
      <w:r>
        <w:rPr>
          <w:b/>
        </w:rPr>
        <w:t>...</w:t>
      </w:r>
    </w:p>
    <w:p>
      <w:pPr>
        <w:pStyle w:val="Normal"/>
        <w:rPr>
          <w:b/>
        </w:rPr>
      </w:pPr>
      <w:r>
        <w:rPr>
          <w:b/>
        </w:rPr>
      </w:r>
    </w:p>
    <w:p>
      <w:pPr>
        <w:pStyle w:val="Normal"/>
        <w:rPr>
          <w:sz w:val="16"/>
        </w:rPr>
      </w:pPr>
      <w:r>
        <w:rPr>
          <w:sz w:val="16"/>
        </w:rPr>
      </w:r>
    </w:p>
    <w:p>
      <w:pPr>
        <w:pStyle w:val="Normal"/>
        <w:rPr>
          <w:b/>
          <w:sz w:val="16"/>
        </w:rPr>
      </w:pPr>
      <w:r>
        <w:rPr>
          <w:b/>
          <w:sz w:val="16"/>
        </w:rPr>
      </w:r>
    </w:p>
    <w:p>
      <w:pPr>
        <w:pStyle w:val="Normal"/>
        <w:rPr>
          <w:b/>
          <w:sz w:val="16"/>
        </w:rPr>
      </w:pPr>
      <w:r>
        <w:rPr>
          <w:b/>
          <w:sz w:val="16"/>
        </w:rPr>
      </w:r>
    </w:p>
    <w:p>
      <w:pPr>
        <w:pStyle w:val="Normal"/>
        <w:rPr>
          <w:b/>
          <w:sz w:val="16"/>
        </w:rPr>
      </w:pPr>
      <w:r>
        <w:rPr>
          <w:b/>
          <w:sz w:val="16"/>
        </w:rPr>
      </w:r>
    </w:p>
    <w:p>
      <w:pPr>
        <w:pStyle w:val="Normal"/>
        <w:rPr>
          <w:b/>
          <w:sz w:val="16"/>
        </w:rPr>
      </w:pPr>
      <w:r>
        <w:rPr>
          <w:b/>
          <w:sz w:val="16"/>
        </w:rPr>
        <w:t>Redactat/tehnoredactat A0013</w:t>
      </w:r>
    </w:p>
    <w:p>
      <w:pPr>
        <w:pStyle w:val="Normal"/>
        <w:rPr>
          <w:b/>
          <w:sz w:val="16"/>
        </w:rPr>
      </w:pPr>
      <w:r>
        <w:rPr>
          <w:b/>
          <w:sz w:val="16"/>
        </w:rPr>
        <w:t>6 ex. ...</w:t>
      </w:r>
    </w:p>
    <w:p>
      <w:pPr>
        <w:pStyle w:val="Normal"/>
        <w:rPr>
          <w:b/>
          <w:sz w:val="16"/>
        </w:rPr>
      </w:pPr>
      <w:r>
        <w:rPr>
          <w:b/>
          <w:sz w:val="16"/>
        </w:rPr>
        <w:t>Judecătoria...</w:t>
      </w:r>
    </w:p>
    <w:p>
      <w:pPr>
        <w:pStyle w:val="Normal"/>
        <w:rPr>
          <w:b/>
          <w:sz w:val="16"/>
        </w:rPr>
      </w:pPr>
      <w:r>
        <w:rPr>
          <w:b/>
          <w:sz w:val="16"/>
        </w:rPr>
        <w:t>Judecător ...</w:t>
      </w:r>
    </w:p>
    <w:p>
      <w:pPr>
        <w:pStyle w:val="Normal"/>
        <w:jc w:val="center"/>
        <w:rPr>
          <w:sz w:val="16"/>
        </w:rPr>
      </w:pPr>
      <w:r>
        <w:rPr>
          <w:sz w:val="16"/>
        </w:rPr>
      </w:r>
    </w:p>
    <w:p>
      <w:pPr>
        <w:pStyle w:val="Normal"/>
        <w:jc w:val="center"/>
        <w:rPr>
          <w:sz w:val="16"/>
        </w:rPr>
      </w:pPr>
      <w:r>
        <w:rPr>
          <w:sz w:val="16"/>
        </w:rPr>
      </w:r>
    </w:p>
    <w:p>
      <w:pPr>
        <w:pStyle w:val="Normal"/>
        <w:jc w:val="center"/>
        <w:rPr>
          <w:sz w:val="16"/>
        </w:rPr>
      </w:pPr>
      <w:r>
        <w:rPr>
          <w:sz w:val="16"/>
        </w:rPr>
      </w:r>
    </w:p>
    <w:p>
      <w:pPr>
        <w:pStyle w:val="Normal"/>
        <w:jc w:val="center"/>
        <w:rPr>
          <w:sz w:val="16"/>
        </w:rPr>
      </w:pPr>
      <w:r>
        <w:rPr>
          <w:sz w:val="16"/>
        </w:rPr>
      </w:r>
    </w:p>
    <w:p>
      <w:pPr>
        <w:pStyle w:val="Normal"/>
        <w:jc w:val="center"/>
        <w:rPr>
          <w:sz w:val="16"/>
        </w:rPr>
      </w:pPr>
      <w:r>
        <w:rPr>
          <w:sz w:val="16"/>
        </w:rPr>
      </w:r>
    </w:p>
    <w:p>
      <w:pPr>
        <w:pStyle w:val="Normal"/>
        <w:jc w:val="center"/>
        <w:rPr>
          <w:sz w:val="16"/>
        </w:rPr>
      </w:pPr>
      <w:r>
        <w:rPr>
          <w:sz w:val="16"/>
        </w:rPr>
      </w:r>
    </w:p>
    <w:p>
      <w:pPr>
        <w:pStyle w:val="Normal"/>
        <w:jc w:val="center"/>
        <w:rPr>
          <w:sz w:val="16"/>
        </w:rPr>
      </w:pPr>
      <w:r>
        <w:rPr>
          <w:sz w:val="16"/>
        </w:rPr>
      </w:r>
    </w:p>
    <w:p>
      <w:pPr>
        <w:pStyle w:val="Normal"/>
        <w:jc w:val="center"/>
        <w:rPr>
          <w:sz w:val="16"/>
        </w:rPr>
      </w:pPr>
      <w:r>
        <w:rPr>
          <w:sz w:val="16"/>
        </w:rPr>
      </w:r>
    </w:p>
    <w:p>
      <w:pPr>
        <w:pStyle w:val="Normal"/>
        <w:jc w:val="center"/>
        <w:rPr>
          <w:sz w:val="16"/>
        </w:rPr>
      </w:pPr>
      <w:r>
        <w:rPr>
          <w:sz w:val="16"/>
        </w:rPr>
      </w:r>
    </w:p>
    <w:p>
      <w:pPr>
        <w:pStyle w:val="Normal"/>
        <w:jc w:val="center"/>
        <w:rPr>
          <w:sz w:val="16"/>
        </w:rPr>
      </w:pPr>
      <w:r>
        <w:rPr>
          <w:sz w:val="16"/>
        </w:rPr>
        <w:t>Referat,</w:t>
      </w:r>
    </w:p>
    <w:p>
      <w:pPr>
        <w:pStyle w:val="Normal"/>
        <w:jc w:val="center"/>
        <w:rPr>
          <w:sz w:val="16"/>
        </w:rPr>
      </w:pPr>
      <w:r>
        <w:rPr>
          <w:sz w:val="16"/>
        </w:rPr>
      </w:r>
    </w:p>
    <w:p>
      <w:pPr>
        <w:pStyle w:val="Normal"/>
        <w:rPr>
          <w:sz w:val="16"/>
        </w:rPr>
      </w:pPr>
      <w:r>
        <w:rPr>
          <w:sz w:val="16"/>
        </w:rPr>
        <w:tab/>
        <w:t>Prin încheierea penală din data de 21.08.2015 pronunţată de Curtea de Apel ...în dosarul nr. D1*, s-a dispus îndreptarea erorii materiale strecurată în cuprinsul minutei deciziei penale nr. ... din data de ...  pronunţată de Curtea de Apel ... în dosarul nr. D1*, în sensul că, s-a trecut : „Constată că inculpatul R1 este arestat în altă cauză.</w:t>
      </w:r>
    </w:p>
    <w:p>
      <w:pPr>
        <w:pStyle w:val="Normal"/>
        <w:jc w:val="center"/>
        <w:rPr>
          <w:sz w:val="16"/>
        </w:rPr>
      </w:pPr>
      <w:r>
        <w:rPr>
          <w:sz w:val="16"/>
        </w:rPr>
        <w:t>Grefier,</w:t>
      </w:r>
    </w:p>
    <w:p>
      <w:pPr>
        <w:pStyle w:val="Normal"/>
        <w:jc w:val="center"/>
        <w:rPr>
          <w:sz w:val="16"/>
        </w:rPr>
      </w:pPr>
      <w:r>
        <w:rPr>
          <w:sz w:val="16"/>
        </w:rPr>
        <w:t>...</w:t>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Arial Unicode MS">
    <w:charset w:val="00"/>
    <w:family w:val="roman"/>
    <w:pitch w:val="variable"/>
  </w:font>
  <w:font w:name="Bookman Old Style">
    <w:charset w:val="00"/>
    <w:family w:val="roman"/>
    <w:pitch w:val="variable"/>
  </w:font>
  <w:font w:name="Liberation Sans">
    <w:altName w:val="Arial"/>
    <w:charset w:val="00"/>
    <w:family w:val="swiss"/>
    <w:pitch w:val="variable"/>
  </w:font>
  <w:font w:name="Lucida Sans Unicode">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13</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518466&amp;id_departament=26&amp;id_sesiune=258068&amp;id_user=3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FontStyle58">
    <w:name w:val="Font Style58"/>
    <w:qFormat/>
    <w:rPr>
      <w:rFonts w:ascii="Arial" w:hAnsi="Arial"/>
      <w:sz w:val="20"/>
    </w:rPr>
  </w:style>
  <w:style w:type="character" w:styleId="FontStyle62">
    <w:name w:val="Font Style62"/>
    <w:qFormat/>
    <w:rPr>
      <w:rFonts w:ascii="Arial" w:hAnsi="Arial"/>
      <w:b/>
      <w:sz w:val="20"/>
    </w:rPr>
  </w:style>
  <w:style w:type="character" w:styleId="FontStyle51">
    <w:name w:val="Font Style51"/>
    <w:qFormat/>
    <w:rPr>
      <w:rFonts w:ascii="Arial Unicode MS" w:hAnsi="Arial Unicode MS"/>
      <w:sz w:val="22"/>
    </w:rPr>
  </w:style>
  <w:style w:type="character" w:styleId="FontStyle55">
    <w:name w:val="Font Style55"/>
    <w:qFormat/>
    <w:rPr>
      <w:rFonts w:ascii="Arial" w:hAnsi="Arial"/>
      <w:sz w:val="16"/>
    </w:rPr>
  </w:style>
  <w:style w:type="character" w:styleId="FontStyle75">
    <w:name w:val="Font Style75"/>
    <w:qFormat/>
    <w:rPr>
      <w:rFonts w:ascii="Bookman Old Style" w:hAnsi="Bookman Old Style"/>
      <w:sz w:val="20"/>
    </w:rPr>
  </w:style>
  <w:style w:type="character" w:styleId="FontStyle36">
    <w:name w:val="Font Style36"/>
    <w:qFormat/>
    <w:rPr>
      <w:rFonts w:ascii="Arial" w:hAnsi="Arial"/>
      <w:sz w:val="20"/>
    </w:rPr>
  </w:style>
  <w:style w:type="character" w:styleId="FontStyle35">
    <w:name w:val="Font Style35"/>
    <w:qFormat/>
    <w:rPr>
      <w:rFonts w:ascii="Times New Roman" w:hAnsi="Times New Roman"/>
      <w:sz w:val="24"/>
    </w:rPr>
  </w:style>
  <w:style w:type="character" w:styleId="FontStyle43">
    <w:name w:val="Font Style43"/>
    <w:qFormat/>
    <w:rPr>
      <w:rFonts w:ascii="Arial Unicode MS" w:hAnsi="Arial Unicode MS"/>
      <w:b/>
      <w:sz w:val="22"/>
    </w:rPr>
  </w:style>
  <w:style w:type="character" w:styleId="FontStyle54">
    <w:name w:val="Font Style54"/>
    <w:qFormat/>
    <w:rPr>
      <w:rFonts w:ascii="Times New Roman" w:hAnsi="Times New Roman"/>
      <w:sz w:val="20"/>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Style25">
    <w:name w:val="Style25"/>
    <w:basedOn w:val="Normal"/>
    <w:qFormat/>
    <w:pPr>
      <w:widowControl w:val="false"/>
      <w:spacing w:lineRule="exact" w:line="278"/>
      <w:ind w:firstLine="758"/>
      <w:jc w:val="both"/>
    </w:pPr>
    <w:rPr>
      <w:rFonts w:ascii="Arial" w:hAnsi="Arial"/>
      <w:lang w:val="en-US"/>
    </w:rPr>
  </w:style>
  <w:style w:type="paragraph" w:styleId="Style32">
    <w:name w:val="Style32"/>
    <w:basedOn w:val="Normal"/>
    <w:qFormat/>
    <w:pPr>
      <w:widowControl w:val="false"/>
      <w:spacing w:lineRule="exact" w:line="274"/>
      <w:jc w:val="both"/>
    </w:pPr>
    <w:rPr>
      <w:rFonts w:ascii="Arial" w:hAnsi="Arial"/>
      <w:lang w:val="en-US"/>
    </w:rPr>
  </w:style>
  <w:style w:type="paragraph" w:styleId="Style13">
    <w:name w:val="Style13"/>
    <w:basedOn w:val="Normal"/>
    <w:qFormat/>
    <w:pPr>
      <w:widowControl w:val="false"/>
      <w:spacing w:lineRule="exact" w:line="307"/>
      <w:ind w:firstLine="701"/>
      <w:jc w:val="both"/>
    </w:pPr>
    <w:rPr>
      <w:rFonts w:ascii="Lucida Sans Unicode" w:hAnsi="Lucida Sans Unicode"/>
    </w:rPr>
  </w:style>
  <w:style w:type="paragraph" w:styleId="Style31">
    <w:name w:val="Style3"/>
    <w:basedOn w:val="Normal"/>
    <w:qFormat/>
    <w:pPr>
      <w:widowControl w:val="false"/>
      <w:spacing w:lineRule="exact" w:line="274"/>
      <w:ind w:firstLine="744"/>
      <w:jc w:val="both"/>
    </w:pPr>
    <w:rPr>
      <w:lang w:val="en-US"/>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41</ap:TotalTime>
  <ap:Application>LibreOffice/24.2.7.2$Linux_X86_64 LibreOffice_project/420$Build-2</ap:Application>
  <ap:AppVersion>15.0000</ap:AppVersion>
  <ap:Pages>10</ap:Pages>
  <ap:Words>7842</ap:Words>
  <ap:Characters>41139</ap:Characters>
  <ap:CharactersWithSpaces>49014</ap:CharactersWithSpaces>
  <ap:Paragraphs>164</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2015-08-25T06:18:00.0000000Z</lastPrinted>
  <revision/>
  <dc:subject/>
  <dc:title/>
  <keywords/>
  <category/>
  <contentStatus/>
  <dc:identifier/>
  <version/>
</coreProperties>
</file>