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A862B" w14:textId="77777777" w:rsidR="00800833" w:rsidRDefault="00800833">
      <w:pPr>
        <w:jc w:val="both"/>
        <w:rPr>
          <w:rStyle w:val="Fontdeparagrafimplicit1"/>
          <w:b/>
        </w:rPr>
      </w:pPr>
    </w:p>
    <w:p w14:paraId="0879EDB3" w14:textId="5A23A384" w:rsidR="00800833" w:rsidRDefault="00E3718A">
      <w:pPr>
        <w:rPr>
          <w:rStyle w:val="Fontdeparagrafimplicit1"/>
          <w:rFonts w:ascii="Garamond" w:hAnsi="Garamond"/>
          <w:color w:val="000000"/>
        </w:rPr>
      </w:pPr>
      <w:r>
        <w:rPr>
          <w:rStyle w:val="Fontdeparagrafimplicit1"/>
          <w:rFonts w:ascii="Garamond" w:hAnsi="Garamond"/>
          <w:color w:val="000000"/>
        </w:rPr>
        <w:t>Cod ECLI    ECLI:RO:CA</w:t>
      </w:r>
      <w:r w:rsidR="00303F43">
        <w:rPr>
          <w:rStyle w:val="Fontdeparagrafimplicit1"/>
          <w:rFonts w:ascii="Garamond" w:hAnsi="Garamond"/>
          <w:color w:val="000000"/>
        </w:rPr>
        <w:t>....</w:t>
      </w:r>
    </w:p>
    <w:p w14:paraId="48A0A9D8" w14:textId="77777777" w:rsidR="00800833" w:rsidRDefault="00E3718A">
      <w:pPr>
        <w:jc w:val="both"/>
        <w:rPr>
          <w:rStyle w:val="Fontdeparagrafimplicit1"/>
          <w:color w:val="000000"/>
        </w:rPr>
      </w:pPr>
      <w:r>
        <w:rPr>
          <w:rStyle w:val="Fontdeparagrafimplicit1"/>
          <w:color w:val="000000"/>
        </w:rPr>
        <w:t>R O M Â N I A</w:t>
      </w:r>
    </w:p>
    <w:p w14:paraId="56A097B0" w14:textId="09D2CF50" w:rsidR="00800833" w:rsidRDefault="00E3718A">
      <w:pPr>
        <w:jc w:val="both"/>
        <w:rPr>
          <w:rStyle w:val="Fontdeparagrafimplicit1"/>
          <w:color w:val="000000"/>
        </w:rPr>
      </w:pPr>
      <w:r>
        <w:rPr>
          <w:rStyle w:val="Fontdeparagrafimplicit1"/>
          <w:color w:val="000000"/>
        </w:rPr>
        <w:t xml:space="preserve">CURTEA DE APEL </w:t>
      </w:r>
      <w:r w:rsidR="00303F43">
        <w:rPr>
          <w:rStyle w:val="Fontdeparagrafimplicit1"/>
          <w:color w:val="000000"/>
        </w:rPr>
        <w:t>X</w:t>
      </w:r>
    </w:p>
    <w:p w14:paraId="69E81B11" w14:textId="3E1AFE06" w:rsidR="00800833" w:rsidRDefault="00E3718A">
      <w:pPr>
        <w:jc w:val="both"/>
        <w:rPr>
          <w:rStyle w:val="Fontdeparagrafimplicit1"/>
          <w:color w:val="000000"/>
        </w:rPr>
      </w:pPr>
      <w:r>
        <w:rPr>
          <w:rStyle w:val="Fontdeparagrafimplicit1"/>
          <w:color w:val="000000"/>
        </w:rPr>
        <w:t xml:space="preserve">Secția </w:t>
      </w:r>
      <w:r w:rsidR="00303F43">
        <w:rPr>
          <w:rStyle w:val="Fontdeparagrafimplicit1"/>
          <w:color w:val="000000"/>
        </w:rPr>
        <w:t>....</w:t>
      </w:r>
    </w:p>
    <w:p w14:paraId="08635D1B" w14:textId="60843D4E" w:rsidR="00800833" w:rsidRDefault="00E3718A">
      <w:pPr>
        <w:jc w:val="both"/>
        <w:rPr>
          <w:rStyle w:val="Fontdeparagrafimplicit1"/>
          <w:color w:val="000000"/>
        </w:rPr>
      </w:pPr>
      <w:r>
        <w:rPr>
          <w:rStyle w:val="Fontdeparagrafimplicit1"/>
          <w:color w:val="000000"/>
        </w:rPr>
        <w:t xml:space="preserve">Dosar nr. </w:t>
      </w:r>
      <w:r w:rsidR="00303F43">
        <w:rPr>
          <w:rStyle w:val="Fontdeparagrafimplicit1"/>
          <w:color w:val="000000"/>
        </w:rPr>
        <w:t>..</w:t>
      </w:r>
      <w:r>
        <w:rPr>
          <w:rStyle w:val="Fontdeparagrafimplicit1"/>
          <w:color w:val="000000"/>
        </w:rPr>
        <w:t>25</w:t>
      </w:r>
    </w:p>
    <w:p w14:paraId="66F786EF" w14:textId="18145953" w:rsidR="00800833" w:rsidRDefault="00E3718A">
      <w:pPr>
        <w:jc w:val="both"/>
        <w:rPr>
          <w:rStyle w:val="Fontdeparagrafimplicit1"/>
          <w:color w:val="000000"/>
        </w:rPr>
      </w:pPr>
      <w:r>
        <w:rPr>
          <w:rStyle w:val="Fontdeparagrafimplicit1"/>
          <w:color w:val="000000"/>
        </w:rPr>
        <w:t xml:space="preserve">Nr. operator de date cu caracter personal: </w:t>
      </w:r>
      <w:r w:rsidR="00303F43">
        <w:rPr>
          <w:rStyle w:val="Fontdeparagrafimplicit1"/>
          <w:color w:val="000000"/>
        </w:rPr>
        <w:t>...</w:t>
      </w:r>
    </w:p>
    <w:p w14:paraId="41006C85" w14:textId="77777777" w:rsidR="00800833" w:rsidRDefault="00800833">
      <w:pPr>
        <w:ind w:firstLine="567"/>
        <w:jc w:val="both"/>
        <w:rPr>
          <w:rStyle w:val="Fontdeparagrafimplicit1"/>
          <w:color w:val="000000"/>
        </w:rPr>
      </w:pPr>
    </w:p>
    <w:p w14:paraId="48500128" w14:textId="77777777" w:rsidR="00800833" w:rsidRDefault="00800833">
      <w:pPr>
        <w:ind w:firstLine="567"/>
        <w:jc w:val="both"/>
        <w:rPr>
          <w:rStyle w:val="Fontdeparagrafimplicit1"/>
          <w:color w:val="000000"/>
        </w:rPr>
      </w:pPr>
    </w:p>
    <w:p w14:paraId="40494960" w14:textId="36DFBB40" w:rsidR="00800833" w:rsidRDefault="00E3718A">
      <w:pPr>
        <w:ind w:firstLine="567"/>
        <w:jc w:val="center"/>
        <w:rPr>
          <w:rStyle w:val="Fontdeparagrafimplicit1"/>
          <w:color w:val="000000"/>
          <w:u w:val="single"/>
        </w:rPr>
      </w:pPr>
      <w:r>
        <w:rPr>
          <w:rStyle w:val="Fontdeparagrafimplicit1"/>
          <w:color w:val="000000"/>
          <w:u w:val="single"/>
        </w:rPr>
        <w:t xml:space="preserve">DECIZIA CIVILĂ NR. </w:t>
      </w:r>
      <w:r w:rsidR="00303F43">
        <w:rPr>
          <w:rStyle w:val="Fontdeparagrafimplicit1"/>
          <w:color w:val="000000"/>
          <w:u w:val="single"/>
        </w:rPr>
        <w:t>....</w:t>
      </w:r>
    </w:p>
    <w:p w14:paraId="5690CCA7" w14:textId="77777777" w:rsidR="00800833" w:rsidRDefault="00800833">
      <w:pPr>
        <w:ind w:firstLine="567"/>
        <w:jc w:val="center"/>
        <w:rPr>
          <w:rStyle w:val="Fontdeparagrafimplicit1"/>
          <w:u w:val="single"/>
        </w:rPr>
      </w:pPr>
    </w:p>
    <w:p w14:paraId="0C080846" w14:textId="47BAF285" w:rsidR="00800833" w:rsidRDefault="00E3718A">
      <w:pPr>
        <w:ind w:firstLine="567"/>
        <w:jc w:val="center"/>
        <w:rPr>
          <w:rStyle w:val="Fontdeparagrafimplicit1"/>
          <w:color w:val="000000"/>
        </w:rPr>
      </w:pPr>
      <w:r>
        <w:rPr>
          <w:rStyle w:val="Fontdeparagrafimplicit1"/>
          <w:rFonts w:ascii="Cambria" w:hAnsi="Cambria"/>
          <w:color w:val="000000"/>
        </w:rPr>
        <w:t>Ș</w:t>
      </w:r>
      <w:r>
        <w:rPr>
          <w:rStyle w:val="Fontdeparagrafimplicit1"/>
          <w:color w:val="000000"/>
        </w:rPr>
        <w:t>edin</w:t>
      </w:r>
      <w:r>
        <w:rPr>
          <w:rStyle w:val="Fontdeparagrafimplicit1"/>
          <w:rFonts w:ascii="Cambria" w:hAnsi="Cambria"/>
          <w:color w:val="000000"/>
        </w:rPr>
        <w:t>ț</w:t>
      </w:r>
      <w:r>
        <w:rPr>
          <w:rStyle w:val="Fontdeparagrafimplicit1"/>
          <w:color w:val="000000"/>
        </w:rPr>
        <w:t xml:space="preserve">a publică din data de </w:t>
      </w:r>
      <w:r w:rsidR="00303F43">
        <w:rPr>
          <w:rStyle w:val="Fontdeparagrafimplicit1"/>
          <w:color w:val="000000"/>
        </w:rPr>
        <w:t>....</w:t>
      </w:r>
      <w:r>
        <w:rPr>
          <w:rStyle w:val="Fontdeparagrafimplicit1"/>
          <w:color w:val="000000"/>
        </w:rPr>
        <w:t xml:space="preserve"> </w:t>
      </w:r>
    </w:p>
    <w:p w14:paraId="2B322499" w14:textId="77777777" w:rsidR="00800833" w:rsidRDefault="00E3718A">
      <w:pPr>
        <w:ind w:firstLine="567"/>
        <w:jc w:val="center"/>
      </w:pPr>
      <w:r>
        <w:t>Completul de judecată constituit din:</w:t>
      </w:r>
    </w:p>
    <w:p w14:paraId="3DB2B9C7" w14:textId="276CD387" w:rsidR="00800833" w:rsidRDefault="00E3718A">
      <w:pPr>
        <w:ind w:firstLine="567"/>
        <w:jc w:val="center"/>
      </w:pPr>
      <w:r>
        <w:t>Pre</w:t>
      </w:r>
      <w:r>
        <w:rPr>
          <w:rStyle w:val="Fontdeparagrafimplicit1"/>
          <w:rFonts w:ascii="Cambria" w:hAnsi="Cambria"/>
        </w:rPr>
        <w:t>ș</w:t>
      </w:r>
      <w:r>
        <w:t xml:space="preserve">edinte: </w:t>
      </w:r>
      <w:r w:rsidR="00303F43">
        <w:t>....</w:t>
      </w:r>
      <w:r>
        <w:t xml:space="preserve"> </w:t>
      </w:r>
    </w:p>
    <w:p w14:paraId="0C8DE9FA" w14:textId="0C39C9FF" w:rsidR="00800833" w:rsidRDefault="00E3718A">
      <w:pPr>
        <w:ind w:firstLine="567"/>
        <w:jc w:val="center"/>
      </w:pPr>
      <w:r>
        <w:t xml:space="preserve">Judecător: </w:t>
      </w:r>
      <w:r w:rsidR="00303F43">
        <w:t>A0011</w:t>
      </w:r>
    </w:p>
    <w:p w14:paraId="3B55D7C3" w14:textId="7E5E612C" w:rsidR="00800833" w:rsidRDefault="00E3718A">
      <w:pPr>
        <w:ind w:firstLine="567"/>
        <w:jc w:val="center"/>
      </w:pPr>
      <w:r>
        <w:t xml:space="preserve">Judecător: </w:t>
      </w:r>
      <w:r w:rsidR="00303F43">
        <w:t>...</w:t>
      </w:r>
      <w:r>
        <w:t xml:space="preserve">  </w:t>
      </w:r>
    </w:p>
    <w:p w14:paraId="674339AA" w14:textId="7FC046EE" w:rsidR="00800833" w:rsidRDefault="00E3718A">
      <w:pPr>
        <w:ind w:firstLine="567"/>
        <w:jc w:val="center"/>
        <w:rPr>
          <w:rStyle w:val="Fontdeparagrafimplicit1"/>
          <w:i/>
        </w:rPr>
      </w:pPr>
      <w:r>
        <w:t xml:space="preserve">Grefier: </w:t>
      </w:r>
      <w:r w:rsidR="00303F43">
        <w:t>...</w:t>
      </w:r>
    </w:p>
    <w:p w14:paraId="19082931" w14:textId="77777777" w:rsidR="00800833" w:rsidRDefault="00E3718A">
      <w:r>
        <w:rPr>
          <w:rStyle w:val="Fontdeparagrafimplicit1"/>
          <w:u w:val="single"/>
        </w:rPr>
        <w:t xml:space="preserve">        </w:t>
      </w:r>
      <w:r>
        <w:t xml:space="preserve">  </w:t>
      </w:r>
    </w:p>
    <w:p w14:paraId="69210EFF" w14:textId="59E025F3" w:rsidR="00800833" w:rsidRDefault="00E3718A">
      <w:pPr>
        <w:ind w:firstLine="708"/>
        <w:jc w:val="both"/>
      </w:pPr>
      <w:r>
        <w:t xml:space="preserve">Pe rol fiind soluționarea recursului declarat de recurenta </w:t>
      </w:r>
      <w:r w:rsidR="00303F43">
        <w:rPr>
          <w:rStyle w:val="Fontdeparagrafimplicit1"/>
          <w:b/>
        </w:rPr>
        <w:t>BD</w:t>
      </w:r>
      <w:r>
        <w:t xml:space="preserve">, </w:t>
      </w:r>
      <w:r>
        <w:rPr>
          <w:rStyle w:val="Fontdeparagrafimplicit1"/>
          <w:i/>
        </w:rPr>
        <w:t xml:space="preserve">CNP </w:t>
      </w:r>
      <w:r w:rsidR="00303F43">
        <w:rPr>
          <w:rStyle w:val="Fontdeparagrafimplicit1"/>
          <w:i/>
        </w:rPr>
        <w:t>....</w:t>
      </w:r>
      <w:r>
        <w:t xml:space="preserve">,  cu domiciliul în </w:t>
      </w:r>
      <w:r w:rsidR="00303F43">
        <w:t>S</w:t>
      </w:r>
      <w:r>
        <w:t xml:space="preserve">, strada  </w:t>
      </w:r>
      <w:r w:rsidR="00303F43">
        <w:t>...</w:t>
      </w:r>
      <w:r>
        <w:t xml:space="preserve">, nr. </w:t>
      </w:r>
      <w:r w:rsidR="00303F43">
        <w:t>...</w:t>
      </w:r>
      <w:r>
        <w:t xml:space="preserve"> judeţul </w:t>
      </w:r>
      <w:r w:rsidR="00303F43">
        <w:t>S</w:t>
      </w:r>
      <w:r>
        <w:t xml:space="preserve">, în contradictoriu cu intimatele </w:t>
      </w:r>
      <w:r>
        <w:rPr>
          <w:rStyle w:val="Fontdeparagrafimplicit1"/>
          <w:b/>
        </w:rPr>
        <w:t xml:space="preserve">CASA JUDEŢEANĂ DE PENSII </w:t>
      </w:r>
      <w:r w:rsidR="00303F43">
        <w:rPr>
          <w:rStyle w:val="Fontdeparagrafimplicit1"/>
          <w:b/>
        </w:rPr>
        <w:t>S</w:t>
      </w:r>
      <w:r>
        <w:t xml:space="preserve">, având cod de identificare fiscală </w:t>
      </w:r>
      <w:r w:rsidR="00303F43">
        <w:t>...</w:t>
      </w:r>
      <w:r>
        <w:t xml:space="preserve">, cont bancar </w:t>
      </w:r>
      <w:r w:rsidR="00303F43">
        <w:t>...</w:t>
      </w:r>
      <w:r>
        <w:t xml:space="preserve">, cu sediul în </w:t>
      </w:r>
      <w:r w:rsidR="00303F43">
        <w:t>S</w:t>
      </w:r>
      <w:r>
        <w:t xml:space="preserve">, B-dul </w:t>
      </w:r>
      <w:r w:rsidR="00303F43">
        <w:t>...</w:t>
      </w:r>
      <w:r>
        <w:t xml:space="preserve">, nr. </w:t>
      </w:r>
      <w:r w:rsidR="00303F43">
        <w:t>...</w:t>
      </w:r>
      <w:r>
        <w:t xml:space="preserve">, județul </w:t>
      </w:r>
      <w:r w:rsidR="00303F43">
        <w:t>S</w:t>
      </w:r>
      <w:r>
        <w:t xml:space="preserve"> şi </w:t>
      </w:r>
      <w:r>
        <w:rPr>
          <w:rStyle w:val="Fontdeparagrafimplicit1"/>
          <w:b/>
        </w:rPr>
        <w:t>CASA NAŢIONALĂ DE PENSII PUBLICE</w:t>
      </w:r>
      <w:r>
        <w:t xml:space="preserve">,  având cod de identificare fiscală </w:t>
      </w:r>
      <w:r w:rsidR="00303F43">
        <w:t>...</w:t>
      </w:r>
      <w:r>
        <w:t xml:space="preserve">, cont bancar </w:t>
      </w:r>
      <w:r w:rsidR="00303F43">
        <w:t>...</w:t>
      </w:r>
      <w:r>
        <w:t xml:space="preserve">, cu sediul în ..., împotriva sentinței civile nr. </w:t>
      </w:r>
      <w:r w:rsidR="00303F43">
        <w:t>...</w:t>
      </w:r>
      <w:r>
        <w:t xml:space="preserve"> din data de </w:t>
      </w:r>
      <w:r w:rsidR="00303F43">
        <w:t>...</w:t>
      </w:r>
      <w:r>
        <w:t xml:space="preserve"> 2023,  pronunțată de Tribunalul </w:t>
      </w:r>
      <w:r w:rsidR="00303F43">
        <w:t>S</w:t>
      </w:r>
      <w:r>
        <w:t xml:space="preserve"> în dosarul nr. </w:t>
      </w:r>
      <w:r w:rsidR="00303F43">
        <w:t>...</w:t>
      </w:r>
      <w:r>
        <w:t xml:space="preserve">, având ca obiect contestație decizie de pensionare. </w:t>
      </w:r>
    </w:p>
    <w:p w14:paraId="34493071" w14:textId="341698CE" w:rsidR="00800833" w:rsidRDefault="00E3718A">
      <w:pPr>
        <w:ind w:right="-5" w:firstLine="708"/>
        <w:jc w:val="both"/>
      </w:pPr>
      <w:r>
        <w:t xml:space="preserve">La apelul nominal făcut în cauză se prezintă doamna avocat </w:t>
      </w:r>
      <w:r w:rsidR="00303F43">
        <w:t>AL</w:t>
      </w:r>
      <w:r>
        <w:t xml:space="preserve">, în reprezentarea recurentei </w:t>
      </w:r>
      <w:r w:rsidR="00303F43">
        <w:t>BD</w:t>
      </w:r>
      <w:r>
        <w:t xml:space="preserve"> – lipsă, conform împuternicirii avocațiale seria </w:t>
      </w:r>
      <w:r w:rsidR="00303F43">
        <w:t>....</w:t>
      </w:r>
      <w:r>
        <w:t xml:space="preserve"> din data de </w:t>
      </w:r>
      <w:r w:rsidR="005B19CF">
        <w:t>...</w:t>
      </w:r>
      <w:r>
        <w:t xml:space="preserve"> 2023, emisă de Baroul </w:t>
      </w:r>
      <w:r w:rsidR="00303F43">
        <w:t>S</w:t>
      </w:r>
      <w:r>
        <w:t xml:space="preserve"> – Cabinet de avocat „</w:t>
      </w:r>
      <w:r w:rsidR="00303F43">
        <w:t>AL</w:t>
      </w:r>
      <w:r>
        <w:t xml:space="preserve">”, lipsă fiind intimatele Casa Județeană de Pensii </w:t>
      </w:r>
      <w:r w:rsidR="00303F43">
        <w:t>S</w:t>
      </w:r>
      <w:r>
        <w:t xml:space="preserve"> și Casa Națională de Pensii Publice.  </w:t>
      </w:r>
    </w:p>
    <w:p w14:paraId="76D436CA" w14:textId="77777777" w:rsidR="00800833" w:rsidRDefault="00E3718A">
      <w:pPr>
        <w:tabs>
          <w:tab w:val="left" w:pos="6330"/>
        </w:tabs>
        <w:ind w:firstLine="708"/>
        <w:jc w:val="both"/>
      </w:pPr>
      <w:r>
        <w:t>Procedura de citare este legal îndeplinită.</w:t>
      </w:r>
      <w:r>
        <w:tab/>
      </w:r>
    </w:p>
    <w:p w14:paraId="4646D81F" w14:textId="4CB5E801" w:rsidR="00800833" w:rsidRDefault="00E3718A">
      <w:pPr>
        <w:ind w:right="-5" w:firstLine="708"/>
        <w:jc w:val="both"/>
      </w:pPr>
      <w:r>
        <w:t xml:space="preserve">S-a făcut referatul cauzei de către grefierul de ședință, învederându-se instanței că recursul este scutit de la plata taxei judiciare de timbru, s-a solicitat judecarea cauzei în lipsă, la data de </w:t>
      </w:r>
      <w:r w:rsidR="00303F43">
        <w:t>...</w:t>
      </w:r>
      <w:r>
        <w:t xml:space="preserve"> 2023, prin serviciul Registratură, intimata Casa Județeană de Pensii </w:t>
      </w:r>
      <w:r w:rsidR="00303F43">
        <w:t>S</w:t>
      </w:r>
      <w:r>
        <w:t xml:space="preserve"> a depus la dosar întâmpinare, după care: </w:t>
      </w:r>
    </w:p>
    <w:p w14:paraId="26DDF71A" w14:textId="5E9EAD12" w:rsidR="00800833" w:rsidRDefault="00E3718A">
      <w:pPr>
        <w:ind w:right="-5" w:firstLine="708"/>
        <w:jc w:val="both"/>
      </w:pPr>
      <w:r>
        <w:t xml:space="preserve">Reprezentanta  recurentei </w:t>
      </w:r>
      <w:r w:rsidR="00303F43">
        <w:t>BD</w:t>
      </w:r>
      <w:r>
        <w:t xml:space="preserve">, doamna avocat </w:t>
      </w:r>
      <w:r w:rsidR="00303F43">
        <w:t>AL</w:t>
      </w:r>
      <w:r>
        <w:t>, depune la dosar concluzii scrise și hotărâri judecătorești cu titlu de practică judiciară.  Arată că nu mai are de formulat alte cereri.</w:t>
      </w:r>
    </w:p>
    <w:p w14:paraId="2C5D721E" w14:textId="77777777" w:rsidR="00800833" w:rsidRDefault="00E3718A">
      <w:pPr>
        <w:ind w:firstLine="708"/>
        <w:jc w:val="both"/>
        <w:rPr>
          <w:rStyle w:val="Fontdeparagrafimplicit1"/>
          <w:b/>
        </w:rPr>
      </w:pPr>
      <w:r>
        <w:rPr>
          <w:rStyle w:val="Fontdeparagrafimplicit1"/>
          <w:b/>
        </w:rPr>
        <w:t>Nemaifiind ale cereri de formulat sau excepții de invocat, în temeiul dispozițiilor art. 494 Cod procedură civilă, raportat la art. 392 Cod procedură civilă, instanța deschide dezbaterile asupra cererii de recurs și acordă cuvântul părților asupra cererii de recurs formulate.</w:t>
      </w:r>
    </w:p>
    <w:p w14:paraId="17EFC24A" w14:textId="1007EE20" w:rsidR="00800833" w:rsidRDefault="00E3718A">
      <w:pPr>
        <w:ind w:firstLine="708"/>
        <w:jc w:val="both"/>
        <w:rPr>
          <w:rStyle w:val="Fontdeparagrafimplicit1"/>
          <w:b/>
        </w:rPr>
      </w:pPr>
      <w:r>
        <w:t xml:space="preserve">Reprezentanta recurentei </w:t>
      </w:r>
      <w:r w:rsidR="00303F43">
        <w:t>BD</w:t>
      </w:r>
      <w:r>
        <w:t xml:space="preserve">, doamna avocat </w:t>
      </w:r>
      <w:r w:rsidR="00303F43">
        <w:t>AL</w:t>
      </w:r>
      <w:r>
        <w:t xml:space="preserve">, solicită admiterea recursului formulat, modificarea în tot a sentinței recurate, în sensul admiterii acțiunii astfel cum aceasta a fost formulată şi, pe cale de consecință, anularea deciziei de respingere nr. </w:t>
      </w:r>
      <w:r w:rsidR="00303F43">
        <w:t>...</w:t>
      </w:r>
      <w:r>
        <w:t xml:space="preserve">/08.04.2011, emisă de Casa Județeană de Pensii </w:t>
      </w:r>
      <w:r w:rsidR="00303F43">
        <w:t>S</w:t>
      </w:r>
      <w:r>
        <w:t xml:space="preserve"> ca neîntemeiată şi nelegală. Obligarea intimatei la emiterea deciziilor de stabilire şi actualizare a pensiei de serviciu în baza adeverințelor nominale depuse la data de 22.02.2011, adeverințe emise de Parchetul de pe lângă Tribunalul </w:t>
      </w:r>
      <w:r w:rsidR="00303F43">
        <w:t>S</w:t>
      </w:r>
      <w:r>
        <w:t xml:space="preserve"> și, implicit, la plata sumelor cuvenite. De asemenea, solicită anularea Hotărârii </w:t>
      </w:r>
      <w:r w:rsidR="00303F43">
        <w:t>nr. ...</w:t>
      </w:r>
      <w:r>
        <w:t xml:space="preserve"> din data de 16 noiembrie 2011, emisă de Casa Națională de Pensii Publice – Comisia Centrală de Contestații ca neîntemeiată și nelegală. Obligarea intimatei la plata sumei de 100.000 lei reprezentând daune morale pentru prejudiciul cauzat prin nepunerea în executare a hotărârilor judecătorești și a adeverințelor emise de Parchetul de pe lângă Tribunalul </w:t>
      </w:r>
      <w:r w:rsidR="00303F43">
        <w:t>S</w:t>
      </w:r>
      <w:r>
        <w:t xml:space="preserve">, fără cheltuieli de judecată. Decizia Curţii Constituţionale a clarificat problema întinderii în timp şi spaţiu a aplicării legislaţiei cu privire la pensiile aflate în plată. Adeverințele în discuție au fost emise de către angajator și sunt drepturi câștigate pe perioada cât recurenta a lucrat. În combaterea </w:t>
      </w:r>
      <w:r>
        <w:lastRenderedPageBreak/>
        <w:t xml:space="preserve">celor susținute de intimata Casa Județeană de Pensii </w:t>
      </w:r>
      <w:r w:rsidR="00303F43">
        <w:t>S</w:t>
      </w:r>
      <w:r>
        <w:t xml:space="preserve">, este vorba despre o hotărâre judecătorească care a stabilit un drept a cărui efect nu mai poate fi pus în discuție. Dacă se va respinge recursul va fi o situație paradoxală nu numai pentru cei care lucrează în sistemul de justiție  ci pentru toți pensionarii care au câștigat un drept printr-o hotărâre judecătorească, angajatorul în mod temeinic și legal a emis adeverințele care a suplinit venitul lor cât timp au lucrat iar Casa de Pensii de la sine putere a constatat că nu trebuie să ducă la îndeplinire răspunderea angajatorului în baza adeverințelor emise în baza unui titlu executoriu. Titularul dreptului nu poate valorifica această valoare sectorială întrucât intimata consideră că la momentul la care trebuia să i se dea dreptul la pensia cuvenită ea nu ar mai fi beneficiat pentru că a venit Legea nr. 219 care a recalculat şi revizuit în mod abuziv pensiile grefierilor. La data când au fost emise deciziile abuzive de către Casa de Pensii Hotărârea </w:t>
      </w:r>
      <w:r w:rsidR="00303F43">
        <w:t>nr. ...</w:t>
      </w:r>
      <w:r>
        <w:t xml:space="preserve"> a fost anulată chiar de către Curtea de Apel </w:t>
      </w:r>
      <w:r w:rsidR="00303F43">
        <w:t>X</w:t>
      </w:r>
      <w:r>
        <w:t xml:space="preserve">, neexistând în acest sens niciun temei legal să nu i se pună în plată adeverințele emise de către angajator. Anularea a fost menţinută şi de către Înalta Curte de Casaţie şi Justiţie ca ulterior Guvernul României să îşi dea seama de greşeală şi să abroge Hotărârea </w:t>
      </w:r>
      <w:r w:rsidR="00303F43">
        <w:t>nr. ...</w:t>
      </w:r>
      <w:r>
        <w:t xml:space="preserve">.   </w:t>
      </w:r>
    </w:p>
    <w:p w14:paraId="63FD5F1B" w14:textId="77777777" w:rsidR="00800833" w:rsidRDefault="00E3718A">
      <w:pPr>
        <w:ind w:firstLine="709"/>
        <w:jc w:val="both"/>
      </w:pPr>
      <w:r>
        <w:t xml:space="preserve">În temeiul dispozițiilor art. 394 Cod procedură civilă, raportat la art. 494 Cod procedură civilă, instanța închide dezbaterile asupra recursului și reține cauza în pronunțare. </w:t>
      </w:r>
    </w:p>
    <w:p w14:paraId="0A3680EE" w14:textId="77777777" w:rsidR="00800833" w:rsidRDefault="00800833">
      <w:pPr>
        <w:ind w:right="-5"/>
        <w:jc w:val="both"/>
      </w:pPr>
    </w:p>
    <w:p w14:paraId="67FCD013" w14:textId="77777777" w:rsidR="00800833" w:rsidRDefault="00E3718A">
      <w:pPr>
        <w:ind w:firstLine="567"/>
        <w:jc w:val="center"/>
        <w:rPr>
          <w:rStyle w:val="Fontdeparagrafimplicit1"/>
          <w:b/>
        </w:rPr>
      </w:pPr>
      <w:r>
        <w:rPr>
          <w:rStyle w:val="Fontdeparagrafimplicit1"/>
          <w:b/>
        </w:rPr>
        <w:t xml:space="preserve">CURTEA DE APEL </w:t>
      </w:r>
    </w:p>
    <w:p w14:paraId="68C749C8" w14:textId="77777777" w:rsidR="00800833" w:rsidRDefault="00E3718A">
      <w:pPr>
        <w:ind w:firstLine="567"/>
        <w:jc w:val="center"/>
        <w:rPr>
          <w:rStyle w:val="Fontdeparagrafimplicit1"/>
          <w:b/>
        </w:rPr>
      </w:pPr>
      <w:r>
        <w:rPr>
          <w:rStyle w:val="Fontdeparagrafimplicit1"/>
          <w:b/>
        </w:rPr>
        <w:t>D E L I B E R Â N D:</w:t>
      </w:r>
    </w:p>
    <w:p w14:paraId="4066788A" w14:textId="77777777" w:rsidR="00800833" w:rsidRDefault="00800833">
      <w:pPr>
        <w:ind w:firstLine="567"/>
        <w:jc w:val="both"/>
        <w:rPr>
          <w:rStyle w:val="Fontdeparagrafimplicit1"/>
        </w:rPr>
      </w:pPr>
    </w:p>
    <w:p w14:paraId="362B1BC7" w14:textId="77777777" w:rsidR="00800833" w:rsidRDefault="00E3718A">
      <w:pPr>
        <w:ind w:firstLine="567"/>
        <w:jc w:val="both"/>
        <w:rPr>
          <w:rStyle w:val="Fontdeparagrafimplicit1"/>
          <w:b/>
        </w:rPr>
      </w:pPr>
      <w:r>
        <w:rPr>
          <w:rStyle w:val="Fontdeparagrafimplicit1"/>
          <w:b/>
        </w:rPr>
        <w:t xml:space="preserve">  Asupra cererii de recurs de față constată următoarele: </w:t>
      </w:r>
    </w:p>
    <w:p w14:paraId="2ED56C5F" w14:textId="3C98868F" w:rsidR="00800833" w:rsidRDefault="00E3718A">
      <w:pPr>
        <w:ind w:firstLine="709"/>
        <w:jc w:val="both"/>
      </w:pPr>
      <w:r>
        <w:rPr>
          <w:rStyle w:val="Fontdeparagrafimplicit1"/>
          <w:i/>
        </w:rPr>
        <w:t>Prin cererea de chemare în judecată</w:t>
      </w:r>
      <w:r>
        <w:rPr>
          <w:rStyle w:val="Fontdeparagrafimplicit1"/>
          <w:b/>
        </w:rPr>
        <w:t xml:space="preserve"> </w:t>
      </w:r>
      <w:r>
        <w:t xml:space="preserve">înregistrată la data de 06.05.2011, pe rolul Tribunalului </w:t>
      </w:r>
      <w:r w:rsidR="00303F43">
        <w:t>S</w:t>
      </w:r>
      <w:r>
        <w:t xml:space="preserve">, sub numărul de dosar </w:t>
      </w:r>
      <w:r w:rsidR="00303F43">
        <w:t>. ...</w:t>
      </w:r>
      <w:r>
        <w:t xml:space="preserve">, contestatoarea </w:t>
      </w:r>
      <w:r w:rsidR="00303F43">
        <w:t>BD</w:t>
      </w:r>
      <w:r>
        <w:t xml:space="preserve">, în contradictoriu cu Casa Judeţeană de Pensii </w:t>
      </w:r>
      <w:r w:rsidR="00303F43">
        <w:t>S</w:t>
      </w:r>
      <w:r>
        <w:t xml:space="preserve">, a solicitat instanţei ca prin hotărârea ce o va pronunţa să dispună anularea Deciziei de respingere nr. </w:t>
      </w:r>
      <w:r w:rsidR="00303F43">
        <w:t>...</w:t>
      </w:r>
      <w:r>
        <w:t xml:space="preserve"> din 08.04.2011, emisă de Casa Judeţeană de Pensii </w:t>
      </w:r>
      <w:r w:rsidR="00303F43">
        <w:t>S</w:t>
      </w:r>
      <w:r>
        <w:t xml:space="preserve"> ca netemeinică şi nelegală; să dispună obligarea pârâtei la emiterea deciziilor de stabilire şi actualizare a pensiei de serviciu în baza adeverinţelor nominale depuse la data de 22.02.2011, adeverinţe emise de Parchetul de pe lângă Tribunalul </w:t>
      </w:r>
      <w:r w:rsidR="00303F43">
        <w:t>S</w:t>
      </w:r>
      <w:r>
        <w:t xml:space="preserve"> şi implicit la plata sumelor cuvenite; să dispună obligarea pârâtei la plata sumei de 100.000 lei, reprezentând daune morale pentru prejudicial cauzat prin nepunerea în executare a hotărârilor judecătoreşti şi a adeverinţelor emise de către Parchetul de pe lângă Tribunalul </w:t>
      </w:r>
      <w:r w:rsidR="00303F43">
        <w:t>S</w:t>
      </w:r>
      <w:r>
        <w:t>; de asemenea, reclamanta a solicitat tragerea la răspundere a funcţionarilor publici, în cazul din speţă, conducerea instituţiei, care se fac vinovaţi de exces de putere.</w:t>
      </w:r>
    </w:p>
    <w:p w14:paraId="4CAB5280" w14:textId="4408FAC5" w:rsidR="00800833" w:rsidRDefault="00E3718A">
      <w:pPr>
        <w:ind w:firstLine="709"/>
        <w:jc w:val="both"/>
      </w:pPr>
      <w:r>
        <w:rPr>
          <w:rStyle w:val="Fontdeparagrafimplicit1"/>
          <w:i/>
        </w:rPr>
        <w:t xml:space="preserve">Prin sentința civilă nr. </w:t>
      </w:r>
      <w:r w:rsidR="00303F43">
        <w:rPr>
          <w:rStyle w:val="Fontdeparagrafimplicit1"/>
          <w:i/>
        </w:rPr>
        <w:t>. ...</w:t>
      </w:r>
      <w:r>
        <w:rPr>
          <w:rStyle w:val="Fontdeparagrafimplicit1"/>
          <w:i/>
        </w:rPr>
        <w:t xml:space="preserve"> din data de </w:t>
      </w:r>
      <w:r w:rsidR="00303F43">
        <w:rPr>
          <w:rStyle w:val="Fontdeparagrafimplicit1"/>
          <w:i/>
        </w:rPr>
        <w:t>. ...</w:t>
      </w:r>
      <w:r>
        <w:rPr>
          <w:rStyle w:val="Fontdeparagrafimplicit1"/>
          <w:i/>
        </w:rPr>
        <w:t xml:space="preserve"> 2011</w:t>
      </w:r>
      <w:r>
        <w:t xml:space="preserve">, </w:t>
      </w:r>
      <w:r>
        <w:rPr>
          <w:rStyle w:val="Fontdeparagrafimplicit1"/>
          <w:i/>
        </w:rPr>
        <w:t xml:space="preserve">pronunțată de Tribunalul </w:t>
      </w:r>
      <w:r w:rsidR="00303F43">
        <w:rPr>
          <w:rStyle w:val="Fontdeparagrafimplicit1"/>
          <w:i/>
        </w:rPr>
        <w:t>S</w:t>
      </w:r>
      <w:r>
        <w:rPr>
          <w:rStyle w:val="Fontdeparagrafimplicit1"/>
          <w:i/>
        </w:rPr>
        <w:t xml:space="preserve"> în dosar nr. </w:t>
      </w:r>
      <w:r w:rsidR="00303F43">
        <w:rPr>
          <w:rStyle w:val="Fontdeparagrafimplicit1"/>
          <w:i/>
        </w:rPr>
        <w:t>. ...</w:t>
      </w:r>
      <w:r>
        <w:rPr>
          <w:rStyle w:val="Fontdeparagrafimplicit1"/>
          <w:i/>
        </w:rPr>
        <w:t xml:space="preserve">, </w:t>
      </w:r>
      <w:r>
        <w:t xml:space="preserve">a fost respinsă cererea de suspendare a judecății. </w:t>
      </w:r>
    </w:p>
    <w:p w14:paraId="6388D81B" w14:textId="5488D442" w:rsidR="00800833" w:rsidRDefault="00E3718A">
      <w:pPr>
        <w:ind w:firstLine="709"/>
        <w:jc w:val="both"/>
      </w:pPr>
      <w:r>
        <w:t xml:space="preserve">A fost admisă excepția prematurității cererii, invocată prin întâmpinare și, în consecință, a fost respinsă ca prematur introdusă contestația formulată de </w:t>
      </w:r>
      <w:r w:rsidR="00303F43">
        <w:t>BD</w:t>
      </w:r>
      <w:r>
        <w:t xml:space="preserve">, în contradictoriu cu Casa Județeană de Pensii </w:t>
      </w:r>
      <w:r w:rsidR="00303F43">
        <w:t>S</w:t>
      </w:r>
      <w:r>
        <w:t xml:space="preserve">, având ca obiect anularea deciziei de respingere nr. </w:t>
      </w:r>
      <w:r w:rsidR="00303F43">
        <w:t>...</w:t>
      </w:r>
      <w:r>
        <w:t>/8 aprilie 2011, emisă de pârâtă, emiterea unei noi decizii, daune morale și angajarea răspunderii persoanelor vinovate de exces de putere; nu au fost acordate cheltuieli de judecată.</w:t>
      </w:r>
    </w:p>
    <w:p w14:paraId="13D77B52" w14:textId="1D2BBF75" w:rsidR="00800833" w:rsidRDefault="00E3718A">
      <w:pPr>
        <w:ind w:firstLine="709"/>
        <w:jc w:val="both"/>
      </w:pPr>
      <w:r>
        <w:rPr>
          <w:rStyle w:val="Fontdeparagrafimplicit1"/>
          <w:i/>
        </w:rPr>
        <w:t xml:space="preserve">Împotriva acestei sentințe, a declarat recurs reclamanta </w:t>
      </w:r>
      <w:r w:rsidR="00303F43">
        <w:rPr>
          <w:rStyle w:val="Fontdeparagrafimplicit1"/>
          <w:i/>
        </w:rPr>
        <w:t>BD</w:t>
      </w:r>
      <w:r>
        <w:t>, solicitând modificarea în tot a sentinței recurate, în sensul admiterii acțiunii așa cum a fost formulată și precizată.</w:t>
      </w:r>
    </w:p>
    <w:p w14:paraId="4CA2C7C3" w14:textId="5E1CA818" w:rsidR="00800833" w:rsidRDefault="00E3718A">
      <w:pPr>
        <w:ind w:firstLine="709"/>
        <w:jc w:val="both"/>
      </w:pPr>
      <w:r>
        <w:rPr>
          <w:rStyle w:val="Fontdeparagrafimplicit1"/>
          <w:i/>
        </w:rPr>
        <w:t xml:space="preserve">Prin decizia civilă nr. </w:t>
      </w:r>
      <w:r w:rsidR="00303F43">
        <w:rPr>
          <w:rStyle w:val="Fontdeparagrafimplicit1"/>
          <w:i/>
        </w:rPr>
        <w:t>. ...</w:t>
      </w:r>
      <w:r>
        <w:rPr>
          <w:rStyle w:val="Fontdeparagrafimplicit1"/>
          <w:i/>
        </w:rPr>
        <w:t xml:space="preserve"> din data de </w:t>
      </w:r>
      <w:r w:rsidR="00303F43">
        <w:rPr>
          <w:rStyle w:val="Fontdeparagrafimplicit1"/>
          <w:i/>
        </w:rPr>
        <w:t>....</w:t>
      </w:r>
      <w:r>
        <w:rPr>
          <w:rStyle w:val="Fontdeparagrafimplicit1"/>
          <w:i/>
        </w:rPr>
        <w:t xml:space="preserve"> 2012, pronunțată de Curtea de Apel </w:t>
      </w:r>
      <w:r w:rsidR="00303F43">
        <w:rPr>
          <w:rStyle w:val="Fontdeparagrafimplicit1"/>
          <w:i/>
        </w:rPr>
        <w:t>X</w:t>
      </w:r>
      <w:r>
        <w:rPr>
          <w:rStyle w:val="Fontdeparagrafimplicit1"/>
          <w:i/>
        </w:rPr>
        <w:t xml:space="preserve"> în dosar nr. </w:t>
      </w:r>
      <w:r w:rsidR="00303F43">
        <w:rPr>
          <w:rStyle w:val="Fontdeparagrafimplicit1"/>
          <w:i/>
        </w:rPr>
        <w:t>. ...</w:t>
      </w:r>
      <w:r>
        <w:rPr>
          <w:rStyle w:val="Fontdeparagrafimplicit1"/>
          <w:i/>
        </w:rPr>
        <w:t xml:space="preserve">, </w:t>
      </w:r>
      <w:r>
        <w:t xml:space="preserve">a fost admis ca fondat recursul civil declarat de recurenta reclamantă, în contradictoriu cu intimata pârâtă, împotriva sentinței civile nr. </w:t>
      </w:r>
      <w:r w:rsidR="00303F43">
        <w:t>. ...</w:t>
      </w:r>
      <w:r>
        <w:t xml:space="preserve"> din </w:t>
      </w:r>
      <w:r w:rsidR="00303F43">
        <w:t>. ...</w:t>
      </w:r>
      <w:r>
        <w:t xml:space="preserve"> 2011, care a fost casată cu trimitere pentru o nouă judecare la aceeași instanță, ținând seama de considerentele deciziei de apel.</w:t>
      </w:r>
    </w:p>
    <w:p w14:paraId="1BD66EEA" w14:textId="291F68C0" w:rsidR="00800833" w:rsidRDefault="00E3718A">
      <w:pPr>
        <w:ind w:firstLine="709"/>
        <w:jc w:val="both"/>
      </w:pPr>
      <w:r>
        <w:rPr>
          <w:rStyle w:val="Fontdeparagrafimplicit1"/>
          <w:i/>
        </w:rPr>
        <w:t>Prin precizarea de acțiune</w:t>
      </w:r>
      <w:r>
        <w:t xml:space="preserve"> depusă la dosarul Tribunalului </w:t>
      </w:r>
      <w:r w:rsidR="00303F43">
        <w:t>S</w:t>
      </w:r>
      <w:r>
        <w:t xml:space="preserve"> nr. </w:t>
      </w:r>
      <w:r w:rsidR="00303F43">
        <w:t>...</w:t>
      </w:r>
      <w:r>
        <w:t xml:space="preserve"> la data de </w:t>
      </w:r>
      <w:r w:rsidR="006E2F24">
        <w:t>...</w:t>
      </w:r>
      <w:r>
        <w:t xml:space="preserve">2013, în cel de-al doilea ciclu procesual, reclamanta a solicitat, pe lângă petitele inițiale, anularea hotărârii </w:t>
      </w:r>
      <w:r w:rsidR="00303F43">
        <w:t>nr. ...</w:t>
      </w:r>
      <w:r>
        <w:t>/16.11.2011 a Casei Naționale de Pensii Publice-Comisia Centrală de Contestații, respectiv introducerea în cauză a emitentei acestei decizii.</w:t>
      </w:r>
    </w:p>
    <w:p w14:paraId="0C69D024" w14:textId="21056C21" w:rsidR="00800833" w:rsidRDefault="00E3718A">
      <w:pPr>
        <w:ind w:firstLine="709"/>
        <w:jc w:val="both"/>
      </w:pPr>
      <w:r>
        <w:rPr>
          <w:rStyle w:val="Fontdeparagrafimplicit1"/>
          <w:i/>
        </w:rPr>
        <w:t xml:space="preserve">Prin încheierea ședinței publice din data de </w:t>
      </w:r>
      <w:r w:rsidR="006E2F24">
        <w:rPr>
          <w:rStyle w:val="Fontdeparagrafimplicit1"/>
          <w:i/>
        </w:rPr>
        <w:t>....</w:t>
      </w:r>
      <w:r>
        <w:rPr>
          <w:rStyle w:val="Fontdeparagrafimplicit1"/>
          <w:i/>
        </w:rPr>
        <w:t>.2013</w:t>
      </w:r>
      <w:r>
        <w:t xml:space="preserve"> s-a dispus suspendarea cauzei până la soluționarea irevocabilă a dosarului nr. </w:t>
      </w:r>
      <w:r w:rsidR="00303F43">
        <w:t>. ...</w:t>
      </w:r>
      <w:r>
        <w:t xml:space="preserve"> al Tribunalului </w:t>
      </w:r>
      <w:r w:rsidR="00303F43">
        <w:t>S</w:t>
      </w:r>
      <w:r>
        <w:t>.</w:t>
      </w:r>
    </w:p>
    <w:p w14:paraId="5262B358" w14:textId="45511FEF" w:rsidR="00800833" w:rsidRDefault="00E3718A">
      <w:pPr>
        <w:ind w:firstLine="709"/>
        <w:jc w:val="both"/>
      </w:pPr>
      <w:r>
        <w:rPr>
          <w:rStyle w:val="Fontdeparagrafimplicit1"/>
          <w:i/>
        </w:rPr>
        <w:lastRenderedPageBreak/>
        <w:t>Prin încheierea de ședință din data de</w:t>
      </w:r>
      <w:r w:rsidR="00303F43">
        <w:rPr>
          <w:rStyle w:val="Fontdeparagrafimplicit1"/>
          <w:i/>
        </w:rPr>
        <w:t xml:space="preserve"> ..</w:t>
      </w:r>
      <w:r>
        <w:rPr>
          <w:rStyle w:val="Fontdeparagrafimplicit1"/>
          <w:i/>
        </w:rPr>
        <w:t>.2023</w:t>
      </w:r>
      <w:r>
        <w:t xml:space="preserve">, pronunțată de Tribunalul </w:t>
      </w:r>
      <w:r w:rsidR="00303F43">
        <w:t>S</w:t>
      </w:r>
      <w:r>
        <w:t>, s-a dispus repunerea cauzei pe rol în temeiul art. 245 Cod procedură civilă.</w:t>
      </w:r>
    </w:p>
    <w:p w14:paraId="2F870EA3" w14:textId="46A3F7A2" w:rsidR="00800833" w:rsidRDefault="00E3718A">
      <w:pPr>
        <w:ind w:firstLine="708"/>
        <w:jc w:val="both"/>
      </w:pPr>
      <w:r>
        <w:rPr>
          <w:rStyle w:val="Fontdeparagrafimplicit1"/>
          <w:i/>
          <w:u w:val="single"/>
        </w:rPr>
        <w:t xml:space="preserve">Prin sentinţa civilă nr. </w:t>
      </w:r>
      <w:r w:rsidR="00303F43">
        <w:rPr>
          <w:rStyle w:val="Fontdeparagrafimplicit1"/>
          <w:i/>
          <w:u w:val="single"/>
        </w:rPr>
        <w:t>...</w:t>
      </w:r>
      <w:r>
        <w:t xml:space="preserve"> din data de </w:t>
      </w:r>
      <w:r w:rsidR="00303F43">
        <w:t>...</w:t>
      </w:r>
      <w:r>
        <w:t xml:space="preserve"> 2023, pronunţată de Tribunalul </w:t>
      </w:r>
      <w:r w:rsidR="00303F43">
        <w:t>S</w:t>
      </w:r>
      <w:r>
        <w:t xml:space="preserve">, a fost respinsă excepţia tardivităţii, invocată de pârâta Casa Judeţeană de Pensii </w:t>
      </w:r>
      <w:r w:rsidR="00303F43">
        <w:t>S</w:t>
      </w:r>
      <w:r>
        <w:t xml:space="preserve"> prin întâmpinare.</w:t>
      </w:r>
    </w:p>
    <w:p w14:paraId="6B494A9F" w14:textId="55CCB8C9" w:rsidR="00800833" w:rsidRDefault="00E3718A">
      <w:pPr>
        <w:ind w:firstLine="708"/>
        <w:jc w:val="both"/>
      </w:pPr>
      <w:r>
        <w:t xml:space="preserve">A fost respinsă acţiunea civilă formulată de reclamanta </w:t>
      </w:r>
      <w:r w:rsidR="00303F43">
        <w:t>BD</w:t>
      </w:r>
      <w:r>
        <w:t xml:space="preserve">, în contradictoriu cu pârâtele Casa Judeţeană de Pensii </w:t>
      </w:r>
      <w:r w:rsidR="00303F43">
        <w:t>S</w:t>
      </w:r>
      <w:r>
        <w:t xml:space="preserve"> şi Casa Naţională de Pensii Publice </w:t>
      </w:r>
      <w:r w:rsidR="00303F43">
        <w:t>B</w:t>
      </w:r>
      <w:r>
        <w:t xml:space="preserve"> -Comisia de Contestaţii, având ca obiect contestaţie decizie de pensionare.</w:t>
      </w:r>
    </w:p>
    <w:p w14:paraId="75C09392" w14:textId="77777777" w:rsidR="00800833" w:rsidRDefault="00E3718A">
      <w:pPr>
        <w:ind w:firstLine="708"/>
        <w:jc w:val="both"/>
      </w:pPr>
      <w:r>
        <w:t>Au fost respinse restul pretenţiilor.</w:t>
      </w:r>
    </w:p>
    <w:p w14:paraId="77EA31C3" w14:textId="5641F5F8" w:rsidR="00800833" w:rsidRDefault="00E3718A">
      <w:pPr>
        <w:ind w:firstLine="708"/>
        <w:jc w:val="both"/>
        <w:rPr>
          <w:rStyle w:val="Fontdeparagrafimplicit1"/>
          <w:b/>
        </w:rPr>
      </w:pPr>
      <w:r>
        <w:rPr>
          <w:rStyle w:val="Fontdeparagrafimplicit1"/>
          <w:b/>
        </w:rPr>
        <w:t xml:space="preserve">Pentru a pronunţa această hotărâre, Tribunalul </w:t>
      </w:r>
      <w:r w:rsidR="00303F43">
        <w:rPr>
          <w:rStyle w:val="Fontdeparagrafimplicit1"/>
          <w:b/>
        </w:rPr>
        <w:t>S</w:t>
      </w:r>
      <w:r>
        <w:rPr>
          <w:rStyle w:val="Fontdeparagrafimplicit1"/>
          <w:b/>
        </w:rPr>
        <w:t xml:space="preserve"> a avut în vedere următoarele considerente:</w:t>
      </w:r>
    </w:p>
    <w:p w14:paraId="6E83EB11" w14:textId="48A5E2ED" w:rsidR="00800833" w:rsidRDefault="00E3718A">
      <w:pPr>
        <w:ind w:firstLine="709"/>
        <w:jc w:val="both"/>
      </w:pPr>
      <w:r>
        <w:t xml:space="preserve">Prin decizia nr. </w:t>
      </w:r>
      <w:r w:rsidR="00303F43">
        <w:t>. ...</w:t>
      </w:r>
      <w:r>
        <w:t>/15.06.2005, reclamantei i s-a stabilit pensie de serviciu în baza Legii nr. 567/2004, privind statutul personalului auxiliar de specialitate al instanţelor judecătoreşti şi al parchetelor de pe lângă acestea începând cu data de 01.06.2005.</w:t>
      </w:r>
    </w:p>
    <w:p w14:paraId="55DDD44D" w14:textId="456F50AD" w:rsidR="00800833" w:rsidRDefault="00E3718A">
      <w:pPr>
        <w:ind w:firstLine="709"/>
        <w:jc w:val="both"/>
      </w:pPr>
      <w:r>
        <w:t xml:space="preserve">La data de 30.08.2010, prin Decizia nr. </w:t>
      </w:r>
      <w:r w:rsidR="00303F43">
        <w:t>. ...</w:t>
      </w:r>
      <w:r>
        <w:t xml:space="preserve">/30.08.2010, pensia reclamantei a fost recalculată în conformitate cu prevederile Legii nr. 119/2010, ale </w:t>
      </w:r>
      <w:r w:rsidR="00AD39E2">
        <w:t>HG nr. 737/2010</w:t>
      </w:r>
      <w:r>
        <w:t>, coroborate cu cele ale Legii nr. 19/2000.</w:t>
      </w:r>
    </w:p>
    <w:p w14:paraId="3A2661D1" w14:textId="20560E3F" w:rsidR="00800833" w:rsidRDefault="00E3718A">
      <w:pPr>
        <w:ind w:firstLine="709"/>
        <w:jc w:val="both"/>
      </w:pPr>
      <w:r>
        <w:t xml:space="preserve">În baza Minutei Sentinţei nr. </w:t>
      </w:r>
      <w:r w:rsidR="00303F43">
        <w:t>. ...</w:t>
      </w:r>
      <w:r>
        <w:t xml:space="preserve">, pronunţată de Curtea de Apel </w:t>
      </w:r>
      <w:r w:rsidR="00303F43">
        <w:t>X</w:t>
      </w:r>
      <w:r>
        <w:t xml:space="preserve"> în dosarul nr. </w:t>
      </w:r>
      <w:r w:rsidR="00303F43">
        <w:t>. ...</w:t>
      </w:r>
      <w:r>
        <w:t xml:space="preserve"> şi a Deciziei civile nr. </w:t>
      </w:r>
      <w:r w:rsidR="00303F43">
        <w:t>. ...</w:t>
      </w:r>
      <w:r>
        <w:t xml:space="preserve">.2010-R pronunţată de Curtea de Apel </w:t>
      </w:r>
      <w:r w:rsidR="00303F43">
        <w:t>X</w:t>
      </w:r>
      <w:r>
        <w:t xml:space="preserve"> în dosarul nr. </w:t>
      </w:r>
      <w:r w:rsidR="00303F43">
        <w:t>....</w:t>
      </w:r>
      <w:r>
        <w:t xml:space="preserve">, cu Decizia nr. </w:t>
      </w:r>
      <w:r w:rsidR="00303F43">
        <w:t>. ...</w:t>
      </w:r>
      <w:r>
        <w:t>/</w:t>
      </w:r>
      <w:r w:rsidR="00303F43">
        <w:t>...</w:t>
      </w:r>
      <w:r>
        <w:t>.2010 s-a reluat în plată pensia în cuantumul aflat în plată anterior recalculării conform Legii nr. 119/2010.</w:t>
      </w:r>
    </w:p>
    <w:p w14:paraId="6D837294" w14:textId="0FB253C1" w:rsidR="00800833" w:rsidRDefault="00E3718A">
      <w:pPr>
        <w:ind w:firstLine="709"/>
        <w:jc w:val="both"/>
      </w:pPr>
      <w:r>
        <w:t xml:space="preserve">La data de 22.02.2011, cu cererea nr. </w:t>
      </w:r>
      <w:r w:rsidR="00303F43">
        <w:t>...</w:t>
      </w:r>
      <w:r>
        <w:t xml:space="preserve">, reclamanta a solicitat recalcularea pensiei de serviciu, prezentând un număr de 10 adeverinţe purtând acelaşi nr. </w:t>
      </w:r>
      <w:r w:rsidR="00303F43">
        <w:t>. ...</w:t>
      </w:r>
      <w:r>
        <w:t>/21.02.2011, privind stabilirea şi actualizarea pensiei de serviciu a personalului auxiliar, conform Legii nr. 567/2004, modificată cu O.G. nr. 100/2007.</w:t>
      </w:r>
    </w:p>
    <w:p w14:paraId="66CF87EE" w14:textId="45AF3526" w:rsidR="00800833" w:rsidRDefault="00E3718A">
      <w:pPr>
        <w:ind w:firstLine="709"/>
        <w:jc w:val="both"/>
      </w:pPr>
      <w:r>
        <w:t xml:space="preserve">Ca răspuns la cererea de mai sus, s-a emis decizia de respingere nr. </w:t>
      </w:r>
      <w:r w:rsidR="00303F43">
        <w:t>...</w:t>
      </w:r>
      <w:r>
        <w:t xml:space="preserve">/08.04.2011, iar în urma contestării, pe cale administrativă, a Deciziei de respingere nr. </w:t>
      </w:r>
      <w:r w:rsidR="00303F43">
        <w:t>...</w:t>
      </w:r>
      <w:r>
        <w:t xml:space="preserve">/08.04.2011, prin Hotărârea </w:t>
      </w:r>
      <w:r w:rsidR="00303F43">
        <w:t>nr. ...</w:t>
      </w:r>
      <w:r>
        <w:t>/16.11.2011, Comisia Centrală de Contestaţii din cadrul Casei Naţionale de Pensii Publice a respins contestaţia ca neîntemeiată.</w:t>
      </w:r>
    </w:p>
    <w:p w14:paraId="429EB284" w14:textId="4E40FB96" w:rsidR="00800833" w:rsidRDefault="00E3718A">
      <w:pPr>
        <w:shd w:val="clear" w:color="auto" w:fill="FFFFFF"/>
        <w:jc w:val="both"/>
      </w:pPr>
      <w:r>
        <w:rPr>
          <w:rStyle w:val="Fontdeparagrafimplicit1"/>
          <w:b/>
          <w:color w:val="000000"/>
        </w:rPr>
        <w:tab/>
      </w:r>
      <w:r>
        <w:rPr>
          <w:rStyle w:val="Fontdeparagrafimplicit1"/>
          <w:color w:val="000000"/>
        </w:rPr>
        <w:t xml:space="preserve">Instanţa a respins </w:t>
      </w:r>
      <w:r>
        <w:t xml:space="preserve">excepţia tardivităţii contestării Hotărârii </w:t>
      </w:r>
      <w:r w:rsidR="00303F43">
        <w:t>nr. ...</w:t>
      </w:r>
      <w:r>
        <w:t xml:space="preserve">/16.11.2011, emisă de Comisia Centrală de Contestaţii din cadrul Casei Naţionale de Pensii Publice, reţinând, în esenţă, că prin Decizia nr. 956/13.11.2012 a Curţii Constituţionale, textul art. 151 alin. 2 din Legea nr. 263/2010 privind sistemul unitar de pensii publice a fost socotit constituţional în măsura în care se interpretează că nesoluţionarea contestaţiilor şi necomunicarea în termenul legal a hotărârilor Comisiei Centrale de Contestaţii, respectiv ale comisiilor de contestaţii care funcţionează în cadrul Ministerului Apărării Naţionale, Ministerului Administraţiei şi Internelor şi Serviciului Român de Informaţii nu împiedică accesul la justiţie. </w:t>
      </w:r>
    </w:p>
    <w:p w14:paraId="5D3351DC" w14:textId="461955E6" w:rsidR="00800833" w:rsidRDefault="00E3718A">
      <w:pPr>
        <w:shd w:val="clear" w:color="auto" w:fill="FFFFFF"/>
        <w:ind w:firstLine="708"/>
        <w:jc w:val="both"/>
      </w:pPr>
      <w:r>
        <w:t xml:space="preserve">La data emiterii hotărârii Comisiei Centrale de Contestaţii (mult după expirarea termenului legal de 45 de zile), reclamanta se afla deja, într-o procedură judiciară prin care a contestat decizia nr. </w:t>
      </w:r>
      <w:r w:rsidR="00303F43">
        <w:t>...</w:t>
      </w:r>
      <w:r>
        <w:t xml:space="preserve">/08.04.2011, emisă de Casa Judeţeană de Pensii </w:t>
      </w:r>
      <w:r w:rsidR="00303F43">
        <w:t>S</w:t>
      </w:r>
      <w:r>
        <w:t xml:space="preserve"> şi, implicit, refuzul acesteia de a lua în considerare adeverinţele depuse. </w:t>
      </w:r>
    </w:p>
    <w:p w14:paraId="14D851F2" w14:textId="5320C8FC" w:rsidR="00800833" w:rsidRDefault="00E3718A">
      <w:pPr>
        <w:shd w:val="clear" w:color="auto" w:fill="FFFFFF"/>
        <w:ind w:firstLine="708"/>
        <w:jc w:val="both"/>
      </w:pPr>
      <w:r>
        <w:t xml:space="preserve">Aşadar, instanța a reținut că dreptul reclamantei de a contesta decizia Casei Judeţene de Pensii </w:t>
      </w:r>
      <w:r w:rsidR="00303F43">
        <w:t>S</w:t>
      </w:r>
      <w:r>
        <w:t xml:space="preserve"> (şi, implicit refuzul acesteia de a actualiza pensia de serviciu a reclamantei în baza adeverinţelor cu nr. </w:t>
      </w:r>
      <w:r w:rsidR="00303F43">
        <w:t>. ...</w:t>
      </w:r>
      <w:r>
        <w:t xml:space="preserve">/21.02.2011) s-a născut anterior emiterii hotărârii Comisiei Centrale de Contestaţii </w:t>
      </w:r>
      <w:r w:rsidR="00303F43">
        <w:t>nr. ...</w:t>
      </w:r>
      <w:r>
        <w:t>/16.11.2011.</w:t>
      </w:r>
    </w:p>
    <w:p w14:paraId="49CC6F67" w14:textId="77777777" w:rsidR="00800833" w:rsidRDefault="00E3718A">
      <w:pPr>
        <w:shd w:val="clear" w:color="auto" w:fill="FFFFFF"/>
        <w:ind w:firstLine="708"/>
        <w:jc w:val="both"/>
      </w:pPr>
      <w:r>
        <w:t>Faptul că, reclamanta a înţeles să conteste şi această hotărâre ulterior, chiar cu depăşirea termenului de 30 de zile, nu poate avea însă, efecte asupra procedurii judiciare demarate în mod legal.</w:t>
      </w:r>
    </w:p>
    <w:p w14:paraId="42DAAEFD" w14:textId="77777777" w:rsidR="00800833" w:rsidRDefault="00E3718A">
      <w:pPr>
        <w:shd w:val="clear" w:color="auto" w:fill="FFFFFF"/>
        <w:ind w:firstLine="708"/>
        <w:jc w:val="both"/>
      </w:pPr>
      <w:r>
        <w:t>Pentru aceste considerente, instanţa a respins excepţia tardivităţii invocată de pârâtă.</w:t>
      </w:r>
    </w:p>
    <w:p w14:paraId="5A780151" w14:textId="77777777" w:rsidR="00800833" w:rsidRDefault="00E3718A">
      <w:pPr>
        <w:shd w:val="clear" w:color="auto" w:fill="FFFFFF"/>
        <w:ind w:firstLine="708"/>
        <w:jc w:val="both"/>
      </w:pPr>
      <w:r>
        <w:t xml:space="preserve">În ceea ce priveşte fondul cauzei, instanţa a reținut că la data de 01.01.2011, data intrării în vigoare a Legii nr. 263/2010 privind sistemul unitar de pensii publice, dispoziţiile care reglementau acordarea/recalcularea pensiilor de serviciu ale grefierilor, respectiv art. 68, art. 68 indice 1 alin. 2 și art. 68 indice 2, art. 68 indice 4 din Legea nr. 567/2004 privind Statutul personalului auxiliar de </w:t>
      </w:r>
      <w:r>
        <w:lastRenderedPageBreak/>
        <w:t>specialitate al instanţelor judecătoreşti cu modificările ulterioare au fost abrogate prin art. 196 lit. f din Legea nr. 263/2010.</w:t>
      </w:r>
    </w:p>
    <w:p w14:paraId="48D75F5C" w14:textId="77777777" w:rsidR="00800833" w:rsidRDefault="00E3718A">
      <w:pPr>
        <w:shd w:val="clear" w:color="auto" w:fill="FFFFFF"/>
        <w:jc w:val="both"/>
      </w:pPr>
      <w:r>
        <w:tab/>
        <w:t>În consecinţă, nemaifiind în vigoare prevederile referitoare la pensiile de serviciu ale personalului auxiliar din justiţie, dispoziţii abrogate începând cu data de 01.11.2011, cererea reclamantei privind recalcularea drepturilor la pensie, întemeiate pe texte de lege abrogate la data formulării acesteia (22.02.2011) nu poate fi soluţionată favorabil, în lipsa unui temei legal.</w:t>
      </w:r>
    </w:p>
    <w:p w14:paraId="09722B96" w14:textId="77777777" w:rsidR="00800833" w:rsidRDefault="00E3718A">
      <w:pPr>
        <w:shd w:val="clear" w:color="auto" w:fill="FFFFFF"/>
        <w:jc w:val="both"/>
      </w:pPr>
      <w:r>
        <w:tab/>
        <w:t xml:space="preserve">În acest sens, la data emiterii deciziei atacate, drepturile salariale câştigate în instanţă de reclamantă puteau fi valorificate doar în condiţiile art. 107 alin. 3 şi 5 din Legea nr. 263/2010. </w:t>
      </w:r>
    </w:p>
    <w:p w14:paraId="7BFEC0D4" w14:textId="27C91015" w:rsidR="00800833" w:rsidRDefault="00E3718A">
      <w:pPr>
        <w:shd w:val="clear" w:color="auto" w:fill="FFFFFF"/>
        <w:jc w:val="both"/>
      </w:pPr>
      <w:r>
        <w:tab/>
        <w:t xml:space="preserve">Pentru motivele mai sus arătate instanţa a respins ca nefondată contestaţia formulată de reclamanta </w:t>
      </w:r>
      <w:r w:rsidR="00303F43">
        <w:t>BD</w:t>
      </w:r>
      <w:r>
        <w:t xml:space="preserve"> în contradictoriu cu pârâta Casa Judeţeană de Pensii </w:t>
      </w:r>
      <w:r w:rsidR="00303F43">
        <w:t>S</w:t>
      </w:r>
      <w:r>
        <w:t xml:space="preserve"> și Casa Naţională de Pensii Publice </w:t>
      </w:r>
      <w:r w:rsidR="00303F43">
        <w:t>B</w:t>
      </w:r>
      <w:r>
        <w:t xml:space="preserve"> - Comisia de Contestaţii.</w:t>
      </w:r>
    </w:p>
    <w:p w14:paraId="77386CB7" w14:textId="77777777" w:rsidR="00800833" w:rsidRDefault="00E3718A">
      <w:pPr>
        <w:shd w:val="clear" w:color="auto" w:fill="FFFFFF"/>
        <w:ind w:firstLine="708"/>
        <w:jc w:val="both"/>
      </w:pPr>
      <w:r>
        <w:t>Întrucât instanţa a respins cererea principală ca nefondată, au fost respinse, ca atare, şi cererile subsecvente vizând daunele morale şi tragerea la răspundere a unor funcţionari.</w:t>
      </w:r>
    </w:p>
    <w:p w14:paraId="4AAF914E" w14:textId="6C9A62BD" w:rsidR="00800833" w:rsidRDefault="00E3718A">
      <w:pPr>
        <w:ind w:firstLine="708"/>
        <w:jc w:val="both"/>
      </w:pPr>
      <w:bookmarkStart w:id="0" w:name="_Hlk138413353"/>
      <w:r>
        <w:rPr>
          <w:rStyle w:val="Fontdeparagrafimplicit1"/>
          <w:b/>
        </w:rPr>
        <w:t>Împotriva acestei hotărâri,</w:t>
      </w:r>
      <w:bookmarkEnd w:id="0"/>
      <w:r>
        <w:rPr>
          <w:rStyle w:val="Fontdeparagrafimplicit1"/>
          <w:b/>
        </w:rPr>
        <w:t xml:space="preserve"> </w:t>
      </w:r>
      <w:r>
        <w:t xml:space="preserve">în termen legal, a declarat recurs reclamanta </w:t>
      </w:r>
      <w:r w:rsidR="00303F43">
        <w:t>BD</w:t>
      </w:r>
      <w:r>
        <w:t>, solicitând modificarea în tot a sentinței recurate și admiterea acțiunii așa cum a fost formulată și precizată:</w:t>
      </w:r>
    </w:p>
    <w:p w14:paraId="4C663BAC"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În motivarea recursului s-a arătat, în esență, că sentința primei instanțe este netemeinică și nelegală prin prisma faptului că aceasta nu este motivată </w:t>
      </w:r>
      <w:r>
        <w:rPr>
          <w:rStyle w:val="Fontdeparagrafimplicit1"/>
          <w:rFonts w:ascii="Times New Roman" w:hAnsi="Times New Roman"/>
          <w:i/>
          <w:sz w:val="24"/>
        </w:rPr>
        <w:t>in corpore</w:t>
      </w:r>
      <w:r>
        <w:rPr>
          <w:rStyle w:val="Fontdeparagrafimplicit1"/>
          <w:rFonts w:ascii="Times New Roman" w:hAnsi="Times New Roman"/>
          <w:sz w:val="24"/>
        </w:rPr>
        <w:t>, pe legea specială; a fost dată cu încălcarea sau aplicarea greșită a legii; instanța nu s-a pronunțat asupra nici unui capăt de cerere, în sensul motivării individuale a fiecărei decizii de respingere a capetelor formulate; instanța nu a ținut cont și nu s-a referit la probatoriul administrat în cauză.</w:t>
      </w:r>
    </w:p>
    <w:p w14:paraId="090C0343"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continuare, a fost prezentat un scurt istoric al principalelor repere legislative și jurisprudențiale relevante în cauză, arătându-se totodată că sentința atacată este nemotivată, fiind astfel, încălcat dreptul acesteia la un proces echitabil. Ulterior formulării unor trimiteri la principalele linii directoare, respectiv repere jurisprudențiale europene, necesar a fi respectate pentru ca justițiabilul să beneficieze de o dezlegare efectivă a cauzei, a arătat că o motivare excesiv de succintă sau necorespunzătoare în raport cu complexitatea cauzei echivalează cu inexistența motivării.</w:t>
      </w:r>
    </w:p>
    <w:p w14:paraId="2CE5E9A6"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De asemenea, recurenta a precizat că instanța de fond nu s-a pronunțat asupra niciunuia dintre capetele de cerere formulate, nu și-a construit motivarea în acord cu prevederile legii speciale făcând trimitere la alte temeiuri de drept, fără vreo legătură cu mijloacele de probă aflate la dosar.</w:t>
      </w:r>
    </w:p>
    <w:p w14:paraId="0B4143A6"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sensul celor de mai sus, recurenta a efectuat o amplă prezentare a procesului de „motivare” a unei hotărâri, respectiv garanțiile de care trebuie să beneficieze o hotărâre sub acest aspect, ulterior fiind abordate aspecte ținând de fondul cauzei.</w:t>
      </w:r>
    </w:p>
    <w:p w14:paraId="61CCEF93" w14:textId="1D83FF30"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Privitor la fondul cauzei și noțiunea de lege aplicabilă, recurenta a apreciat că în mod eronat a concluzionat prima instanță că „la data 01.01.2011 nu mai erau în vigoare prevederile legale privind pensiile de serviciu, fiind abrogate prin art. 196 lit. f din legea nr. 263/2010”, deoarece aceasta a fost pensionată în data de 01.06.2005, în baza Legii nr. 567/2004 art. 68 alin. 1 și 3, beneficiind de pensie de serviciu și având o vechime în muncă de 44 ani, în acest sens fiind emisă Decizia nr. </w:t>
      </w:r>
      <w:r w:rsidR="00303F43">
        <w:rPr>
          <w:rStyle w:val="Fontdeparagrafimplicit1"/>
          <w:rFonts w:ascii="Times New Roman" w:hAnsi="Times New Roman"/>
          <w:sz w:val="24"/>
        </w:rPr>
        <w:t>. ...</w:t>
      </w:r>
      <w:r>
        <w:rPr>
          <w:rStyle w:val="Fontdeparagrafimplicit1"/>
          <w:rFonts w:ascii="Times New Roman" w:hAnsi="Times New Roman"/>
          <w:sz w:val="24"/>
        </w:rPr>
        <w:t xml:space="preserve"> din 01.06.2005. Mai mult, Legea nr. 263/2010 a fost modificată odată cu apariția Legii nr. 119/2010 și </w:t>
      </w:r>
      <w:r w:rsidR="00AD39E2">
        <w:rPr>
          <w:rStyle w:val="Fontdeparagrafimplicit1"/>
          <w:rFonts w:ascii="Times New Roman" w:hAnsi="Times New Roman"/>
          <w:sz w:val="24"/>
        </w:rPr>
        <w:t>HG nr. 737/2010</w:t>
      </w:r>
      <w:r>
        <w:rPr>
          <w:rStyle w:val="Fontdeparagrafimplicit1"/>
          <w:rFonts w:ascii="Times New Roman" w:hAnsi="Times New Roman"/>
          <w:sz w:val="24"/>
        </w:rPr>
        <w:t>.</w:t>
      </w:r>
    </w:p>
    <w:p w14:paraId="0E0FC40E" w14:textId="398CEF6F"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Referitor la anularea </w:t>
      </w:r>
      <w:r w:rsidR="00AD39E2">
        <w:rPr>
          <w:rStyle w:val="Fontdeparagrafimplicit1"/>
          <w:rFonts w:ascii="Times New Roman" w:hAnsi="Times New Roman"/>
          <w:sz w:val="24"/>
        </w:rPr>
        <w:t>HG nr. 737/2010</w:t>
      </w:r>
      <w:r>
        <w:rPr>
          <w:rStyle w:val="Fontdeparagrafimplicit1"/>
          <w:rFonts w:ascii="Times New Roman" w:hAnsi="Times New Roman"/>
          <w:sz w:val="24"/>
        </w:rPr>
        <w:t xml:space="preserve">, recurenta a invocat considerentele sentinței civile nr. </w:t>
      </w:r>
      <w:r w:rsidR="00AD39E2">
        <w:rPr>
          <w:rStyle w:val="Fontdeparagrafimplicit1"/>
          <w:rFonts w:ascii="Times New Roman" w:hAnsi="Times New Roman"/>
          <w:sz w:val="24"/>
        </w:rPr>
        <w:t>...</w:t>
      </w:r>
      <w:r>
        <w:rPr>
          <w:rStyle w:val="Fontdeparagrafimplicit1"/>
          <w:rFonts w:ascii="Times New Roman" w:hAnsi="Times New Roman"/>
          <w:sz w:val="24"/>
        </w:rPr>
        <w:t xml:space="preserve"> din </w:t>
      </w:r>
      <w:r w:rsidR="00AD39E2">
        <w:rPr>
          <w:rStyle w:val="Fontdeparagrafimplicit1"/>
          <w:rFonts w:ascii="Times New Roman" w:hAnsi="Times New Roman"/>
          <w:sz w:val="24"/>
        </w:rPr>
        <w:t>...</w:t>
      </w:r>
      <w:r>
        <w:rPr>
          <w:rStyle w:val="Fontdeparagrafimplicit1"/>
          <w:rFonts w:ascii="Times New Roman" w:hAnsi="Times New Roman"/>
          <w:sz w:val="24"/>
        </w:rPr>
        <w:t xml:space="preserve">.2010 din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al Curții de Apel </w:t>
      </w:r>
      <w:r w:rsidR="00303F43">
        <w:rPr>
          <w:rStyle w:val="Fontdeparagrafimplicit1"/>
          <w:rFonts w:ascii="Times New Roman" w:hAnsi="Times New Roman"/>
          <w:sz w:val="24"/>
        </w:rPr>
        <w:t>X</w:t>
      </w:r>
      <w:r>
        <w:rPr>
          <w:rStyle w:val="Fontdeparagrafimplicit1"/>
          <w:rFonts w:ascii="Times New Roman" w:hAnsi="Times New Roman"/>
          <w:sz w:val="24"/>
        </w:rPr>
        <w:t xml:space="preserve">, respectiv sentința civilă nr. </w:t>
      </w:r>
      <w:r w:rsidR="00AD39E2">
        <w:rPr>
          <w:rStyle w:val="Fontdeparagrafimplicit1"/>
          <w:rFonts w:ascii="Times New Roman" w:hAnsi="Times New Roman"/>
          <w:sz w:val="24"/>
        </w:rPr>
        <w:t>...</w:t>
      </w:r>
      <w:r>
        <w:rPr>
          <w:rStyle w:val="Fontdeparagrafimplicit1"/>
          <w:rFonts w:ascii="Times New Roman" w:hAnsi="Times New Roman"/>
          <w:sz w:val="24"/>
        </w:rPr>
        <w:t xml:space="preserve"> din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a Curții de Apel </w:t>
      </w:r>
      <w:r w:rsidR="00303F43">
        <w:rPr>
          <w:rStyle w:val="Fontdeparagrafimplicit1"/>
          <w:rFonts w:ascii="Times New Roman" w:hAnsi="Times New Roman"/>
          <w:sz w:val="24"/>
        </w:rPr>
        <w:t>B</w:t>
      </w:r>
      <w:r>
        <w:rPr>
          <w:rStyle w:val="Fontdeparagrafimplicit1"/>
          <w:rFonts w:ascii="Times New Roman" w:hAnsi="Times New Roman"/>
          <w:sz w:val="24"/>
        </w:rPr>
        <w:t>, cea din urmă rămânând definitivă la data de 21.10.2014, când s-a constatat perimarea recursurilor formulate împotriva acesteia.</w:t>
      </w:r>
    </w:p>
    <w:p w14:paraId="0DE104E9" w14:textId="5E803BA4"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Astfel a fost consolidată în mod irevocabil anularea </w:t>
      </w:r>
      <w:r w:rsidR="00AD39E2">
        <w:rPr>
          <w:rStyle w:val="Fontdeparagrafimplicit1"/>
          <w:rFonts w:ascii="Times New Roman" w:hAnsi="Times New Roman"/>
          <w:sz w:val="24"/>
        </w:rPr>
        <w:t>HG nr. 737/2010</w:t>
      </w:r>
      <w:r>
        <w:rPr>
          <w:rStyle w:val="Fontdeparagrafimplicit1"/>
          <w:rFonts w:ascii="Times New Roman" w:hAnsi="Times New Roman"/>
          <w:sz w:val="24"/>
        </w:rPr>
        <w:t xml:space="preserve"> în ceea ce privește metodologia de recalculare a pensiilor de serviciu prevăzute la art. 1 lit. c din Legea nr. 119/2010, or, chiar acest act administrativ anulat a constituit temeiul de recalculare a pensiei și de emitere a deciziei de pensionare nr. </w:t>
      </w:r>
      <w:r w:rsidR="00303F43">
        <w:rPr>
          <w:rStyle w:val="Fontdeparagrafimplicit1"/>
          <w:rFonts w:ascii="Times New Roman" w:hAnsi="Times New Roman"/>
          <w:sz w:val="24"/>
        </w:rPr>
        <w:t>. ...</w:t>
      </w:r>
      <w:r>
        <w:rPr>
          <w:rStyle w:val="Fontdeparagrafimplicit1"/>
          <w:rFonts w:ascii="Times New Roman" w:hAnsi="Times New Roman"/>
          <w:sz w:val="24"/>
        </w:rPr>
        <w:t>/30.08.2010.</w:t>
      </w:r>
    </w:p>
    <w:p w14:paraId="0C861E7D" w14:textId="6AD5B2E2"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Or, câtă vreme anularea </w:t>
      </w:r>
      <w:r w:rsidR="00AD39E2">
        <w:rPr>
          <w:rStyle w:val="Fontdeparagrafimplicit1"/>
          <w:rFonts w:ascii="Times New Roman" w:hAnsi="Times New Roman"/>
          <w:sz w:val="24"/>
        </w:rPr>
        <w:t>HG nr. 737/2010</w:t>
      </w:r>
      <w:r>
        <w:rPr>
          <w:rStyle w:val="Fontdeparagrafimplicit1"/>
          <w:rFonts w:ascii="Times New Roman" w:hAnsi="Times New Roman"/>
          <w:sz w:val="24"/>
        </w:rPr>
        <w:t xml:space="preserve"> are efecte retroactive, acesta nu mai poate să constituie temei de recalculare a pensiei de serviciu, iar, pe cale de consecință, deciziile de recalculare a pensiilor emise persoanelor care au avut calitatea de personal auxiliar din instanțe și parchete sunt lovite de nulitate.</w:t>
      </w:r>
    </w:p>
    <w:p w14:paraId="104C4B99"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lastRenderedPageBreak/>
        <w:t>Apreciază că în litigiu ne aflăm în prezența unui conflict între prevederile Legii nr. 567/2004 și cele ale Legii nr. 119/2010, transformarea pensiei de serviciu în pensie prevăzută în Legea nr. 19/2000 fiind imposibilă, nelegală și neconstituțională. Mai mult, a arătat că nici normele de aplicare a Legii nr. 567/2004 nu au fost abrogate.</w:t>
      </w:r>
    </w:p>
    <w:p w14:paraId="59FCEA2C"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De asemenea, recurenta consideră că nu se încadrează în dispozițiile art. 12 din Legea nr. 119/2010, deoarece s-a pensionat cu mult timp înainte de intrarea în vigoare a acesteia, beneficiind în același timp de pensie de serviciu cu sporuri stabilite prin hotărâri judecătorești definitive.</w:t>
      </w:r>
    </w:p>
    <w:p w14:paraId="56B07FA9"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continuare, recurenta a invocat Decizia nr. 64/13.01.2010 a ÎCCJ.</w:t>
      </w:r>
    </w:p>
    <w:p w14:paraId="4C1E62E4" w14:textId="516C7BCD"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S-a mai invocat faptul că data depunerii documentelor anexate dosarului de față este 22.02.2011, atât datorită căilor de atac extraordinare formulate de unitatea angajatoare cât și prin prisma eliberării adeverințelor doar ulterior soluționării acestor căi de atac. La data depunerii cererii, prin sentința civilă nr. </w:t>
      </w:r>
      <w:r w:rsidR="00AD39E2">
        <w:rPr>
          <w:rStyle w:val="Fontdeparagrafimplicit1"/>
          <w:rFonts w:ascii="Times New Roman" w:hAnsi="Times New Roman"/>
          <w:sz w:val="24"/>
        </w:rPr>
        <w:t>....</w:t>
      </w:r>
      <w:r>
        <w:rPr>
          <w:rStyle w:val="Fontdeparagrafimplicit1"/>
          <w:rFonts w:ascii="Times New Roman" w:hAnsi="Times New Roman"/>
          <w:sz w:val="24"/>
        </w:rPr>
        <w:t xml:space="preserve"> din </w:t>
      </w:r>
      <w:r w:rsidR="00AD39E2">
        <w:rPr>
          <w:rStyle w:val="Fontdeparagrafimplicit1"/>
          <w:rFonts w:ascii="Times New Roman" w:hAnsi="Times New Roman"/>
          <w:sz w:val="24"/>
        </w:rPr>
        <w:t>..</w:t>
      </w:r>
      <w:r>
        <w:rPr>
          <w:rStyle w:val="Fontdeparagrafimplicit1"/>
          <w:rFonts w:ascii="Times New Roman" w:hAnsi="Times New Roman"/>
          <w:sz w:val="24"/>
        </w:rPr>
        <w:t xml:space="preserve">2010 din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al Curții de Apel </w:t>
      </w:r>
      <w:r w:rsidR="00303F43">
        <w:rPr>
          <w:rStyle w:val="Fontdeparagrafimplicit1"/>
          <w:rFonts w:ascii="Times New Roman" w:hAnsi="Times New Roman"/>
          <w:sz w:val="24"/>
        </w:rPr>
        <w:t>X</w:t>
      </w:r>
      <w:r>
        <w:rPr>
          <w:rStyle w:val="Fontdeparagrafimplicit1"/>
          <w:rFonts w:ascii="Times New Roman" w:hAnsi="Times New Roman"/>
          <w:sz w:val="24"/>
        </w:rPr>
        <w:t xml:space="preserve"> s-a dispus suspendarea </w:t>
      </w:r>
      <w:r w:rsidR="00AD39E2">
        <w:rPr>
          <w:rStyle w:val="Fontdeparagrafimplicit1"/>
          <w:rFonts w:ascii="Times New Roman" w:hAnsi="Times New Roman"/>
          <w:sz w:val="24"/>
        </w:rPr>
        <w:t>HG nr. 737/2010</w:t>
      </w:r>
      <w:r>
        <w:rPr>
          <w:rStyle w:val="Fontdeparagrafimplicit1"/>
          <w:rFonts w:ascii="Times New Roman" w:hAnsi="Times New Roman"/>
          <w:sz w:val="24"/>
        </w:rPr>
        <w:t xml:space="preserve"> în privința reclamantei, în continuare fiind formulate trimiteri la noțiunea de nulitate a actului administrativ.</w:t>
      </w:r>
    </w:p>
    <w:p w14:paraId="44C49F44" w14:textId="00561951"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A mai menționat că la data de </w:t>
      </w:r>
      <w:r w:rsidR="005C18F0">
        <w:rPr>
          <w:rStyle w:val="Fontdeparagrafimplicit1"/>
          <w:rFonts w:ascii="Times New Roman" w:hAnsi="Times New Roman"/>
          <w:sz w:val="24"/>
        </w:rPr>
        <w:t>....</w:t>
      </w:r>
      <w:r>
        <w:rPr>
          <w:rStyle w:val="Fontdeparagrafimplicit1"/>
          <w:rFonts w:ascii="Times New Roman" w:hAnsi="Times New Roman"/>
          <w:sz w:val="24"/>
        </w:rPr>
        <w:t xml:space="preserve">2021, prin decizia civilă irevocabilă nr. </w:t>
      </w:r>
      <w:r w:rsidR="00AD39E2">
        <w:rPr>
          <w:rStyle w:val="Fontdeparagrafimplicit1"/>
          <w:rFonts w:ascii="Times New Roman" w:hAnsi="Times New Roman"/>
          <w:sz w:val="24"/>
        </w:rPr>
        <w:t>....</w:t>
      </w:r>
      <w:r>
        <w:rPr>
          <w:rStyle w:val="Fontdeparagrafimplicit1"/>
          <w:rFonts w:ascii="Times New Roman" w:hAnsi="Times New Roman"/>
          <w:sz w:val="24"/>
        </w:rPr>
        <w:t xml:space="preserve"> din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al Curții de Apel </w:t>
      </w:r>
      <w:r w:rsidR="00303F43">
        <w:rPr>
          <w:rStyle w:val="Fontdeparagrafimplicit1"/>
          <w:rFonts w:ascii="Times New Roman" w:hAnsi="Times New Roman"/>
          <w:sz w:val="24"/>
        </w:rPr>
        <w:t>X</w:t>
      </w:r>
      <w:r>
        <w:rPr>
          <w:rStyle w:val="Fontdeparagrafimplicit1"/>
          <w:rFonts w:ascii="Times New Roman" w:hAnsi="Times New Roman"/>
          <w:sz w:val="24"/>
        </w:rPr>
        <w:t xml:space="preserve">, a fost suspendată decizia de pensionare a cărei destinatară este, intimata pârâtă emițând ulterior o nouă decizie cu nr. </w:t>
      </w:r>
      <w:r w:rsidR="00303F43">
        <w:rPr>
          <w:rStyle w:val="Fontdeparagrafimplicit1"/>
          <w:rFonts w:ascii="Times New Roman" w:hAnsi="Times New Roman"/>
          <w:sz w:val="24"/>
        </w:rPr>
        <w:t>. ...</w:t>
      </w:r>
      <w:r>
        <w:rPr>
          <w:rStyle w:val="Fontdeparagrafimplicit1"/>
          <w:rFonts w:ascii="Times New Roman" w:hAnsi="Times New Roman"/>
          <w:sz w:val="24"/>
        </w:rPr>
        <w:t xml:space="preserve">/19.11.2010, prin care s-a reluat în plată decizia nr. </w:t>
      </w:r>
      <w:r w:rsidR="00303F43">
        <w:rPr>
          <w:rStyle w:val="Fontdeparagrafimplicit1"/>
          <w:rFonts w:ascii="Times New Roman" w:hAnsi="Times New Roman"/>
          <w:sz w:val="24"/>
        </w:rPr>
        <w:t>. ...</w:t>
      </w:r>
      <w:r>
        <w:rPr>
          <w:rStyle w:val="Fontdeparagrafimplicit1"/>
          <w:rFonts w:ascii="Times New Roman" w:hAnsi="Times New Roman"/>
          <w:sz w:val="24"/>
        </w:rPr>
        <w:t>/15.03.2010, prin care i se restabilește pensia de serviciu începând cu 25.10.2010.</w:t>
      </w:r>
    </w:p>
    <w:p w14:paraId="461ED6C2" w14:textId="39424DFA"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Casa Județeană de Pensii </w:t>
      </w:r>
      <w:r w:rsidR="00303F43">
        <w:rPr>
          <w:rStyle w:val="Fontdeparagrafimplicit1"/>
          <w:rFonts w:ascii="Times New Roman" w:hAnsi="Times New Roman"/>
          <w:sz w:val="24"/>
        </w:rPr>
        <w:t>S</w:t>
      </w:r>
      <w:r>
        <w:rPr>
          <w:rStyle w:val="Fontdeparagrafimplicit1"/>
          <w:rFonts w:ascii="Times New Roman" w:hAnsi="Times New Roman"/>
          <w:sz w:val="24"/>
        </w:rPr>
        <w:t xml:space="preserve"> a ignorat faptul că cererea acesteia are la bază sentința civilă nr. </w:t>
      </w:r>
      <w:r w:rsidR="00AD39E2">
        <w:rPr>
          <w:rStyle w:val="Fontdeparagrafimplicit1"/>
          <w:rFonts w:ascii="Times New Roman" w:hAnsi="Times New Roman"/>
          <w:sz w:val="24"/>
        </w:rPr>
        <w:t>...</w:t>
      </w:r>
      <w:r>
        <w:rPr>
          <w:rStyle w:val="Fontdeparagrafimplicit1"/>
          <w:rFonts w:ascii="Times New Roman" w:hAnsi="Times New Roman"/>
          <w:sz w:val="24"/>
        </w:rPr>
        <w:t xml:space="preserve"> din </w:t>
      </w:r>
      <w:r w:rsidR="00AD39E2">
        <w:rPr>
          <w:rStyle w:val="Fontdeparagrafimplicit1"/>
          <w:rFonts w:ascii="Times New Roman" w:hAnsi="Times New Roman"/>
          <w:sz w:val="24"/>
        </w:rPr>
        <w:t>...</w:t>
      </w:r>
      <w:r>
        <w:rPr>
          <w:rStyle w:val="Fontdeparagrafimplicit1"/>
          <w:rFonts w:ascii="Times New Roman" w:hAnsi="Times New Roman"/>
          <w:sz w:val="24"/>
        </w:rPr>
        <w:t xml:space="preserve">2008 din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a Curții de Apel </w:t>
      </w:r>
      <w:r w:rsidR="00303F43">
        <w:rPr>
          <w:rStyle w:val="Fontdeparagrafimplicit1"/>
          <w:rFonts w:ascii="Times New Roman" w:hAnsi="Times New Roman"/>
          <w:sz w:val="24"/>
        </w:rPr>
        <w:t>X</w:t>
      </w:r>
      <w:r>
        <w:rPr>
          <w:rStyle w:val="Fontdeparagrafimplicit1"/>
          <w:rFonts w:ascii="Times New Roman" w:hAnsi="Times New Roman"/>
          <w:sz w:val="24"/>
        </w:rPr>
        <w:t>, definitivă și irevocabilă, în mod eronat considerând intimata pârâtă că cererea formulată ar fi una de pensionare (art. 106 din Legea nr. 263/2010), fapt neadevărat, atâta vreme cât deschiderea drepturilor la pensie s-a realizat la data de 01.06.2005.</w:t>
      </w:r>
    </w:p>
    <w:p w14:paraId="2821AF43" w14:textId="5D9023D8"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Au fost reluate considerentele sentinței civile nr. </w:t>
      </w:r>
      <w:r w:rsidR="00AD39E2">
        <w:rPr>
          <w:rStyle w:val="Fontdeparagrafimplicit1"/>
          <w:rFonts w:ascii="Times New Roman" w:hAnsi="Times New Roman"/>
          <w:sz w:val="24"/>
        </w:rPr>
        <w:t>...</w:t>
      </w:r>
      <w:r>
        <w:rPr>
          <w:rStyle w:val="Fontdeparagrafimplicit1"/>
          <w:rFonts w:ascii="Times New Roman" w:hAnsi="Times New Roman"/>
          <w:sz w:val="24"/>
        </w:rPr>
        <w:t xml:space="preserve">2008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rămasă definitivă prin Decizia nr. </w:t>
      </w:r>
      <w:r w:rsidR="00AD39E2">
        <w:rPr>
          <w:rStyle w:val="Fontdeparagrafimplicit1"/>
          <w:rFonts w:ascii="Times New Roman" w:hAnsi="Times New Roman"/>
          <w:sz w:val="24"/>
        </w:rPr>
        <w:t>...</w:t>
      </w:r>
      <w:r>
        <w:rPr>
          <w:rStyle w:val="Fontdeparagrafimplicit1"/>
          <w:rFonts w:ascii="Times New Roman" w:hAnsi="Times New Roman"/>
          <w:sz w:val="24"/>
        </w:rPr>
        <w:t xml:space="preserve"> (dosar nr. </w:t>
      </w:r>
      <w:r w:rsidR="00AD39E2">
        <w:rPr>
          <w:rStyle w:val="Fontdeparagrafimplicit1"/>
          <w:rFonts w:ascii="Times New Roman" w:hAnsi="Times New Roman"/>
          <w:sz w:val="24"/>
        </w:rPr>
        <w:t>...</w:t>
      </w:r>
      <w:r>
        <w:rPr>
          <w:rStyle w:val="Fontdeparagrafimplicit1"/>
          <w:rFonts w:ascii="Times New Roman" w:hAnsi="Times New Roman"/>
          <w:sz w:val="24"/>
        </w:rPr>
        <w:t xml:space="preserve">) ambele ale Curții de Apel </w:t>
      </w:r>
      <w:r w:rsidR="00303F43">
        <w:rPr>
          <w:rStyle w:val="Fontdeparagrafimplicit1"/>
          <w:rFonts w:ascii="Times New Roman" w:hAnsi="Times New Roman"/>
          <w:sz w:val="24"/>
        </w:rPr>
        <w:t>X</w:t>
      </w:r>
      <w:r>
        <w:rPr>
          <w:rStyle w:val="Fontdeparagrafimplicit1"/>
          <w:rFonts w:ascii="Times New Roman" w:hAnsi="Times New Roman"/>
          <w:sz w:val="24"/>
        </w:rPr>
        <w:t>, arătându-se că drepturile sale au fost stabilite înaintea de intrarea în vigoare a legii noi, la momentul introducerii acțiunii în instanță, cererea de acordare retroactiv diferențe de salarizare calculate pe baza valorii de referință sectorială era guvernată de Legea nr. 567/2004 și HG nr. 290/ 2004, care nu au fost abrogate.</w:t>
      </w:r>
    </w:p>
    <w:p w14:paraId="2F4D6E90" w14:textId="69984D86"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 xml:space="preserve">S-a mai arătat că intimata pârâtă nu putea să aplice retroactiv art. 178 din Legea nr. 263/ 2010, dar și că sentința civilă nr. </w:t>
      </w:r>
      <w:r w:rsidR="00AD39E2">
        <w:rPr>
          <w:rStyle w:val="Fontdeparagrafimplicit1"/>
          <w:rFonts w:ascii="Times New Roman" w:hAnsi="Times New Roman"/>
          <w:sz w:val="24"/>
        </w:rPr>
        <w:t>...</w:t>
      </w:r>
      <w:r>
        <w:rPr>
          <w:rStyle w:val="Fontdeparagrafimplicit1"/>
          <w:rFonts w:ascii="Times New Roman" w:hAnsi="Times New Roman"/>
          <w:sz w:val="24"/>
        </w:rPr>
        <w:t>2008 nu și-a încetat aplicabilitatea la data intrării în vigoare a Legii nr. 330/2009.</w:t>
      </w:r>
    </w:p>
    <w:p w14:paraId="48976041"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De asemenea, recurenta a arătat că salariile de bază trebuiau stabilite în continuare începând cu data de 01.01.2010, în funcție de valoarea de referință sectorială de 405 lei, în baza hotărârii judecătorești, or, existența unor decizii ale procurorului general în alt sens vine în contradciție cu Decizia nr. 36 din dosar nr. 435/1/2018 a ÎCCJ.</w:t>
      </w:r>
    </w:p>
    <w:p w14:paraId="72548490"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continuare, s-a invocat și Decizia nr. 23/2015 a ÎCCJ, prevederile OUG nr. 71/2009, cu precizarea că imposibilitatea de a obține executarea unor hotărâri judecătorești într-un termen rezonabil constituie o ingerință în dreptul de proprietate al reclamantei conform jurisprudenței europene.</w:t>
      </w:r>
    </w:p>
    <w:p w14:paraId="2F6E782F"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A mai fost invocată Decizia nr. 2/17.02.2014 a ÎCCJ, pronunțată în soluționarea unui recurs în interesul legii, cauza Burdov c. Rusiei și Săcăleanu c. României din jurisprudența CEDO, cu mențiunea că, atâta vreme cât nu s-a ținut cont începând cu 01.01.2008 de VRS de 405 lei, valoarea de referință aplicată în decembrie 2007, ci s-a acordat un VRS mai mic, apare ca evident faptul că nu au încetat efectele hotărârii judecătorești la data de 31.12.2007.</w:t>
      </w:r>
    </w:p>
    <w:p w14:paraId="3C055DE5"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S-a invocat Decizia nr. 794/15.12.2016 a Curții Constituționale, precizându-se, totodată, faptul că, referitor la cuantumul cheltuielilor de executare, chiar dacă s-au emis doar 3 acte de executare, la baza acestora se află un conglomerat complex de elemente de analizat.</w:t>
      </w:r>
    </w:p>
    <w:p w14:paraId="34EFE439"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final, s-a invocat jurisprudența CEDO în materie și s-au formulat trimiteri la conceptul de rol al judecătorului național în interpretarea legii în viziunea CJUE și în doctrină.</w:t>
      </w:r>
    </w:p>
    <w:p w14:paraId="721323DD"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În drept, au fost invocate art. 299-316 Cod Procedură Civilă.</w:t>
      </w:r>
    </w:p>
    <w:p w14:paraId="6353C839" w14:textId="65B3FC9A"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b/>
          <w:sz w:val="24"/>
        </w:rPr>
        <w:t>Prin întâmpinare</w:t>
      </w:r>
      <w:r>
        <w:rPr>
          <w:rStyle w:val="Fontdeparagrafimplicit1"/>
          <w:rFonts w:ascii="Times New Roman" w:hAnsi="Times New Roman"/>
          <w:sz w:val="24"/>
        </w:rPr>
        <w:t xml:space="preserve">, intimata Casa Județeană de Pensii </w:t>
      </w:r>
      <w:r w:rsidR="00303F43">
        <w:rPr>
          <w:rStyle w:val="Fontdeparagrafimplicit1"/>
          <w:rFonts w:ascii="Times New Roman" w:hAnsi="Times New Roman"/>
          <w:sz w:val="24"/>
        </w:rPr>
        <w:t>S</w:t>
      </w:r>
      <w:r>
        <w:rPr>
          <w:rStyle w:val="Fontdeparagrafimplicit1"/>
          <w:rFonts w:ascii="Times New Roman" w:hAnsi="Times New Roman"/>
          <w:sz w:val="24"/>
        </w:rPr>
        <w:t xml:space="preserve"> a solicitat respingerea recursului ca nefondat.</w:t>
      </w:r>
    </w:p>
    <w:p w14:paraId="20352520"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lastRenderedPageBreak/>
        <w:t xml:space="preserve">Cu ocazia formulării apărărilor, au fost reluate principalele elemente factuale din litigiu, în continuare fiind tratate susținerile apelantei, vizând faptul că hotărârea atacată ar fi nemotivată </w:t>
      </w:r>
      <w:r>
        <w:rPr>
          <w:rStyle w:val="Fontdeparagrafimplicit1"/>
          <w:rFonts w:ascii="Times New Roman" w:hAnsi="Times New Roman"/>
          <w:i/>
          <w:sz w:val="24"/>
        </w:rPr>
        <w:t>in corpore</w:t>
      </w:r>
      <w:r>
        <w:rPr>
          <w:rStyle w:val="Fontdeparagrafimplicit1"/>
          <w:rFonts w:ascii="Times New Roman" w:hAnsi="Times New Roman"/>
          <w:sz w:val="24"/>
        </w:rPr>
        <w:t>, pe legea specială (pct. a) dar și criticile de la pct. b și c.</w:t>
      </w:r>
    </w:p>
    <w:p w14:paraId="31DDFE1D"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Criticile recurentei nu pot sta în picioare, în opinia intimatei, atâta vreme cât hotărârea atacată cuprinde obiectul cererii, susținerile părților, situația de fapt, probele administrate și se menționează inclusiv motivele de fapt și drept pentru care au fost înlăturate criticile aduse deciziilor atacate, art. 261 alin. 1 din Vechiul cod de Procedură Civilă fiind respectat.</w:t>
      </w:r>
    </w:p>
    <w:p w14:paraId="2C6A6EEF" w14:textId="77777777" w:rsidR="00800833" w:rsidRDefault="00E3718A">
      <w:pPr>
        <w:pStyle w:val="Listparagraf1"/>
        <w:spacing w:after="0" w:line="240" w:lineRule="auto"/>
        <w:ind w:left="0" w:firstLine="708"/>
        <w:jc w:val="both"/>
        <w:rPr>
          <w:rStyle w:val="Fontdeparagrafimplicit1"/>
          <w:rFonts w:ascii="Times New Roman" w:hAnsi="Times New Roman"/>
          <w:sz w:val="24"/>
        </w:rPr>
      </w:pPr>
      <w:r>
        <w:rPr>
          <w:rStyle w:val="Fontdeparagrafimplicit1"/>
          <w:rFonts w:ascii="Times New Roman" w:hAnsi="Times New Roman"/>
          <w:sz w:val="24"/>
        </w:rPr>
        <w:t>Chestiunea litigioasă de față se rezumă la întrebarea dacă reclamanta este îndreptățită la actualizarea pensiei de serviciu în temeiul art. 68, art. 68</w:t>
      </w:r>
      <w:r>
        <w:rPr>
          <w:rStyle w:val="Fontdeparagrafimplicit1"/>
          <w:rFonts w:ascii="Times New Roman" w:hAnsi="Times New Roman"/>
          <w:sz w:val="24"/>
          <w:vertAlign w:val="superscript"/>
        </w:rPr>
        <w:t>1</w:t>
      </w:r>
      <w:r>
        <w:rPr>
          <w:rStyle w:val="Fontdeparagrafimplicit1"/>
          <w:rFonts w:ascii="Times New Roman" w:hAnsi="Times New Roman"/>
          <w:sz w:val="24"/>
        </w:rPr>
        <w:t xml:space="preserve"> alin. 2 și art. 68</w:t>
      </w:r>
      <w:r>
        <w:rPr>
          <w:rStyle w:val="Fontdeparagrafimplicit1"/>
          <w:rFonts w:ascii="Times New Roman" w:hAnsi="Times New Roman"/>
          <w:sz w:val="24"/>
          <w:vertAlign w:val="superscript"/>
        </w:rPr>
        <w:t>2</w:t>
      </w:r>
      <w:r>
        <w:rPr>
          <w:rStyle w:val="Fontdeparagrafimplicit1"/>
          <w:rFonts w:ascii="Times New Roman" w:hAnsi="Times New Roman"/>
          <w:sz w:val="24"/>
        </w:rPr>
        <w:t>-68</w:t>
      </w:r>
      <w:r>
        <w:rPr>
          <w:rStyle w:val="Fontdeparagrafimplicit1"/>
          <w:rFonts w:ascii="Times New Roman" w:hAnsi="Times New Roman"/>
          <w:sz w:val="24"/>
          <w:vertAlign w:val="superscript"/>
        </w:rPr>
        <w:t>4</w:t>
      </w:r>
      <w:r>
        <w:rPr>
          <w:rStyle w:val="Fontdeparagrafimplicit1"/>
          <w:rFonts w:ascii="Times New Roman" w:hAnsi="Times New Roman"/>
          <w:sz w:val="24"/>
        </w:rPr>
        <w:t xml:space="preserve"> din Legea nr. 567/2004, cele reținute de prima instanță în dezlegarea acestei chestiunii fiind, după părerea recurentei, pe deplin corecte.</w:t>
      </w:r>
    </w:p>
    <w:p w14:paraId="0A2E9CD8" w14:textId="77777777" w:rsidR="00800833" w:rsidRDefault="00E3718A">
      <w:pPr>
        <w:ind w:firstLine="708"/>
        <w:jc w:val="both"/>
      </w:pPr>
      <w:r>
        <w:t>Au fost apreciate ca nefiind fondate și criticile vizând nemotivarea sentinței atacate, prima instanță pronunțându-se explicit atât privitor la temeinicie cât și privitor la legalitatea cererilor subsecvente ale apelantei reclamante.</w:t>
      </w:r>
    </w:p>
    <w:p w14:paraId="3943D207" w14:textId="2AD75447" w:rsidR="00800833" w:rsidRDefault="00E3718A">
      <w:pPr>
        <w:ind w:firstLine="708"/>
        <w:jc w:val="both"/>
      </w:pPr>
      <w:r>
        <w:t xml:space="preserve">Privitor la susținerile reurentei potrivit cărora hotărârea judecătorească ar fi fost dată cu încălcarea sau aplicarea greșită a legii, s-a arătat că argumentele cuprinse în Decizia de respingere nr. </w:t>
      </w:r>
      <w:r w:rsidR="00303F43">
        <w:t>...</w:t>
      </w:r>
      <w:r>
        <w:t xml:space="preserve">/08.04.2011 a CJP </w:t>
      </w:r>
      <w:r w:rsidR="00303F43">
        <w:t>S</w:t>
      </w:r>
      <w:r>
        <w:t xml:space="preserve"> sunt întărite de dispozițiile art. 178 din Legea nr. 263/2010, </w:t>
      </w:r>
      <w:r>
        <w:rPr>
          <w:rStyle w:val="Fontdeparagrafimplicit1"/>
          <w:i/>
        </w:rPr>
        <w:t>per a contrario</w:t>
      </w:r>
      <w:r>
        <w:t>, orice cerere înregistrată și nesoluționată după intrarea în vigoare a Legii nr. 263/2010 fiind guvernată de legea nouă.</w:t>
      </w:r>
    </w:p>
    <w:p w14:paraId="79DD1BEC" w14:textId="0249EC22" w:rsidR="00800833" w:rsidRDefault="00E3718A">
      <w:pPr>
        <w:ind w:firstLine="708"/>
        <w:jc w:val="both"/>
      </w:pPr>
      <w:r>
        <w:t xml:space="preserve">S-a mai precizat că, a admite că în astfel de spețe ar fi incidente prevederile Legii nr. 567/ 2004 ar presupune acceptarea ultraactivității legii vechi, dar și că prin decizia civilă nr. </w:t>
      </w:r>
      <w:r w:rsidR="00AD39E2">
        <w:t>...</w:t>
      </w:r>
      <w:r>
        <w:t xml:space="preserve">/ 29.03. 2016 a Curții de Apel </w:t>
      </w:r>
      <w:r w:rsidR="00AD39E2">
        <w:t>..</w:t>
      </w:r>
      <w:r>
        <w:t xml:space="preserve">, s-a respins contestația împotriva Decizie nr. </w:t>
      </w:r>
      <w:r w:rsidR="00303F43">
        <w:t>. ...</w:t>
      </w:r>
      <w:r>
        <w:t>/</w:t>
      </w:r>
      <w:r w:rsidR="00AD39E2">
        <w:t>..</w:t>
      </w:r>
      <w:r>
        <w:t>.2010, fiind statuat astfel în mod defintiv și irevocabil că la data depunerii cererii de recalculare, respectiv la data emiterii deciziei atacate, reclamanta a fost îndreptățită la o pensie de asigurări sociale și nu la o pensie de serviciu.</w:t>
      </w:r>
    </w:p>
    <w:p w14:paraId="32853495" w14:textId="77777777" w:rsidR="00800833" w:rsidRDefault="00E3718A">
      <w:pPr>
        <w:ind w:firstLine="708"/>
        <w:jc w:val="both"/>
      </w:pPr>
      <w:r>
        <w:t>A mai fost invocat art. 107 alin. 1-3 și 5, art. 10 alin. 1 și 2, art. 7 alin. 2 din Legea nr. 263/2010, pct. 1 alin. 6 și 7 din Secțiunea I a Cap. a din Ordinul nr. 340/2001, art. 6 din HG nr. 257/2011, arătându-se că deciziile de pensionare emise conform Legii nr. 119/2010 au fost doar suspendate și nu anulate, fapt ce atrage după sine consecința reluării în plată în mod provizoriu a cuantumului pensiei reclamantei anterior datei de 01.09.2010, nu și transformarea pensiei în sensul Legii nr. 19/2000 din nou în pensie de serviciu, la data depunerii cererii de recalculare (februarie 2011) nemaiputându-se vorbi existența unei pensii de serviciu.</w:t>
      </w:r>
    </w:p>
    <w:p w14:paraId="3B3EF7BE" w14:textId="77777777" w:rsidR="00800833" w:rsidRDefault="00E3718A">
      <w:pPr>
        <w:ind w:firstLine="708"/>
        <w:jc w:val="both"/>
      </w:pPr>
      <w:r>
        <w:t>Pe de altă parte, la aceeași dată nu mai există temeiul legal de recalculare a unei „pensii de serviciu”, întrucât începând cu data de 01.01.2011, prevederile Legii nr. 567/2004, privitoare la pensiile de serviciu au fost abrogate, cererea de recalculare fiind astfel netemeinică și nelegală.</w:t>
      </w:r>
    </w:p>
    <w:p w14:paraId="79B31607" w14:textId="2EC1FE6B" w:rsidR="00800833" w:rsidRDefault="00E3718A">
      <w:pPr>
        <w:ind w:firstLine="708"/>
        <w:jc w:val="both"/>
      </w:pPr>
      <w:r>
        <w:t xml:space="preserve">Al doilea capăt de cerere al recurentei reclamante a fost construit pe ideea că cererea nr. </w:t>
      </w:r>
      <w:r w:rsidR="00AD39E2">
        <w:t>...</w:t>
      </w:r>
      <w:r>
        <w:t>/22.01.2011 ar fi în fapt o cerere de punere în executare a hotărârilor judecătorești prin care aceasta a câștigat retroactiv anumite drepturi salariale și că executarea acesteia presupune nu doar plata acestor drepturi de către intimată, ci și recalcularea pensiei, or această premisă este una eronată.</w:t>
      </w:r>
    </w:p>
    <w:p w14:paraId="6660FADC" w14:textId="5EC5238D" w:rsidR="00800833" w:rsidRDefault="00E3718A">
      <w:pPr>
        <w:ind w:firstLine="708"/>
        <w:jc w:val="both"/>
      </w:pPr>
      <w:r>
        <w:t xml:space="preserve">În sensul celor de mai sus, intimata a arătat că stabilirea pensiei de serviciu se face pe baza adeverinței eliberate de unitatea angajatoare, or, prin adeverința nr. </w:t>
      </w:r>
      <w:r w:rsidR="00AD39E2">
        <w:t>....</w:t>
      </w:r>
      <w:r>
        <w:t xml:space="preserve">/01.06.2005, eliberată de Parchetul de pe lângă Tribunalul </w:t>
      </w:r>
      <w:r w:rsidR="00303F43">
        <w:t>S</w:t>
      </w:r>
      <w:r>
        <w:t>, unitatea angajatoare trebuia să ateste baza de calcul reprezentată de venitul brut realizat în ultima lună de activitate înainte de data pensionării, această condiție nu a fost îndeplinită.</w:t>
      </w:r>
    </w:p>
    <w:p w14:paraId="3184AE8D" w14:textId="77777777" w:rsidR="00800833" w:rsidRDefault="00E3718A">
      <w:pPr>
        <w:ind w:firstLine="708"/>
        <w:jc w:val="both"/>
      </w:pPr>
      <w:r>
        <w:t>Atât timp cât unitatea angajatoare nu i-a recunoscut apelantei reclamante și nici nu i-a achitat toate sporurile la care era îndreptățită, aceasta a obținut o hotărâre judecătorească prin care unitatea angajatoare a fost obligată la recunoașterea și achitarea sporurilor.</w:t>
      </w:r>
    </w:p>
    <w:p w14:paraId="4A292EE3" w14:textId="6D1E58D7" w:rsidR="00800833" w:rsidRDefault="00E3718A">
      <w:pPr>
        <w:ind w:firstLine="708"/>
        <w:jc w:val="both"/>
      </w:pPr>
      <w:r>
        <w:t xml:space="preserve">Prin cererea nr. </w:t>
      </w:r>
      <w:r w:rsidR="00AD39E2">
        <w:t>...</w:t>
      </w:r>
      <w:r>
        <w:t xml:space="preserve">/22.02.2011, recurenta a solicitat intimatei recalcularea pensiei potrivit adeverințelor nr. </w:t>
      </w:r>
      <w:r w:rsidR="00303F43">
        <w:t>. ...</w:t>
      </w:r>
      <w:r>
        <w:t xml:space="preserve">/21.02.2011, eliberate de unitatea angajatoare, astfel nefiind vorba despre o cerere de punere în executare a hotărârii judecătorești, deoarece intimata nu a fost obligată prin </w:t>
      </w:r>
      <w:r>
        <w:lastRenderedPageBreak/>
        <w:t>hotărâre să întocmească vreun act juridic sau să urmeze o anumită conduită în ce o privește pe apelanta reclamantă.</w:t>
      </w:r>
    </w:p>
    <w:p w14:paraId="28F8A83D" w14:textId="77777777" w:rsidR="00800833" w:rsidRDefault="00E3718A">
      <w:pPr>
        <w:ind w:firstLine="708"/>
        <w:jc w:val="both"/>
      </w:pPr>
      <w:r>
        <w:t>Ideea promovată de apelantă, în sensul că drepturile de pensie ar fi drepturi derivate și accesorii drepturilor salariale și prin urmare, orice fapt sau act juridic întreprins în legătură cu drepturile salariale ar atrage automat și necondiționat o consecință juridică imediată în privința drepturilor la pensie este una eronată.</w:t>
      </w:r>
    </w:p>
    <w:p w14:paraId="665AE39B" w14:textId="24A1A381" w:rsidR="00800833" w:rsidRDefault="00E3718A">
      <w:pPr>
        <w:ind w:firstLine="708"/>
        <w:jc w:val="both"/>
      </w:pPr>
      <w:r>
        <w:t xml:space="preserve">O asemenea susținere a fost tratată de Curtea de Apel </w:t>
      </w:r>
      <w:r w:rsidR="00303F43">
        <w:t>X</w:t>
      </w:r>
      <w:r>
        <w:t xml:space="preserve"> prin decizia nr. 740/22.03. 2011 irevocabilă, din dosar nr. 4848/83/2010, apreciindu-se că drepturile salariale sunt distincte de drepturile de pensie, fiind vorba așadar de tratamente și regimuri juridice diferite.</w:t>
      </w:r>
    </w:p>
    <w:p w14:paraId="47DA9B08" w14:textId="185D8357" w:rsidR="00800833" w:rsidRDefault="00E3718A">
      <w:pPr>
        <w:ind w:firstLine="708"/>
        <w:jc w:val="both"/>
      </w:pPr>
      <w:r>
        <w:t xml:space="preserve">În continuare, au fost prezentate argumentele juridice în combaterea ideii conform căreia nu prevederile Legii nr. 263/2010 ar guverna soluționarea cererii nr. </w:t>
      </w:r>
      <w:r w:rsidR="00C94D72">
        <w:t>...</w:t>
      </w:r>
      <w:r>
        <w:t>/22.02.2011, ci dispozițiile art. 68 din Legea nr. 567/2004 (abrogate la data depunerii cererii în discuție), respectiv că prin decizia atacată s-ar fi încălcat principiul neretroactivității legii.</w:t>
      </w:r>
    </w:p>
    <w:p w14:paraId="287A6710" w14:textId="68DE9929" w:rsidR="00800833" w:rsidRDefault="00E3718A">
      <w:pPr>
        <w:ind w:firstLine="708"/>
        <w:jc w:val="both"/>
      </w:pPr>
      <w:r>
        <w:t xml:space="preserve">Pentru aceleași argumente învederate în întâmpinare la pct. 1.2.1, intimata consideră că soluționarea cererii nr. </w:t>
      </w:r>
      <w:r w:rsidR="00AD39E2">
        <w:t>...</w:t>
      </w:r>
      <w:r>
        <w:t>/22.02.2011 este guvernată de prevederile Legii nr. 263/2010 și nicidecum de dispozițiile art. 68 din Legea nr. 567/2004. Privitor la critica referitoare la încălcarea principiului neretroactivității cu ocazia emiterii deciziei atacate, arată că Legea nr. 263/2010 a fost edictată cu respectarea art. 15 alin. 2 din Constituție, iar prin art. 196 lit. a și f din Legea nr. 263/2010 fiind abrogate dispozițiile art. 68, art. 68</w:t>
      </w:r>
      <w:r>
        <w:rPr>
          <w:rStyle w:val="Fontdeparagrafimplicit1"/>
          <w:vertAlign w:val="superscript"/>
        </w:rPr>
        <w:t>1</w:t>
      </w:r>
      <w:r>
        <w:t xml:space="preserve"> alin. 2 și art. 68</w:t>
      </w:r>
      <w:r>
        <w:rPr>
          <w:rStyle w:val="Fontdeparagrafimplicit1"/>
          <w:vertAlign w:val="superscript"/>
        </w:rPr>
        <w:t>2</w:t>
      </w:r>
      <w:r>
        <w:t>-68</w:t>
      </w:r>
      <w:r>
        <w:rPr>
          <w:rStyle w:val="Fontdeparagrafimplicit1"/>
          <w:vertAlign w:val="superscript"/>
        </w:rPr>
        <w:t>4</w:t>
      </w:r>
      <w:r>
        <w:t xml:space="preserve"> din Legea nr. 567/2004.</w:t>
      </w:r>
    </w:p>
    <w:p w14:paraId="7AD08C87" w14:textId="77777777" w:rsidR="00800833" w:rsidRDefault="00E3718A">
      <w:pPr>
        <w:ind w:firstLine="708"/>
        <w:jc w:val="both"/>
      </w:pPr>
      <w:r>
        <w:t>Intimata a apreciat ca fiind relevantă Decizia nr. 458/02.12.2003 a Curții Constituționale, considerând neîntemeiate criticile formulate de către rceurentă.</w:t>
      </w:r>
    </w:p>
    <w:p w14:paraId="2DAC0E55" w14:textId="77777777" w:rsidR="00800833" w:rsidRDefault="00E3718A">
      <w:pPr>
        <w:ind w:firstLine="708"/>
        <w:jc w:val="both"/>
      </w:pPr>
      <w:r>
        <w:t>În ceea ce privește capătul de cerere vizând obligarea intimatei la emiterea unei noi decizii de stabilire și actualizare a pensiei de serviciu în baza adeverințelor nominale depuse la data de 22.02.2011, intimata solicită respingerea acestuia pentru cele mai sus menționate.</w:t>
      </w:r>
    </w:p>
    <w:p w14:paraId="3CAE8CF3" w14:textId="77777777" w:rsidR="00800833" w:rsidRDefault="00E3718A">
      <w:pPr>
        <w:ind w:firstLine="708"/>
        <w:jc w:val="both"/>
      </w:pPr>
      <w:r>
        <w:t>Cu privire la capătul de cerere prin care s-a solicitat obligarea intimatei la plata sumei de 100.000 lei, reprezentând daune morale pentru nepunerea în executare a hotărârilor judecătorești și  a adeverințelor din litigiu, solicită respingerea acestuia, deoarece nu sunt întrunite condițiile prevăzute la art. 998-999 Cod Civil.</w:t>
      </w:r>
    </w:p>
    <w:p w14:paraId="0F62175A" w14:textId="77777777" w:rsidR="00800833" w:rsidRDefault="00E3718A">
      <w:pPr>
        <w:ind w:firstLine="708"/>
        <w:jc w:val="both"/>
      </w:pPr>
      <w:r>
        <w:t>A apreciat intimata că nu sunt întrunite condițiile răspunderii civile delictuale prevăzute la art. 1169 Cod Civil, în continuare fiind demonstrată punctual imposibilitatea reținerii vreuneia dintre aceste condiții în prezentul litigiu.</w:t>
      </w:r>
    </w:p>
    <w:p w14:paraId="41269FB4" w14:textId="4E955DA1" w:rsidR="00800833" w:rsidRDefault="00E3718A">
      <w:pPr>
        <w:ind w:firstLine="708"/>
        <w:jc w:val="both"/>
      </w:pPr>
      <w:r>
        <w:t xml:space="preserve">Privitor la petitul final constând în tragerea la răspundere a funcționarilor publici, respectiv conducerea instituției pentru exces de putere a arătat intimata că în litigiu nu sunt incidente prevederile Legii nr. 554/2004, dar și faptul că emitenta deciziei și titulara calității procesuale pasive nu este „conducerea instituției” ci chiar Casa Județeană de Pensii </w:t>
      </w:r>
      <w:r w:rsidR="00303F43">
        <w:t>S</w:t>
      </w:r>
      <w:r>
        <w:t>, nefiind precizată nici natura răspunderii.</w:t>
      </w:r>
    </w:p>
    <w:p w14:paraId="01C9853A" w14:textId="77777777" w:rsidR="00800833" w:rsidRDefault="00E3718A">
      <w:pPr>
        <w:ind w:firstLine="708"/>
        <w:jc w:val="both"/>
      </w:pPr>
      <w:r>
        <w:t>Nu se poate discuta, în opinia intimatei despre exces de putere, cu atât mai mult cu cât legea conferă actului administrativ prezumția de legalitate.</w:t>
      </w:r>
    </w:p>
    <w:p w14:paraId="2B08A477" w14:textId="77777777" w:rsidR="00800833" w:rsidRDefault="00E3718A">
      <w:pPr>
        <w:ind w:firstLine="709"/>
        <w:jc w:val="both"/>
        <w:rPr>
          <w:rStyle w:val="Fontdeparagrafimplicit1"/>
        </w:rPr>
      </w:pPr>
      <w:r>
        <w:rPr>
          <w:rStyle w:val="Fontdeparagrafimplicit1"/>
          <w:b/>
        </w:rPr>
        <w:t>Instanţa de recurs, analizând recursul declarat prin prisma motivelor invocate, a dispoziţiilor legale incidente şi a actelor şi lucrărilor dosarului, constată următoarele:</w:t>
      </w:r>
    </w:p>
    <w:p w14:paraId="059A2B06" w14:textId="77777777" w:rsidR="00800833" w:rsidRDefault="00E3718A">
      <w:pPr>
        <w:ind w:right="41" w:firstLine="708"/>
        <w:jc w:val="both"/>
      </w:pPr>
      <w:r>
        <w:t>Criticile aduse de către recurentă sentinței instanței de fond sunt în întregime nefondate.</w:t>
      </w:r>
    </w:p>
    <w:p w14:paraId="06713BBB" w14:textId="77777777" w:rsidR="00800833" w:rsidRDefault="00E3718A">
      <w:pPr>
        <w:ind w:right="41" w:firstLine="708"/>
        <w:jc w:val="both"/>
      </w:pPr>
      <w:r>
        <w:t>Referitor la critica vizând nemotivarea de către instanța de fond a hotărârii recurate, Curtea reține că acesta nu poate să fie primită.</w:t>
      </w:r>
    </w:p>
    <w:p w14:paraId="410D3167" w14:textId="08235C24" w:rsidR="00800833" w:rsidRDefault="00E3718A">
      <w:pPr>
        <w:ind w:right="41" w:firstLine="708"/>
        <w:jc w:val="both"/>
      </w:pPr>
      <w:r>
        <w:t xml:space="preserve">Astfel, din analiza considerentelor sentinței atacate, Curtea constată că Tribunalul s-a raportat la dispozițiile legale incidente în speță, respectiv cele ale Legii nr. 119/2010, ale </w:t>
      </w:r>
      <w:r w:rsidR="00AD39E2">
        <w:t>HG nr. 737/2010</w:t>
      </w:r>
      <w:r>
        <w:t xml:space="preserve">, ale Legii nr. 19/2000, precum și la cele ale Legii nr. 567/2004, modificată prin OG nr. 100/2007 și la cele ale Legii nr. 263/2010, argumentându-și corect, atât din punct de vedere logic, cât și din punct de vedere juridic poziția față de acestea, instanța de fond arătând în mod concret efectele succesiunii acestor acte normative asupra drepturilor de pensie ale recurentei și care sunt motivele pentru care pretențiile formulate de către aceasta în cadrul prezentului dosar sunt neîntemeiate. </w:t>
      </w:r>
    </w:p>
    <w:p w14:paraId="322D064C" w14:textId="77777777" w:rsidR="00800833" w:rsidRDefault="00E3718A">
      <w:pPr>
        <w:ind w:right="41" w:firstLine="708"/>
        <w:jc w:val="both"/>
      </w:pPr>
      <w:r>
        <w:lastRenderedPageBreak/>
        <w:t>Faptul că motivarea nu este deosebit de amplă, astfel cum opinează recurenta, nu este de natură a atrage nelegalitatea hotărârii, în condițiile în care instanța a analizat și a răspuns argumentelor cu rol esențial pentru dezlegarea problemei de fapt și de drept dedusă judecății, arătând și raționamentul care a condus la pronunțarea soluției asupra căreia s-a oprit.</w:t>
      </w:r>
    </w:p>
    <w:p w14:paraId="04576F33" w14:textId="77777777" w:rsidR="00800833" w:rsidRDefault="00E3718A">
      <w:pPr>
        <w:pStyle w:val="moze-justify"/>
        <w:shd w:val="clear" w:color="auto" w:fill="FFFFFF"/>
        <w:spacing w:before="0" w:beforeAutospacing="0" w:after="0" w:afterAutospacing="0"/>
        <w:ind w:firstLine="708"/>
        <w:jc w:val="both"/>
      </w:pPr>
      <w:r>
        <w:t>În acest sens s-a pronunțat, de altfel, Înalta Curte de Casație și Justiție, care, în jurisprudența sa, a reținut că obligaţia de motivare a unei hotărâri trebuie înţeleasă ca un silogism logic, de natură a explica inteligibil hotărârea luată, ceea ce nu înseamnă un răspuns exhaustiv la toate argumentele aduse de parte, dar nici ignorarea lor, ci o expunere a argumentelor fundamentale, care, prin conținutul lor sunt susceptibile să influenţeze soluţia (Decizia nr. 1954 din 30 mai 2014 pronunţată în recurs de Secţia a II-a civilă a Înaltei Curți de Casație și Justiție), respectiv că motivarea unei hotărâri nu este o problemă de volum, ci una de esenţă, de conţinut, aceasta trebuind să fie clară, concisă şi concretă, în concordanţă cu probele şi actele de la dosar (</w:t>
      </w:r>
      <w:hyperlink r:id="rId7" w:tgtFrame="_blank" w:tooltip="hotarari judecatoresti" w:history="1">
        <w:r w:rsidR="00800833">
          <w:rPr>
            <w:rStyle w:val="Hyperlink"/>
            <w:color w:val="auto"/>
          </w:rPr>
          <w:t>Decizia nr. 3338 din 11 aprilie 2011 pronuntată în recurs de Secția civilă și de proprietate intelectuală a Înaltei Curți de Casație si Justiție</w:t>
        </w:r>
      </w:hyperlink>
      <w:r>
        <w:t>).</w:t>
      </w:r>
    </w:p>
    <w:p w14:paraId="2951A5FC" w14:textId="77777777" w:rsidR="00800833" w:rsidRDefault="00E3718A">
      <w:pPr>
        <w:pStyle w:val="moze-justify"/>
        <w:shd w:val="clear" w:color="auto" w:fill="FFFFFF"/>
        <w:spacing w:before="0" w:beforeAutospacing="0" w:after="0" w:afterAutospacing="0"/>
        <w:ind w:firstLine="708"/>
        <w:jc w:val="both"/>
      </w:pPr>
      <w:r>
        <w:t>Aceeași este și opinia Curții Europene a Drepturilor Omului, care a statuat în sensul că obligația pe care o impune art. 6 paragraful 1 instanțelor naționale de a-și motiva deciziile nu presupune existența vreunui răspuns detaliat la fiecare argument (hotărârile pronunțate în cauzele Perez contra Franței, Van Der Hurk contra Țărilor de Jos, Ruiz Torija contra Spaniei).</w:t>
      </w:r>
    </w:p>
    <w:p w14:paraId="3C597FB3" w14:textId="77777777" w:rsidR="00800833" w:rsidRDefault="00E3718A">
      <w:pPr>
        <w:pStyle w:val="moze-justify"/>
        <w:shd w:val="clear" w:color="auto" w:fill="FFFFFF"/>
        <w:spacing w:before="0" w:beforeAutospacing="0" w:after="0" w:afterAutospacing="0"/>
        <w:ind w:firstLine="708"/>
        <w:jc w:val="both"/>
      </w:pPr>
      <w:r>
        <w:t>Conform jurisprudenței Curții, noțiunea de proces echitabil presupune ca o instanță internă care nu și-a motivat decât pe scurt hotărârea să fi examinat totuși în mod real problemele esențiale care i-au fost supuse (hotărârea Helle împotriva Finlandei).</w:t>
      </w:r>
    </w:p>
    <w:p w14:paraId="5084D6FC" w14:textId="77777777" w:rsidR="00800833" w:rsidRDefault="00E3718A">
      <w:pPr>
        <w:pStyle w:val="moze-justify"/>
        <w:shd w:val="clear" w:color="auto" w:fill="FFFFFF"/>
        <w:spacing w:before="0" w:beforeAutospacing="0" w:after="0" w:afterAutospacing="0"/>
        <w:ind w:firstLine="708"/>
        <w:jc w:val="both"/>
      </w:pPr>
      <w:r>
        <w:t>Prin urmare, cât timp cât instanța de fond a analizat susținerile părților, prin prisma dispozițiilor legale incidente în cauză, expunând motivele pentru care a considerat că cererea recurentei nu este întemeiată, Curtea constată că sentința recurată întrunește exigențele de motivare impuse de art. 261 Cod procedură civilă, susținerile recurentei în sens contrar neputând să fie primite.</w:t>
      </w:r>
    </w:p>
    <w:p w14:paraId="13385D0A" w14:textId="4ECA33C0" w:rsidR="00800833" w:rsidRDefault="00E3718A">
      <w:pPr>
        <w:ind w:firstLine="708"/>
        <w:jc w:val="both"/>
      </w:pPr>
      <w:r>
        <w:t xml:space="preserve">În ceea ce privește argumentul recurentei în sensul că instanța de fond nu s-ar fi pronunțat asupra nici unui capăt al acțiunii sale, Curtea constată că nici acesta nu poate să fie primit, în condițiile în care, astfel cum s-a arătat deja, sentința recurată este corespunzător motivată cu privire la petitele principale, vizând obligarea intimatei la emiterea deciziilor de stabilire și actualizare a pensiei de serviciu în baza adeverințelor nominale depuse la data de 22.02.2011, emise de Parchetul de pe lângă Tribunalul </w:t>
      </w:r>
      <w:r w:rsidR="00303F43">
        <w:t>S</w:t>
      </w:r>
      <w:r>
        <w:t>, Tribunalul reținând, totodată, în considerentele sentinței, motivele pentru care au fost respinse și celelalte pretenții ale recurentei, respectiv faptul că, întrucât instanța a respins cererea principală ca nefondată, au fost respinse, ca atare și cererile subsecvente vizând daunele morale și tragerea la răspundere a unor funcționari.</w:t>
      </w:r>
    </w:p>
    <w:p w14:paraId="7455F3CA" w14:textId="77777777" w:rsidR="00800833" w:rsidRDefault="00E3718A">
      <w:pPr>
        <w:ind w:firstLine="708"/>
        <w:jc w:val="both"/>
      </w:pPr>
      <w:r>
        <w:t>Nu este întemeiat nici motivul de recurs potrivit căruia hotărârea instanței de fond ar fi fost dată cu încălcarea și aplicarea greșită a legii, pentru considerentele care urmează.</w:t>
      </w:r>
    </w:p>
    <w:p w14:paraId="20767E33" w14:textId="77777777" w:rsidR="00800833" w:rsidRDefault="00E3718A">
      <w:pPr>
        <w:ind w:firstLine="708"/>
        <w:jc w:val="both"/>
      </w:pPr>
      <w:r>
        <w:t>Curtea reține că recurentei contestatoare i-a fost stabilit dreptul la pensie de serviciu în virtutea calității sale de personal auxiliar de specialitate al instanţelor judecătoreşti și al parchetelor de pe lângă acesta, începând cu data de 01.06.2005, în baza Legii nr. 567/2004.</w:t>
      </w:r>
    </w:p>
    <w:p w14:paraId="7CD44111" w14:textId="26942EAD" w:rsidR="00800833" w:rsidRDefault="00E3718A">
      <w:pPr>
        <w:ind w:firstLine="708"/>
        <w:jc w:val="both"/>
      </w:pPr>
      <w:r>
        <w:t xml:space="preserve">Ulterior, pensia contestatoarei a fost recalculată în baza Legii nr. 119/2010 şi HG </w:t>
      </w:r>
      <w:r w:rsidR="00303F43">
        <w:t>nr. ...</w:t>
      </w:r>
      <w:r>
        <w:t xml:space="preserve">/1010. Astfel, în conformitate cu dispoziţiile art. 2 alin. 3 şi art. 3 din Legea nr. 119/2010, pensia de serviciu a acesteia a devenit pensie în înțelesul Legii nr. 19/2000, în vigoare la acea dată, fiind recalculată prin determinarea punctajului mediu anual şi a cuantumului, conform dispozițiilor Legii nr. 19/2000. </w:t>
      </w:r>
    </w:p>
    <w:p w14:paraId="75D12182" w14:textId="275C12A5" w:rsidR="00800833" w:rsidRDefault="00E3718A">
      <w:pPr>
        <w:jc w:val="both"/>
      </w:pPr>
      <w:r>
        <w:tab/>
        <w:t xml:space="preserve">La data de 18.07.2011 a fost emisă decizia contestată cu nr. </w:t>
      </w:r>
      <w:r w:rsidR="00AD39E2">
        <w:t>...</w:t>
      </w:r>
      <w:r>
        <w:t xml:space="preserve"> de revizuire a pensiei reclamantei, începând cu data de 01.08.2011, în conformitate cu prevederile OUG nr. 59/2011. </w:t>
      </w:r>
    </w:p>
    <w:p w14:paraId="72FF6DA3" w14:textId="77777777" w:rsidR="00800833" w:rsidRDefault="00E3718A">
      <w:pPr>
        <w:ind w:firstLine="708"/>
        <w:jc w:val="both"/>
      </w:pPr>
      <w:r>
        <w:t xml:space="preserve">Potrivit dispozițiilor art. 1 din OUG nr. 59/2011, pensiile prevăzute la </w:t>
      </w:r>
      <w:r>
        <w:rPr>
          <w:rStyle w:val="Fontdeparagrafimplicit1"/>
          <w:vanish/>
        </w:rPr>
        <w:t>&lt;LLNK 12010   119 10 202   1 40&gt;</w:t>
      </w:r>
      <w:r>
        <w:t>art. 1 lit. c-h din Legea nr. 119/2010 privind stabilirea unor măsuri în domeniul pensiilor, care au făcut obiectul recalculării conform prevederilor aceleiași legi, se revizuiesc, din oficiu, de către casele teritoriale de pensii în evidenţa cărora se află dosarele de pensie, prin emiterea unor decizii de revizuire, în termen de 30 de zile de la data intrării în vigoare a acestei ordonanţe de urgenţă.</w:t>
      </w:r>
    </w:p>
    <w:p w14:paraId="4C1DF855" w14:textId="77777777" w:rsidR="00800833" w:rsidRDefault="00E3718A">
      <w:pPr>
        <w:ind w:firstLine="708"/>
        <w:jc w:val="both"/>
      </w:pPr>
      <w:r>
        <w:lastRenderedPageBreak/>
        <w:t xml:space="preserve">În temeiul </w:t>
      </w:r>
      <w:r>
        <w:rPr>
          <w:rStyle w:val="Fontdeparagrafimplicit1"/>
          <w:vanish/>
        </w:rPr>
        <w:t>&lt;LLNK 12010   119 10 201   0 18&gt;</w:t>
      </w:r>
      <w:r>
        <w:t>Legii nr. 119/2010 s-a dispus recalcularea tuturor pensiilor speciale prin determinarea punctajului mediu anual şi a cuantumului fiecărei pensii, utilizându-se algoritmul de calcul prevăzut de legislaţia în domeniul asigurărilor sociale, în scopul asigurării egalităţii de tratament pentru toţi beneficiarii sistemului public de pensii.</w:t>
      </w:r>
    </w:p>
    <w:p w14:paraId="34CCA0EF" w14:textId="77777777" w:rsidR="00800833" w:rsidRDefault="00E3718A">
      <w:pPr>
        <w:ind w:firstLine="708"/>
        <w:jc w:val="both"/>
      </w:pPr>
      <w:r>
        <w:t>S-a apreciat, însă, de către legiuitor (aşa cum rezultă din preambulul OUG nr. 59/2011) că se impune instituirea unei etape de revizuire a cuantumului pensiilor, cu respectarea principiului contributivităţii şi egalităţii, scopul fiind acela de a se stabili în mod just şi echitabil drepturile de pensie pe care persoanele vizate de această ordonanță de urgență sunt îndreptățite să le primească, astfel încât acestea să aibă posibilitatea să identifice şi să depună la casele teritoriale de pensii toate documentele doveditoare ale veniturilor realizate pe parcursul întregii activități profesionale.</w:t>
      </w:r>
    </w:p>
    <w:p w14:paraId="2946B250" w14:textId="77777777" w:rsidR="00800833" w:rsidRDefault="00E3718A">
      <w:pPr>
        <w:ind w:firstLine="708"/>
        <w:jc w:val="both"/>
      </w:pPr>
      <w:r>
        <w:t>Așadar, prin decizia contestată, intimata a procedat în mod legal la revizuirea cuantumului pensiei în temeiul OUG nr. 59/2011, raportat la prevederile Legii nr. 119/2010.</w:t>
      </w:r>
    </w:p>
    <w:p w14:paraId="18337777" w14:textId="77777777" w:rsidR="00800833" w:rsidRDefault="00E3718A">
      <w:pPr>
        <w:ind w:firstLine="708"/>
        <w:jc w:val="both"/>
      </w:pPr>
      <w:r>
        <w:t>Curtea constată că este nefondată critica recurentei privind încălcarea principiului neretroactivității, prevăzut în art. 15 alin. 2 din Constituție, întrucât reforma sistemului de pensii nu a avut un efect retroactiv şi nu a adus atingere drepturilor la prestații sociale dobândite în temeiul contribuțiilor la bugetul asigurărilor sociale achitate în timpul anilor de serviciu.</w:t>
      </w:r>
    </w:p>
    <w:p w14:paraId="097ABFE3" w14:textId="77777777" w:rsidR="00800833" w:rsidRDefault="00E3718A">
      <w:pPr>
        <w:ind w:firstLine="708"/>
        <w:jc w:val="both"/>
      </w:pPr>
      <w:r>
        <w:t xml:space="preserve">Legea privind instituirea unor măsuri în domeniul pensiilor a făcut obiectul controlului de constituționalitate, Curtea Constituțională pronunțând deciziile nr. 871/25.06.2010 și nr. 873/25.06.2010, publicate în Monitorul Oficial nr. 433/28.06.2010. </w:t>
      </w:r>
    </w:p>
    <w:p w14:paraId="45202F05" w14:textId="77777777" w:rsidR="00800833" w:rsidRDefault="00E3718A">
      <w:pPr>
        <w:ind w:firstLine="708"/>
        <w:jc w:val="both"/>
      </w:pPr>
      <w:r>
        <w:t>Prin Decizia nr. 871/2010, Curtea Constituțională a statuat faptul că prevederile art. 1-5 și 12 din Legea nr. 119/2010 sunt constituționale, în raport cu dispozițiile constituționale ale art. 15 alin. 2 -neretroactivitatea legii, art. 16 – egalitatea în drepturi, art. 44 privind dreptul de proprietate privată, art. 47 referitor la nivelul de trai și dreptul la pensie, art. 53 – restrângerea exercițiului unor drepturi, art. 135 alin. 2 lit. f) privind obligația statului de a asigura crearea condițiilor necesare pentru creșterea calității vieții.</w:t>
      </w:r>
    </w:p>
    <w:p w14:paraId="7EB8BE8F" w14:textId="77777777" w:rsidR="00800833" w:rsidRDefault="00E3718A">
      <w:pPr>
        <w:ind w:firstLine="708"/>
        <w:jc w:val="both"/>
      </w:pPr>
      <w:r>
        <w:t>De asemenea, prin Decizia nr. 873/25.06.2010 s-a constatat constituționalitatea dispozițiilor art. 1 lit. a), b), d) – i) și art. 2-12 din Legea nr. 119/2010, fiind analizată din nou legea criticată pe temeiul neretroactivității, dar și în baza art. 20 din Constituție raportat la art. 1 din Protocolul nr. 1 adițional CEDO (dreptul la respectarea „bunurilor”) și art. 53 (restrângerea exercițiului unor drepturi), critici care au fost înlăturate.</w:t>
      </w:r>
    </w:p>
    <w:p w14:paraId="10737BCC" w14:textId="77777777" w:rsidR="00800833" w:rsidRDefault="00E3718A">
      <w:pPr>
        <w:ind w:firstLine="708"/>
        <w:jc w:val="both"/>
      </w:pPr>
      <w:r>
        <w:t>Curtea Constituţională a reţinut, în Decizia nr. 871/2010 că, „având în vedere condiţionarea posibilităţii statului de a acorda pensiile speciale de elemente variabile, aşa cum sunt resursele financiare de care dispune, faptul că acestor prestaţii ale statului nu li se opune contribuţia asiguratului la fondul din care se acordă aceste drepturi, precum şi caracterul succesiv al acestor prestaţii, dobândirea dreptului la pensie specială nu poate fi considerată ca instituind o obligaţie ad aeternum a statului de a acorda acest drept, singurul drept câştigat reprezentând doar prestaţiile deja realizate până la intrarea în vigoare a noii reglementări şi asupra cărora legiuitorul nu ar putea interveni decât prin încălcarea dispoziţiilor art. 15 alin. 2 din Constituţie.”</w:t>
      </w:r>
    </w:p>
    <w:p w14:paraId="396100B9" w14:textId="77777777" w:rsidR="00800833" w:rsidRDefault="00E3718A">
      <w:pPr>
        <w:ind w:firstLine="708"/>
        <w:jc w:val="both"/>
      </w:pPr>
      <w:r>
        <w:t>S-a mai arătat că, „conformându-se dispozițiilor art. 15 alin. 2 din Constituție, textele de lege criticate afectează pensiile speciale doar pe viitor, și numai în ceea ce privește cuantumul acestora. Celelalte condiții privind acordarea acestora, respectiv stagiul efectiv de activitate în acea profesie și vârsta eligibilă nu sunt afectate de noile reglementări. De asemenea, Legea privind instituirea unor măsuri în domeniul pensiilor nu se răsfrânge asupra prestațiilor deja obținute anterior intrării sale în vigoare, care constituie facta praeterita.”</w:t>
      </w:r>
    </w:p>
    <w:p w14:paraId="59659B36" w14:textId="77777777" w:rsidR="00800833" w:rsidRDefault="00E3718A">
      <w:pPr>
        <w:ind w:firstLine="708"/>
        <w:jc w:val="both"/>
      </w:pPr>
      <w:r>
        <w:rPr>
          <w:rStyle w:val="Fontdeparagrafimplicit1"/>
          <w:shd w:val="clear" w:color="auto" w:fill="FFFFFF"/>
        </w:rPr>
        <w:t>Referitor la critica recurentei privind încălcarea dreptului său de proprietate, instanţa de recurs constată că dreptul la pensie intră sub protecția art. 1 din Protocolul nr. 1 adiţional la Convenţie, ca drept de a primi o prestație socială. C</w:t>
      </w:r>
      <w:r>
        <w:t>urtea Europeană a reținut însă, în Cauza Kjartan Asmundsson contra Islandei, următoarele: „totuși, chiar dacă art. 1 din Protocolul adițional garantează persoanelor dreptul la beneficiile rezultate din plata contribuțiilor la anumite fonduri de securitate socială, acest lucru nu poate fi interpretat ca acordând persoanei o pensie într-un anumit cuantum”.</w:t>
      </w:r>
    </w:p>
    <w:p w14:paraId="2A0056F0" w14:textId="77777777" w:rsidR="00800833" w:rsidRDefault="00E3718A">
      <w:pPr>
        <w:shd w:val="clear" w:color="auto" w:fill="FFFFFF"/>
        <w:ind w:firstLine="708"/>
        <w:jc w:val="both"/>
      </w:pPr>
      <w:r>
        <w:lastRenderedPageBreak/>
        <w:t xml:space="preserve">Totodată, în Cauza Keckho contra Ucrainei din 8 noiembrie 2005, Curtea Europeană a considerat că este la libera apreciere a statului să stabilească ce beneficii sunt plătite persoanelor din bugetul de stat. Statul poate introduce, suspenda sau înceta plata acestor beneficii, prin modificări corespunzătoare ale legislației. </w:t>
      </w:r>
    </w:p>
    <w:p w14:paraId="6A13F360" w14:textId="77777777" w:rsidR="00800833" w:rsidRDefault="00E3718A">
      <w:pPr>
        <w:shd w:val="clear" w:color="auto" w:fill="FFFFFF"/>
        <w:ind w:firstLine="708"/>
        <w:jc w:val="both"/>
      </w:pPr>
      <w:r>
        <w:t>Instanţa de recurs constată că prin Legea nr. 119/2010 și, respectiv O.U.G. nr. 1/2011 nu s-a suprimat dreptul la pensie al reclamantei, prin Legea nr. 119/2010 pensiile de serviciu au devenit pensii în înțelesul Legii nr. 19/2000 iar reclamanta, care anterior beneficia de o pensie de serviciu, a devenit titulara unei pensii de asigurări sociale de stat, cu consecința diminuării cuantumului pensiei; prin urmare Legea nr. 119/2010 reprezintă o „ingerință” din perspectiva respectării dreptului de proprietate al reclamantei, în raport cu art. 1 din Protocolul nr. 1 adițional la Convenție.</w:t>
      </w:r>
    </w:p>
    <w:p w14:paraId="1A6CA0F0" w14:textId="77777777" w:rsidR="00800833" w:rsidRDefault="00E3718A">
      <w:pPr>
        <w:shd w:val="clear" w:color="auto" w:fill="FFFFFF"/>
        <w:ind w:firstLine="708"/>
        <w:jc w:val="both"/>
      </w:pPr>
      <w:r>
        <w:t>Pentru ca ingerința să nu determine încălcarea art. 1 din Protocolul nr. 1 CEDO, ea trebuie să fie legală, să urmărească un scop legitim și să existe un raport de proporționalitate între scopul urmărit și mijloacele sale de realizare.</w:t>
      </w:r>
    </w:p>
    <w:p w14:paraId="5466E2B7" w14:textId="77777777" w:rsidR="00800833" w:rsidRDefault="00E3718A">
      <w:pPr>
        <w:shd w:val="clear" w:color="auto" w:fill="FFFFFF"/>
        <w:ind w:firstLine="708"/>
        <w:jc w:val="both"/>
        <w:rPr>
          <w:rStyle w:val="Fontdeparagrafimplicit1"/>
          <w:shd w:val="clear" w:color="auto" w:fill="FFFFFF"/>
        </w:rPr>
      </w:pPr>
      <w:r>
        <w:t xml:space="preserve">Fiind prevăzută de Legea nr. 119/2010, transformarea pensiilor de serviciu în pensii de asigurări sociale de stat are caracter legal. Din expunerea de motive ce a stat la baza legii, rezultă că motivele care au determinat adoptarea Legii nr. 119/2010 sunt: evoluția crizei economice; diminuarea dezechilibrelor bugetare existente și menținerea deficitului bugetar în limite sustenabile; eliminarea discrepanțelor privind contribuția la bugetul asigurărilor sociale și inegalitățile de alocare a resurselor pentru finanțarea pensiilor publice, </w:t>
      </w:r>
      <w:r>
        <w:rPr>
          <w:rStyle w:val="Fontdeparagrafimplicit1"/>
          <w:shd w:val="clear" w:color="auto" w:fill="FFFFFF"/>
        </w:rPr>
        <w:t>ingerința urmărind aşadar un scop legitim.</w:t>
      </w:r>
    </w:p>
    <w:p w14:paraId="0A1463EB" w14:textId="77777777" w:rsidR="00800833" w:rsidRDefault="00E3718A">
      <w:pPr>
        <w:shd w:val="clear" w:color="auto" w:fill="FFFFFF"/>
        <w:ind w:firstLine="708"/>
        <w:jc w:val="both"/>
        <w:rPr>
          <w:rStyle w:val="Fontdeparagrafimplicit1"/>
          <w:shd w:val="clear" w:color="auto" w:fill="FFFFFF"/>
        </w:rPr>
      </w:pPr>
      <w:r>
        <w:t>Măsura recalculării/revizuirii pensiei şi reducerii acesteia prin înlăturarea diferenţei suportată din bugetul de stat nu poate fi apreciată de o gravitate care să-i afecteze substanţa, în condiţiile în care este superioară pensiei medii lunare din sistemul de asigurări sociale de stat.</w:t>
      </w:r>
    </w:p>
    <w:p w14:paraId="4B49F541" w14:textId="77777777" w:rsidR="00800833" w:rsidRDefault="00E3718A">
      <w:pPr>
        <w:ind w:firstLine="708"/>
        <w:jc w:val="both"/>
      </w:pPr>
      <w:r>
        <w:t xml:space="preserve">În consecinţă, reducerea cuantumului pensiei recurentei este prevăzută de lege, are un scop legitim, respectiv reechilibrarea sistemului de pensii și există raport de proporționalitate între scopul urmărit și mijloacele sale de realizare. </w:t>
      </w:r>
    </w:p>
    <w:p w14:paraId="6F529202" w14:textId="77777777" w:rsidR="00800833" w:rsidRDefault="00E3718A">
      <w:pPr>
        <w:shd w:val="clear" w:color="auto" w:fill="FFFFFF"/>
        <w:ind w:firstLine="708"/>
        <w:jc w:val="both"/>
      </w:pPr>
      <w:r>
        <w:t>Mai mult, prin Decizia de inadmisibilitate din 7 februarie 2012 dată în cauzele conexate Ana Maria Frimu, Judita Vilma, Edita Tanko, Marta Molnar și Lucia Ghețiu împotriva României, relevantă și în cauza dedusă judecății datorită similitudinii situației analizate, Curtea Europeană a Drepturilor Omului a stabilit că, deși articolul 1 din Protocolul nr. 1 adițional la Convenție garantează plata prestațiilor sociale pentru persoanele care au achitat contribuții la bugetul asigurărilor sociale, acest lucru nu poate fi interpretat ca oferind dreptul la acordarea unei pensii într-un cuantum determinat. Statele părți la Convenție dispun de o marjă largă de apreciere pentru reglementarea politicii lor sociale. Curtea a reamintit că, dată fiind cunoașterea directă a propriei societăți și a nevoilor sale, autoritățile naționale sunt, în principiu, cel mai bine plasate pentru a alege mijloacele cele mai adecvate în atingerea scopului stabilirii unui echilibru între cheltuielile și veniturile publice.</w:t>
      </w:r>
    </w:p>
    <w:p w14:paraId="4DB836EF" w14:textId="77777777" w:rsidR="00800833" w:rsidRDefault="00E3718A">
      <w:pPr>
        <w:shd w:val="clear" w:color="auto" w:fill="FFFFFF"/>
        <w:ind w:firstLine="708"/>
        <w:jc w:val="both"/>
      </w:pPr>
      <w:r>
        <w:t>Curtea europeană a subliniat că reforma sistemelor de pensii a fost fundamentată pe motivele obiective invocate la adoptarea Legii nr. 119/2010 și anume contextul economic actual și corectarea inegalităților existente între diferitele sisteme de pensii. De asemenea, pensia datorată reclamantei, în baza contribuțiilor la bugetul asigurărilor sociale, plătite de acestea în cursul anilor de serviciu, nu a fost în niciun fel afectată de reformă și acestea au pierdut doar suplimentul la pensie, care era acoperit integral de la bugetul de stat și care reprezenta un avantaj de care au beneficiat în calitate de personal auxiliar al instanțelor.</w:t>
      </w:r>
    </w:p>
    <w:p w14:paraId="2F20515B" w14:textId="77777777" w:rsidR="00800833" w:rsidRDefault="00E3718A">
      <w:pPr>
        <w:shd w:val="clear" w:color="auto" w:fill="FFFFFF"/>
        <w:ind w:firstLine="708"/>
        <w:jc w:val="both"/>
      </w:pPr>
      <w:r>
        <w:t>În această privință, CEDO a considerat că reducerea pensiilor reclamantelor, deși substanțială, constituia o modalitate de a integra aceste pensii în regimul general al pensiilor, prevăzut de Legea nr. 19/2000, pentru a echilibra bugetul și a corecta diferențele existente între sistemele de pensie. Ca și Curtea Constituțională, Curtea Europeană a Drepturilor Omului a constatat că aceste motive nu pot fi considerate drept nerezonabile sau disproporționate. De asemenea, Curtea a reținut că reforma sistemului de pensii nu a avut un efect retroactiv și nu a adus atingere drepturilor la prestații sociale, dobândite în temeiul contribuțiilor la bugetul asigurărilor sociale, achitate în timpul anilor de serviciu.</w:t>
      </w:r>
    </w:p>
    <w:p w14:paraId="05DDE46F" w14:textId="77777777" w:rsidR="00800833" w:rsidRDefault="00E3718A">
      <w:pPr>
        <w:shd w:val="clear" w:color="auto" w:fill="FFFFFF"/>
        <w:ind w:firstLine="708"/>
        <w:jc w:val="both"/>
      </w:pPr>
      <w:r>
        <w:lastRenderedPageBreak/>
        <w:t xml:space="preserve">Raportat la cele de mai sus, Curtea reține că nu se poate vorbi de o aplicare retroactivă a legii, de o încălcare a art. 1 din Protocolul nr. 1 al Convenţiei Europene a Drepturilor Omului și nu există neconcordanţe între legislaţia internă şi cea comunitară, pentru ca instanţa să facă aplicarea directă a acesteia şi să înlăture legislaţia internă. </w:t>
      </w:r>
    </w:p>
    <w:p w14:paraId="2C9117AB" w14:textId="77777777" w:rsidR="00800833" w:rsidRDefault="00E3718A">
      <w:pPr>
        <w:ind w:firstLine="708"/>
        <w:jc w:val="both"/>
      </w:pPr>
      <w:r>
        <w:t xml:space="preserve"> În consecinţă, în baza art. 312 alin. 1 Cod procedură civilă, va fi respins ca nefondat recursul declarat, constatându-se că nu s-au solicitat cheltuieli de judecată în recurs.</w:t>
      </w:r>
    </w:p>
    <w:p w14:paraId="5545CE71" w14:textId="77777777" w:rsidR="00800833" w:rsidRDefault="00800833">
      <w:pPr>
        <w:ind w:firstLine="708"/>
        <w:jc w:val="both"/>
      </w:pPr>
    </w:p>
    <w:p w14:paraId="720D9E4A" w14:textId="77777777" w:rsidR="00800833" w:rsidRDefault="00800833">
      <w:pPr>
        <w:ind w:firstLine="567"/>
        <w:jc w:val="both"/>
        <w:rPr>
          <w:rStyle w:val="Fontdeparagrafimplicit1"/>
          <w:b/>
        </w:rPr>
      </w:pPr>
    </w:p>
    <w:p w14:paraId="0F7E638A" w14:textId="77777777" w:rsidR="00800833" w:rsidRDefault="00800833">
      <w:pPr>
        <w:jc w:val="both"/>
        <w:rPr>
          <w:rStyle w:val="Fontdeparagrafimplicit1"/>
          <w:b/>
        </w:rPr>
      </w:pPr>
    </w:p>
    <w:p w14:paraId="7EBD52E9" w14:textId="77777777" w:rsidR="00800833" w:rsidRDefault="00E3718A">
      <w:pPr>
        <w:ind w:firstLine="567"/>
        <w:jc w:val="center"/>
        <w:rPr>
          <w:rStyle w:val="Fontdeparagrafimplicit1"/>
          <w:b/>
        </w:rPr>
      </w:pPr>
      <w:r>
        <w:rPr>
          <w:rStyle w:val="Fontdeparagrafimplicit1"/>
          <w:b/>
        </w:rPr>
        <w:t>PENTRU ACESTE MOTIVE</w:t>
      </w:r>
    </w:p>
    <w:p w14:paraId="4022B42C" w14:textId="77777777" w:rsidR="00800833" w:rsidRDefault="00E3718A">
      <w:pPr>
        <w:ind w:firstLine="567"/>
        <w:jc w:val="center"/>
        <w:rPr>
          <w:rStyle w:val="Fontdeparagrafimplicit1"/>
          <w:b/>
        </w:rPr>
      </w:pPr>
      <w:r>
        <w:rPr>
          <w:rStyle w:val="Fontdeparagrafimplicit1"/>
          <w:b/>
        </w:rPr>
        <w:t>ÎN NUMELE LEGII</w:t>
      </w:r>
    </w:p>
    <w:p w14:paraId="0E66DBD2" w14:textId="77777777" w:rsidR="00800833" w:rsidRDefault="00E3718A">
      <w:pPr>
        <w:ind w:firstLine="567"/>
        <w:jc w:val="center"/>
        <w:rPr>
          <w:rStyle w:val="Fontdeparagrafimplicit1"/>
          <w:b/>
        </w:rPr>
      </w:pPr>
      <w:r>
        <w:rPr>
          <w:rStyle w:val="Fontdeparagrafimplicit1"/>
          <w:b/>
        </w:rPr>
        <w:t>D E C I D E:</w:t>
      </w:r>
    </w:p>
    <w:p w14:paraId="1B0BC6FB" w14:textId="77777777" w:rsidR="00800833" w:rsidRDefault="00800833">
      <w:pPr>
        <w:ind w:firstLine="567"/>
        <w:jc w:val="center"/>
        <w:rPr>
          <w:rStyle w:val="Fontdeparagrafimplicit1"/>
          <w:b/>
        </w:rPr>
      </w:pPr>
    </w:p>
    <w:p w14:paraId="2DDD4DCC" w14:textId="2433BC5C" w:rsidR="00800833" w:rsidRDefault="00E3718A">
      <w:pPr>
        <w:ind w:firstLine="708"/>
        <w:jc w:val="both"/>
      </w:pPr>
      <w:r>
        <w:rPr>
          <w:rStyle w:val="Fontdeparagrafimplicit1"/>
          <w:b/>
        </w:rPr>
        <w:t>RESPINGE</w:t>
      </w:r>
      <w:r>
        <w:t xml:space="preserve"> ca nefondat recursul civil declarat de recurenta </w:t>
      </w:r>
      <w:r w:rsidR="00303F43">
        <w:rPr>
          <w:rStyle w:val="Fontdeparagrafimplicit1"/>
          <w:b/>
        </w:rPr>
        <w:t>BD</w:t>
      </w:r>
      <w:r>
        <w:t xml:space="preserve">, </w:t>
      </w:r>
      <w:r>
        <w:rPr>
          <w:rStyle w:val="Fontdeparagrafimplicit1"/>
          <w:i/>
        </w:rPr>
        <w:t xml:space="preserve">CNP </w:t>
      </w:r>
      <w:r w:rsidR="00303F43">
        <w:rPr>
          <w:rStyle w:val="Fontdeparagrafimplicit1"/>
          <w:i/>
        </w:rPr>
        <w:t>....</w:t>
      </w:r>
      <w:r>
        <w:t xml:space="preserve">,  cu domiciliul în </w:t>
      </w:r>
      <w:r w:rsidR="00303F43">
        <w:t>S</w:t>
      </w:r>
      <w:r>
        <w:t xml:space="preserve">, strada  </w:t>
      </w:r>
      <w:r w:rsidR="00303F43">
        <w:t>...</w:t>
      </w:r>
      <w:r>
        <w:t xml:space="preserve">, nr. </w:t>
      </w:r>
      <w:r w:rsidR="00AD39E2">
        <w:t>....</w:t>
      </w:r>
      <w:r>
        <w:t xml:space="preserve">, judeţul </w:t>
      </w:r>
      <w:r w:rsidR="00303F43">
        <w:t>S</w:t>
      </w:r>
      <w:r>
        <w:t xml:space="preserve">, în contradictoriu cu intimatele </w:t>
      </w:r>
      <w:r>
        <w:rPr>
          <w:rStyle w:val="Fontdeparagrafimplicit1"/>
          <w:b/>
        </w:rPr>
        <w:t xml:space="preserve">CASA JUDEŢEANĂ DE PENSII </w:t>
      </w:r>
      <w:r w:rsidR="00303F43">
        <w:rPr>
          <w:rStyle w:val="Fontdeparagrafimplicit1"/>
          <w:b/>
        </w:rPr>
        <w:t>S</w:t>
      </w:r>
      <w:r>
        <w:t xml:space="preserve">, având cod de identificare fiscală </w:t>
      </w:r>
      <w:r w:rsidR="00303F43">
        <w:t>...</w:t>
      </w:r>
      <w:r>
        <w:t xml:space="preserve">, cont bancar </w:t>
      </w:r>
      <w:r w:rsidR="00303F43">
        <w:t>...</w:t>
      </w:r>
      <w:r>
        <w:t xml:space="preserve">, cu sediul în </w:t>
      </w:r>
      <w:r w:rsidR="00303F43">
        <w:t>S</w:t>
      </w:r>
      <w:r>
        <w:t xml:space="preserve">, B-dul </w:t>
      </w:r>
      <w:r w:rsidR="00303F43">
        <w:t>...</w:t>
      </w:r>
      <w:r>
        <w:t xml:space="preserve">, nr. </w:t>
      </w:r>
      <w:r w:rsidR="00AD39E2">
        <w:t>...</w:t>
      </w:r>
      <w:r>
        <w:t xml:space="preserve">, județul </w:t>
      </w:r>
      <w:r w:rsidR="00303F43">
        <w:t>S</w:t>
      </w:r>
      <w:r>
        <w:t xml:space="preserve"> şi </w:t>
      </w:r>
      <w:r>
        <w:rPr>
          <w:rStyle w:val="Fontdeparagrafimplicit1"/>
          <w:b/>
        </w:rPr>
        <w:t>CASA NAŢIONALĂ DE PENSII PUBLICE</w:t>
      </w:r>
      <w:r>
        <w:t xml:space="preserve">,  având cod de identificare fiscală </w:t>
      </w:r>
      <w:r w:rsidR="00303F43">
        <w:t>...</w:t>
      </w:r>
      <w:r>
        <w:t xml:space="preserve">, cont bancar </w:t>
      </w:r>
      <w:r w:rsidR="00303F43">
        <w:t>...</w:t>
      </w:r>
      <w:r>
        <w:t xml:space="preserve">, cu sediul în ..., împotriva sentinței civile nr. </w:t>
      </w:r>
      <w:r w:rsidR="00303F43">
        <w:t>...</w:t>
      </w:r>
      <w:r>
        <w:t xml:space="preserve"> din data de </w:t>
      </w:r>
      <w:r w:rsidR="00303F43">
        <w:t>...</w:t>
      </w:r>
      <w:r>
        <w:t xml:space="preserve"> 2023,  pronunțată de Tribunalul </w:t>
      </w:r>
      <w:r w:rsidR="00303F43">
        <w:t>S</w:t>
      </w:r>
      <w:r>
        <w:t xml:space="preserve"> în dosarul nr. </w:t>
      </w:r>
      <w:r w:rsidR="00303F43">
        <w:t>...</w:t>
      </w:r>
      <w:r>
        <w:t>, pe care o menține în totalitate.</w:t>
      </w:r>
    </w:p>
    <w:p w14:paraId="1DFE50F2" w14:textId="77777777" w:rsidR="00800833" w:rsidRDefault="00E3718A">
      <w:pPr>
        <w:ind w:firstLine="708"/>
        <w:jc w:val="both"/>
      </w:pPr>
      <w:r>
        <w:rPr>
          <w:rStyle w:val="Fontdeparagrafimplicit1"/>
          <w:b/>
        </w:rPr>
        <w:t>Fără</w:t>
      </w:r>
      <w:r>
        <w:t xml:space="preserve"> cheltuieli de judecată în recurs.</w:t>
      </w:r>
    </w:p>
    <w:p w14:paraId="4074127B" w14:textId="77777777" w:rsidR="00800833" w:rsidRDefault="00E3718A">
      <w:pPr>
        <w:ind w:firstLine="708"/>
        <w:jc w:val="both"/>
        <w:rPr>
          <w:rStyle w:val="Fontdeparagrafimplicit1"/>
          <w:b/>
        </w:rPr>
      </w:pPr>
      <w:r>
        <w:rPr>
          <w:rStyle w:val="Fontdeparagrafimplicit1"/>
          <w:b/>
        </w:rPr>
        <w:t>IREVOCABILĂ</w:t>
      </w:r>
    </w:p>
    <w:p w14:paraId="3FF5C5DC" w14:textId="671C8122" w:rsidR="00800833" w:rsidRDefault="00E3718A">
      <w:pPr>
        <w:jc w:val="both"/>
      </w:pPr>
      <w:r>
        <w:tab/>
        <w:t xml:space="preserve">Pronunțată  în ședința publică azi, </w:t>
      </w:r>
      <w:r w:rsidR="00AD39E2">
        <w:t>...</w:t>
      </w:r>
      <w:r>
        <w:t xml:space="preserve">2023. </w:t>
      </w:r>
    </w:p>
    <w:p w14:paraId="52B46635" w14:textId="77777777" w:rsidR="00800833" w:rsidRDefault="00800833">
      <w:pPr>
        <w:rPr>
          <w:rStyle w:val="Fontdeparagrafimplicit1"/>
          <w:b/>
        </w:rPr>
      </w:pPr>
    </w:p>
    <w:p w14:paraId="6DC1DE8F" w14:textId="30ED3CF5" w:rsidR="00800833" w:rsidRDefault="00E3718A">
      <w:pPr>
        <w:jc w:val="both"/>
      </w:pPr>
      <w:r>
        <w:rPr>
          <w:rStyle w:val="Fontdeparagrafimplicit1"/>
          <w:b/>
        </w:rPr>
        <w:t xml:space="preserve">     PREŞEDINTE   JUDECĂTOR  JUDECĂTOR     GREFIER</w:t>
      </w:r>
      <w:r>
        <w:t xml:space="preserve">                                                                                                 </w:t>
      </w:r>
      <w:r w:rsidR="00AD39E2">
        <w:t xml:space="preserve">                     </w:t>
      </w:r>
      <w:r w:rsidR="00303F43">
        <w:t>....</w:t>
      </w:r>
      <w:r>
        <w:t xml:space="preserve">         </w:t>
      </w:r>
      <w:r w:rsidR="00AD39E2">
        <w:t xml:space="preserve">                                    A0011                                        </w:t>
      </w:r>
      <w:r>
        <w:t xml:space="preserve">               </w:t>
      </w:r>
      <w:r w:rsidR="00303F43">
        <w:t>...</w:t>
      </w:r>
      <w:r>
        <w:t xml:space="preserve">                  </w:t>
      </w:r>
      <w:r w:rsidR="00AD39E2">
        <w:t xml:space="preserve">        </w:t>
      </w:r>
      <w:r>
        <w:t xml:space="preserve">      </w:t>
      </w:r>
      <w:r w:rsidR="00AD39E2">
        <w:t>.....</w:t>
      </w:r>
      <w:r>
        <w:t xml:space="preserve">     </w:t>
      </w:r>
    </w:p>
    <w:p w14:paraId="418415F3" w14:textId="77777777" w:rsidR="00800833" w:rsidRDefault="00800833">
      <w:pPr>
        <w:ind w:firstLine="567"/>
        <w:jc w:val="both"/>
        <w:rPr>
          <w:rStyle w:val="Fontdeparagrafimplicit1"/>
          <w:sz w:val="16"/>
        </w:rPr>
      </w:pPr>
    </w:p>
    <w:p w14:paraId="034AEAD1" w14:textId="77777777" w:rsidR="00800833" w:rsidRDefault="00800833">
      <w:pPr>
        <w:ind w:firstLine="567"/>
        <w:jc w:val="both"/>
        <w:rPr>
          <w:rStyle w:val="Fontdeparagrafimplicit1"/>
          <w:sz w:val="16"/>
        </w:rPr>
      </w:pPr>
    </w:p>
    <w:p w14:paraId="6C1EF7BD" w14:textId="77777777" w:rsidR="00800833" w:rsidRDefault="00800833">
      <w:pPr>
        <w:ind w:firstLine="567"/>
        <w:jc w:val="both"/>
        <w:rPr>
          <w:rStyle w:val="Fontdeparagrafimplicit1"/>
          <w:sz w:val="16"/>
        </w:rPr>
      </w:pPr>
    </w:p>
    <w:p w14:paraId="7B13071E" w14:textId="77777777" w:rsidR="00800833" w:rsidRDefault="00800833">
      <w:pPr>
        <w:ind w:firstLine="567"/>
        <w:jc w:val="both"/>
        <w:rPr>
          <w:rStyle w:val="Fontdeparagrafimplicit1"/>
          <w:sz w:val="16"/>
        </w:rPr>
      </w:pPr>
    </w:p>
    <w:p w14:paraId="24050B9A" w14:textId="77777777" w:rsidR="00800833" w:rsidRDefault="00800833">
      <w:pPr>
        <w:ind w:firstLine="567"/>
        <w:jc w:val="both"/>
        <w:rPr>
          <w:rStyle w:val="Fontdeparagrafimplicit1"/>
          <w:sz w:val="16"/>
        </w:rPr>
      </w:pPr>
    </w:p>
    <w:p w14:paraId="709AD69A" w14:textId="36D9572D" w:rsidR="00800833" w:rsidRDefault="00E3718A">
      <w:pPr>
        <w:jc w:val="both"/>
        <w:rPr>
          <w:rStyle w:val="Fontdeparagrafimplicit1"/>
          <w:sz w:val="16"/>
        </w:rPr>
      </w:pPr>
      <w:r>
        <w:rPr>
          <w:rStyle w:val="Fontdeparagrafimplicit1"/>
          <w:sz w:val="16"/>
        </w:rPr>
        <w:t xml:space="preserve">Red. jud. – </w:t>
      </w:r>
      <w:r w:rsidR="00303F43">
        <w:rPr>
          <w:rStyle w:val="Fontdeparagrafimplicit1"/>
          <w:sz w:val="16"/>
        </w:rPr>
        <w:t>A0011</w:t>
      </w:r>
      <w:r>
        <w:rPr>
          <w:rStyle w:val="Fontdeparagrafimplicit1"/>
          <w:sz w:val="16"/>
        </w:rPr>
        <w:t xml:space="preserve"> /</w:t>
      </w:r>
      <w:r w:rsidR="00AD39E2">
        <w:rPr>
          <w:rStyle w:val="Fontdeparagrafimplicit1"/>
          <w:sz w:val="16"/>
        </w:rPr>
        <w:t>...</w:t>
      </w:r>
      <w:r>
        <w:rPr>
          <w:rStyle w:val="Fontdeparagrafimplicit1"/>
          <w:sz w:val="16"/>
        </w:rPr>
        <w:t>2023;</w:t>
      </w:r>
    </w:p>
    <w:p w14:paraId="7F27D2F8" w14:textId="1BF446D2" w:rsidR="00800833" w:rsidRDefault="00E3718A">
      <w:pPr>
        <w:jc w:val="both"/>
        <w:rPr>
          <w:rStyle w:val="Fontdeparagrafimplicit1"/>
          <w:sz w:val="16"/>
        </w:rPr>
      </w:pPr>
      <w:r>
        <w:rPr>
          <w:rStyle w:val="Fontdeparagrafimplicit1"/>
          <w:sz w:val="16"/>
        </w:rPr>
        <w:t xml:space="preserve">Jud. : </w:t>
      </w:r>
      <w:r w:rsidR="00AD39E2">
        <w:rPr>
          <w:rStyle w:val="Fontdeparagrafimplicit1"/>
          <w:sz w:val="16"/>
        </w:rPr>
        <w:t>...</w:t>
      </w:r>
      <w:r>
        <w:rPr>
          <w:rStyle w:val="Fontdeparagrafimplicit1"/>
          <w:sz w:val="16"/>
        </w:rPr>
        <w:t xml:space="preserve"> </w:t>
      </w:r>
    </w:p>
    <w:p w14:paraId="35D56C34" w14:textId="49AE9056" w:rsidR="00800833" w:rsidRDefault="00E3718A">
      <w:pPr>
        <w:jc w:val="both"/>
        <w:rPr>
          <w:rStyle w:val="Fontdeparagrafimplicit1"/>
          <w:sz w:val="16"/>
        </w:rPr>
      </w:pPr>
      <w:r>
        <w:rPr>
          <w:rStyle w:val="Fontdeparagrafimplicit1"/>
          <w:sz w:val="16"/>
        </w:rPr>
        <w:t xml:space="preserve">Thred. – </w:t>
      </w:r>
      <w:r w:rsidR="00303F43">
        <w:rPr>
          <w:rStyle w:val="Fontdeparagrafimplicit1"/>
          <w:sz w:val="16"/>
        </w:rPr>
        <w:t>...</w:t>
      </w:r>
      <w:r>
        <w:rPr>
          <w:rStyle w:val="Fontdeparagrafimplicit1"/>
          <w:sz w:val="16"/>
        </w:rPr>
        <w:t>/5 ex./</w:t>
      </w:r>
      <w:r w:rsidR="00AD39E2">
        <w:rPr>
          <w:rStyle w:val="Fontdeparagrafimplicit1"/>
          <w:sz w:val="16"/>
        </w:rPr>
        <w:t>...</w:t>
      </w:r>
      <w:r>
        <w:rPr>
          <w:rStyle w:val="Fontdeparagrafimplicit1"/>
          <w:sz w:val="16"/>
        </w:rPr>
        <w:t>.2023;</w:t>
      </w:r>
    </w:p>
    <w:p w14:paraId="57A4E752" w14:textId="77777777" w:rsidR="00800833" w:rsidRDefault="00E3718A">
      <w:pPr>
        <w:jc w:val="both"/>
        <w:rPr>
          <w:rStyle w:val="Fontdeparagrafimplicit1"/>
          <w:b/>
          <w:sz w:val="16"/>
          <w:u w:val="single"/>
        </w:rPr>
      </w:pPr>
      <w:r>
        <w:rPr>
          <w:rStyle w:val="Fontdeparagrafimplicit1"/>
          <w:b/>
          <w:sz w:val="16"/>
          <w:u w:val="single"/>
        </w:rPr>
        <w:t>Emis 3 comunicări :</w:t>
      </w:r>
    </w:p>
    <w:p w14:paraId="6C4B2C39" w14:textId="650BFAAD" w:rsidR="00800833" w:rsidRDefault="00E3718A">
      <w:pPr>
        <w:numPr>
          <w:ilvl w:val="0"/>
          <w:numId w:val="7"/>
        </w:numPr>
        <w:jc w:val="both"/>
        <w:rPr>
          <w:rStyle w:val="Fontdeparagrafimplicit1"/>
          <w:sz w:val="16"/>
        </w:rPr>
      </w:pPr>
      <w:r>
        <w:rPr>
          <w:rStyle w:val="Fontdeparagrafimplicit1"/>
          <w:b/>
          <w:sz w:val="16"/>
        </w:rPr>
        <w:t>BD</w:t>
      </w:r>
      <w:r>
        <w:rPr>
          <w:rStyle w:val="Fontdeparagrafimplicit1"/>
          <w:sz w:val="16"/>
        </w:rPr>
        <w:t>, cu domiciliul în ...</w:t>
      </w:r>
    </w:p>
    <w:p w14:paraId="1AEC7514" w14:textId="70936301" w:rsidR="00800833" w:rsidRDefault="00E3718A">
      <w:pPr>
        <w:numPr>
          <w:ilvl w:val="0"/>
          <w:numId w:val="7"/>
        </w:numPr>
        <w:jc w:val="both"/>
        <w:rPr>
          <w:rStyle w:val="Fontdeparagrafimplicit1"/>
          <w:sz w:val="16"/>
        </w:rPr>
      </w:pPr>
      <w:r>
        <w:rPr>
          <w:rStyle w:val="Fontdeparagrafimplicit1"/>
          <w:b/>
          <w:sz w:val="16"/>
        </w:rPr>
        <w:t xml:space="preserve">CASA JUDEŢEANĂ DE PENSII </w:t>
      </w:r>
      <w:r w:rsidR="00303F43">
        <w:rPr>
          <w:rStyle w:val="Fontdeparagrafimplicit1"/>
          <w:b/>
          <w:sz w:val="16"/>
        </w:rPr>
        <w:t>S</w:t>
      </w:r>
      <w:r>
        <w:rPr>
          <w:rStyle w:val="Fontdeparagrafimplicit1"/>
          <w:sz w:val="16"/>
        </w:rPr>
        <w:t>, cu sediul în ...</w:t>
      </w:r>
    </w:p>
    <w:p w14:paraId="7C54492B" w14:textId="2CFB998C" w:rsidR="00800833" w:rsidRDefault="00E3718A">
      <w:pPr>
        <w:numPr>
          <w:ilvl w:val="0"/>
          <w:numId w:val="7"/>
        </w:numPr>
        <w:jc w:val="both"/>
        <w:rPr>
          <w:rStyle w:val="Fontdeparagrafimplicit1"/>
        </w:rPr>
      </w:pPr>
      <w:r>
        <w:rPr>
          <w:rStyle w:val="Fontdeparagrafimplicit1"/>
          <w:b/>
          <w:sz w:val="16"/>
        </w:rPr>
        <w:t>CASA NAŢIONALĂ DE PENSII PUBLICE</w:t>
      </w:r>
      <w:r>
        <w:rPr>
          <w:rStyle w:val="Fontdeparagrafimplicit1"/>
          <w:sz w:val="16"/>
        </w:rPr>
        <w:t>,  cu sediul în ...</w:t>
      </w:r>
    </w:p>
    <w:sectPr w:rsidR="00800833">
      <w:footerReference w:type="even" r:id="rId8"/>
      <w:footerReference w:type="default" r:id="rId9"/>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E144" w14:textId="77777777" w:rsidR="00AB1747" w:rsidRDefault="00AB1747">
      <w:r>
        <w:separator/>
      </w:r>
    </w:p>
  </w:endnote>
  <w:endnote w:type="continuationSeparator" w:id="0">
    <w:p w14:paraId="3461AAC2" w14:textId="77777777" w:rsidR="00AB1747" w:rsidRDefault="00AB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74D86" w14:textId="77777777" w:rsidR="00800833" w:rsidRDefault="00E3718A">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1E5E08C" w14:textId="77777777" w:rsidR="00800833" w:rsidRDefault="00800833">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0D78" w14:textId="77777777" w:rsidR="00800833" w:rsidRDefault="00E3718A">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38708657" w14:textId="77777777" w:rsidR="00800833" w:rsidRDefault="00800833">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9744" w14:textId="77777777" w:rsidR="00AB1747" w:rsidRDefault="00AB1747">
      <w:r>
        <w:separator/>
      </w:r>
    </w:p>
  </w:footnote>
  <w:footnote w:type="continuationSeparator" w:id="0">
    <w:p w14:paraId="0CDBA777" w14:textId="77777777" w:rsidR="00AB1747" w:rsidRDefault="00AB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125"/>
    <w:multiLevelType w:val="multilevel"/>
    <w:tmpl w:val="B7E67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BB43CA"/>
    <w:multiLevelType w:val="multilevel"/>
    <w:tmpl w:val="0D48E2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0B7B4E"/>
    <w:multiLevelType w:val="multilevel"/>
    <w:tmpl w:val="18DE4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E71E1E"/>
    <w:multiLevelType w:val="multilevel"/>
    <w:tmpl w:val="E7F421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505D8B"/>
    <w:multiLevelType w:val="hybridMultilevel"/>
    <w:tmpl w:val="2C4E30E6"/>
    <w:lvl w:ilvl="0" w:tplc="70A01BB2">
      <w:numFmt w:val="bullet"/>
      <w:lvlText w:val="-"/>
      <w:lvlJc w:val="left"/>
      <w:pPr>
        <w:ind w:left="720" w:hanging="360"/>
      </w:pPr>
      <w:rPr>
        <w:rFonts w:ascii="Times New Roman" w:hAnsi="Times New Roman"/>
      </w:rPr>
    </w:lvl>
    <w:lvl w:ilvl="1" w:tplc="EF9E388A">
      <w:start w:val="1"/>
      <w:numFmt w:val="bullet"/>
      <w:lvlText w:val="o"/>
      <w:lvlJc w:val="left"/>
      <w:pPr>
        <w:ind w:left="1440" w:hanging="360"/>
      </w:pPr>
      <w:rPr>
        <w:rFonts w:ascii="Courier New" w:hAnsi="Courier New"/>
      </w:rPr>
    </w:lvl>
    <w:lvl w:ilvl="2" w:tplc="57AAAEE4">
      <w:start w:val="1"/>
      <w:numFmt w:val="bullet"/>
      <w:lvlText w:val=""/>
      <w:lvlJc w:val="left"/>
      <w:pPr>
        <w:ind w:left="2160" w:hanging="360"/>
      </w:pPr>
      <w:rPr>
        <w:rFonts w:ascii="Wingdings" w:hAnsi="Wingdings"/>
      </w:rPr>
    </w:lvl>
    <w:lvl w:ilvl="3" w:tplc="01CC33C4">
      <w:start w:val="1"/>
      <w:numFmt w:val="bullet"/>
      <w:lvlText w:val=""/>
      <w:lvlJc w:val="left"/>
      <w:pPr>
        <w:ind w:left="2880" w:hanging="360"/>
      </w:pPr>
      <w:rPr>
        <w:rFonts w:ascii="Symbol" w:hAnsi="Symbol"/>
      </w:rPr>
    </w:lvl>
    <w:lvl w:ilvl="4" w:tplc="742E63C4">
      <w:start w:val="1"/>
      <w:numFmt w:val="bullet"/>
      <w:lvlText w:val="o"/>
      <w:lvlJc w:val="left"/>
      <w:pPr>
        <w:ind w:left="3600" w:hanging="360"/>
      </w:pPr>
      <w:rPr>
        <w:rFonts w:ascii="Courier New" w:hAnsi="Courier New"/>
      </w:rPr>
    </w:lvl>
    <w:lvl w:ilvl="5" w:tplc="F26A8C56">
      <w:start w:val="1"/>
      <w:numFmt w:val="bullet"/>
      <w:lvlText w:val=""/>
      <w:lvlJc w:val="left"/>
      <w:pPr>
        <w:ind w:left="4320" w:hanging="360"/>
      </w:pPr>
      <w:rPr>
        <w:rFonts w:ascii="Wingdings" w:hAnsi="Wingdings"/>
      </w:rPr>
    </w:lvl>
    <w:lvl w:ilvl="6" w:tplc="25BC1C84">
      <w:start w:val="1"/>
      <w:numFmt w:val="bullet"/>
      <w:lvlText w:val=""/>
      <w:lvlJc w:val="left"/>
      <w:pPr>
        <w:ind w:left="5040" w:hanging="360"/>
      </w:pPr>
      <w:rPr>
        <w:rFonts w:ascii="Symbol" w:hAnsi="Symbol"/>
      </w:rPr>
    </w:lvl>
    <w:lvl w:ilvl="7" w:tplc="5C26A236">
      <w:start w:val="1"/>
      <w:numFmt w:val="bullet"/>
      <w:lvlText w:val="o"/>
      <w:lvlJc w:val="left"/>
      <w:pPr>
        <w:ind w:left="5760" w:hanging="360"/>
      </w:pPr>
      <w:rPr>
        <w:rFonts w:ascii="Courier New" w:hAnsi="Courier New"/>
      </w:rPr>
    </w:lvl>
    <w:lvl w:ilvl="8" w:tplc="75EA1ACA">
      <w:start w:val="1"/>
      <w:numFmt w:val="bullet"/>
      <w:lvlText w:val=""/>
      <w:lvlJc w:val="left"/>
      <w:pPr>
        <w:ind w:left="6480" w:hanging="360"/>
      </w:pPr>
      <w:rPr>
        <w:rFonts w:ascii="Wingdings" w:hAnsi="Wingdings"/>
      </w:rPr>
    </w:lvl>
  </w:abstractNum>
  <w:abstractNum w:abstractNumId="5" w15:restartNumberingAfterBreak="0">
    <w:nsid w:val="567B763B"/>
    <w:multiLevelType w:val="hybridMultilevel"/>
    <w:tmpl w:val="D464A6D2"/>
    <w:lvl w:ilvl="0" w:tplc="264A31FC">
      <w:start w:val="19"/>
      <w:numFmt w:val="bullet"/>
      <w:lvlText w:val="-"/>
      <w:lvlJc w:val="left"/>
      <w:rPr>
        <w:rFonts w:ascii="Times New Roman" w:hAnsi="Times New Roman"/>
      </w:rPr>
    </w:lvl>
    <w:lvl w:ilvl="1" w:tplc="E3A2710A">
      <w:start w:val="1"/>
      <w:numFmt w:val="bullet"/>
      <w:lvlText w:val="o"/>
      <w:lvlJc w:val="left"/>
      <w:pPr>
        <w:ind w:left="1788" w:hanging="360"/>
      </w:pPr>
      <w:rPr>
        <w:rFonts w:ascii="Courier New" w:hAnsi="Courier New"/>
      </w:rPr>
    </w:lvl>
    <w:lvl w:ilvl="2" w:tplc="0E041FC0">
      <w:start w:val="1"/>
      <w:numFmt w:val="bullet"/>
      <w:lvlText w:val=""/>
      <w:lvlJc w:val="left"/>
      <w:pPr>
        <w:ind w:left="2508" w:hanging="360"/>
      </w:pPr>
      <w:rPr>
        <w:rFonts w:ascii="Wingdings" w:hAnsi="Wingdings"/>
      </w:rPr>
    </w:lvl>
    <w:lvl w:ilvl="3" w:tplc="810AE408">
      <w:start w:val="1"/>
      <w:numFmt w:val="bullet"/>
      <w:lvlText w:val=""/>
      <w:lvlJc w:val="left"/>
      <w:pPr>
        <w:ind w:left="3228" w:hanging="360"/>
      </w:pPr>
      <w:rPr>
        <w:rFonts w:ascii="Symbol" w:hAnsi="Symbol"/>
      </w:rPr>
    </w:lvl>
    <w:lvl w:ilvl="4" w:tplc="955A4A2E">
      <w:start w:val="1"/>
      <w:numFmt w:val="bullet"/>
      <w:lvlText w:val="o"/>
      <w:lvlJc w:val="left"/>
      <w:pPr>
        <w:ind w:left="3948" w:hanging="360"/>
      </w:pPr>
      <w:rPr>
        <w:rFonts w:ascii="Courier New" w:hAnsi="Courier New"/>
      </w:rPr>
    </w:lvl>
    <w:lvl w:ilvl="5" w:tplc="54A6DDE6">
      <w:start w:val="1"/>
      <w:numFmt w:val="bullet"/>
      <w:lvlText w:val=""/>
      <w:lvlJc w:val="left"/>
      <w:pPr>
        <w:ind w:left="4668" w:hanging="360"/>
      </w:pPr>
      <w:rPr>
        <w:rFonts w:ascii="Wingdings" w:hAnsi="Wingdings"/>
      </w:rPr>
    </w:lvl>
    <w:lvl w:ilvl="6" w:tplc="71B8206E">
      <w:start w:val="1"/>
      <w:numFmt w:val="bullet"/>
      <w:lvlText w:val=""/>
      <w:lvlJc w:val="left"/>
      <w:pPr>
        <w:ind w:left="5388" w:hanging="360"/>
      </w:pPr>
      <w:rPr>
        <w:rFonts w:ascii="Symbol" w:hAnsi="Symbol"/>
      </w:rPr>
    </w:lvl>
    <w:lvl w:ilvl="7" w:tplc="869474FC">
      <w:start w:val="1"/>
      <w:numFmt w:val="bullet"/>
      <w:lvlText w:val="o"/>
      <w:lvlJc w:val="left"/>
      <w:pPr>
        <w:ind w:left="6108" w:hanging="360"/>
      </w:pPr>
      <w:rPr>
        <w:rFonts w:ascii="Courier New" w:hAnsi="Courier New"/>
      </w:rPr>
    </w:lvl>
    <w:lvl w:ilvl="8" w:tplc="8690B5CC">
      <w:start w:val="1"/>
      <w:numFmt w:val="bullet"/>
      <w:lvlText w:val=""/>
      <w:lvlJc w:val="left"/>
      <w:pPr>
        <w:ind w:left="6828" w:hanging="360"/>
      </w:pPr>
      <w:rPr>
        <w:rFonts w:ascii="Wingdings" w:hAnsi="Wingdings"/>
      </w:rPr>
    </w:lvl>
  </w:abstractNum>
  <w:abstractNum w:abstractNumId="6" w15:restartNumberingAfterBreak="0">
    <w:nsid w:val="5D845716"/>
    <w:multiLevelType w:val="multilevel"/>
    <w:tmpl w:val="410243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F42C42"/>
    <w:multiLevelType w:val="hybridMultilevel"/>
    <w:tmpl w:val="C1BCFED2"/>
    <w:lvl w:ilvl="0" w:tplc="66E4A2AC">
      <w:numFmt w:val="bullet"/>
      <w:lvlText w:val="-"/>
      <w:lvlJc w:val="left"/>
      <w:pPr>
        <w:ind w:left="720" w:hanging="360"/>
      </w:pPr>
      <w:rPr>
        <w:rFonts w:ascii="Times New Roman" w:hAnsi="Times New Roman"/>
      </w:rPr>
    </w:lvl>
    <w:lvl w:ilvl="1" w:tplc="44BEAF48">
      <w:start w:val="1"/>
      <w:numFmt w:val="bullet"/>
      <w:lvlText w:val="o"/>
      <w:lvlJc w:val="left"/>
      <w:pPr>
        <w:ind w:left="1440" w:hanging="360"/>
      </w:pPr>
      <w:rPr>
        <w:rFonts w:ascii="Courier New" w:hAnsi="Courier New"/>
      </w:rPr>
    </w:lvl>
    <w:lvl w:ilvl="2" w:tplc="0F34A97A">
      <w:start w:val="1"/>
      <w:numFmt w:val="bullet"/>
      <w:lvlText w:val=""/>
      <w:lvlJc w:val="left"/>
      <w:pPr>
        <w:ind w:left="2160" w:hanging="360"/>
      </w:pPr>
      <w:rPr>
        <w:rFonts w:ascii="Wingdings" w:hAnsi="Wingdings"/>
      </w:rPr>
    </w:lvl>
    <w:lvl w:ilvl="3" w:tplc="5608CD08">
      <w:start w:val="1"/>
      <w:numFmt w:val="bullet"/>
      <w:lvlText w:val=""/>
      <w:lvlJc w:val="left"/>
      <w:pPr>
        <w:ind w:left="2880" w:hanging="360"/>
      </w:pPr>
      <w:rPr>
        <w:rFonts w:ascii="Symbol" w:hAnsi="Symbol"/>
      </w:rPr>
    </w:lvl>
    <w:lvl w:ilvl="4" w:tplc="3AB46D7A">
      <w:start w:val="1"/>
      <w:numFmt w:val="bullet"/>
      <w:lvlText w:val="o"/>
      <w:lvlJc w:val="left"/>
      <w:pPr>
        <w:ind w:left="3600" w:hanging="360"/>
      </w:pPr>
      <w:rPr>
        <w:rFonts w:ascii="Courier New" w:hAnsi="Courier New"/>
      </w:rPr>
    </w:lvl>
    <w:lvl w:ilvl="5" w:tplc="5C5A5EBE">
      <w:start w:val="1"/>
      <w:numFmt w:val="bullet"/>
      <w:lvlText w:val=""/>
      <w:lvlJc w:val="left"/>
      <w:pPr>
        <w:ind w:left="4320" w:hanging="360"/>
      </w:pPr>
      <w:rPr>
        <w:rFonts w:ascii="Wingdings" w:hAnsi="Wingdings"/>
      </w:rPr>
    </w:lvl>
    <w:lvl w:ilvl="6" w:tplc="1F5C6C6C">
      <w:start w:val="1"/>
      <w:numFmt w:val="bullet"/>
      <w:lvlText w:val=""/>
      <w:lvlJc w:val="left"/>
      <w:pPr>
        <w:ind w:left="5040" w:hanging="360"/>
      </w:pPr>
      <w:rPr>
        <w:rFonts w:ascii="Symbol" w:hAnsi="Symbol"/>
      </w:rPr>
    </w:lvl>
    <w:lvl w:ilvl="7" w:tplc="02363194">
      <w:start w:val="1"/>
      <w:numFmt w:val="bullet"/>
      <w:lvlText w:val="o"/>
      <w:lvlJc w:val="left"/>
      <w:pPr>
        <w:ind w:left="5760" w:hanging="360"/>
      </w:pPr>
      <w:rPr>
        <w:rFonts w:ascii="Courier New" w:hAnsi="Courier New"/>
      </w:rPr>
    </w:lvl>
    <w:lvl w:ilvl="8" w:tplc="83A85974">
      <w:start w:val="1"/>
      <w:numFmt w:val="bullet"/>
      <w:lvlText w:val=""/>
      <w:lvlJc w:val="left"/>
      <w:pPr>
        <w:ind w:left="6480" w:hanging="360"/>
      </w:pPr>
      <w:rPr>
        <w:rFonts w:ascii="Wingdings" w:hAnsi="Wingdings"/>
      </w:rPr>
    </w:lvl>
  </w:abstractNum>
  <w:num w:numId="1" w16cid:durableId="1167792146">
    <w:abstractNumId w:val="7"/>
  </w:num>
  <w:num w:numId="2" w16cid:durableId="1644308338">
    <w:abstractNumId w:val="4"/>
  </w:num>
  <w:num w:numId="3" w16cid:durableId="1521158671">
    <w:abstractNumId w:val="2"/>
  </w:num>
  <w:num w:numId="4" w16cid:durableId="243027161">
    <w:abstractNumId w:val="6"/>
  </w:num>
  <w:num w:numId="5" w16cid:durableId="2122724736">
    <w:abstractNumId w:val="3"/>
  </w:num>
  <w:num w:numId="6" w16cid:durableId="1976526131">
    <w:abstractNumId w:val="0"/>
  </w:num>
  <w:num w:numId="7" w16cid:durableId="1939825396">
    <w:abstractNumId w:val="1"/>
  </w:num>
  <w:num w:numId="8" w16cid:durableId="1166821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64591&amp;id_departament=2&amp;id_sesiune=733006&amp;id_user=181&amp;id_institutie=35&amp;actiune=modifica"/>
  </w:docVars>
  <w:rsids>
    <w:rsidRoot w:val="00800833"/>
    <w:rsid w:val="00290507"/>
    <w:rsid w:val="00303F43"/>
    <w:rsid w:val="00332204"/>
    <w:rsid w:val="004406F9"/>
    <w:rsid w:val="00496B51"/>
    <w:rsid w:val="005B19CF"/>
    <w:rsid w:val="005C18F0"/>
    <w:rsid w:val="00630AE6"/>
    <w:rsid w:val="006E2F24"/>
    <w:rsid w:val="00800833"/>
    <w:rsid w:val="0095404B"/>
    <w:rsid w:val="00AB1747"/>
    <w:rsid w:val="00AD39E2"/>
    <w:rsid w:val="00C94D72"/>
    <w:rsid w:val="00CF5C1B"/>
    <w:rsid w:val="00E3718A"/>
    <w:rsid w:val="00EC4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6478"/>
  <w15:docId w15:val="{19AB6503-C005-4944-B48A-22DDBB49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1">
    <w:name w:val="Fără spațiere1"/>
    <w:qFormat/>
    <w:rPr>
      <w:sz w:val="24"/>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paragraph" w:customStyle="1" w:styleId="CaracterCaracterCaracterCaracterCaracterCaracterCaracterCaracter">
    <w:name w:val="Caracter Caracter Caracter Caracter Caracter Caracter Caracter Caracter"/>
    <w:basedOn w:val="Normal"/>
    <w:rPr>
      <w:lang w:val="pl-PL"/>
    </w:rPr>
  </w:style>
  <w:style w:type="paragraph" w:customStyle="1" w:styleId="CaracterCaracterCaracterCaracterCaracterCaracterCaracterCaracterCaracterCaracterCaracterCaracter">
    <w:name w:val="Caracter Caracter Caracter Caracter Caracter Caracter Caracter Caracter Caracter Caracter Caracter Caracter"/>
    <w:basedOn w:val="Normal"/>
    <w:rPr>
      <w:sz w:val="20"/>
      <w:lang w:val="pl-PL"/>
    </w:rPr>
  </w:style>
  <w:style w:type="paragraph" w:customStyle="1" w:styleId="Listparagraf1">
    <w:name w:val="Listă paragraf1"/>
    <w:basedOn w:val="Normal"/>
    <w:qFormat/>
    <w:pPr>
      <w:spacing w:after="160" w:line="259" w:lineRule="auto"/>
      <w:ind w:left="720"/>
      <w:contextualSpacing/>
    </w:pPr>
    <w:rPr>
      <w:rFonts w:ascii="Calibri" w:hAnsi="Calibri"/>
      <w:sz w:val="22"/>
    </w:rPr>
  </w:style>
  <w:style w:type="paragraph" w:customStyle="1" w:styleId="moze-justify">
    <w:name w:val="moze-justify"/>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spar">
    <w:name w:val="s_par"/>
  </w:style>
  <w:style w:type="character" w:customStyle="1" w:styleId="Numrdepagin1">
    <w:name w:val="Număr de pagină1"/>
    <w:basedOn w:val="Fontdeparagrafimplici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ccj.ro/cautare.php?id=626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6805</Words>
  <Characters>38790</Characters>
  <Application>Microsoft Office Word</Application>
  <DocSecurity>0</DocSecurity>
  <Lines>323</Lines>
  <Paragraphs>91</Paragraphs>
  <ScaleCrop>false</ScaleCrop>
  <Manager/>
  <Company/>
  <LinksUpToDate>false</LinksUpToDate>
  <CharactersWithSpaces>45504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2026-09-03T12:53:00Z</dcterms:created>
  <dcterms:modified xsi:type="dcterms:W3CDTF">2026-09-12T10:23:00Z</dcterms:modified>
  <cp:category/>
  <dc:identifier/>
  <cp:contentStatus/>
  <dc:language/>
  <cp:version/>
</cp:coreProperties>
</file>