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2DD1" w:rsidR="00392DD1" w:rsidP="00392DD1" w:rsidRDefault="00392DD1" w14:paraId="280A1D39" w14:textId="77777777">
      <w:pPr>
        <w:spacing w:after="0" w:line="240" w:lineRule="auto"/>
        <w:rPr>
          <w:rFonts w:ascii="Garamond" w:hAnsi="Garamond" w:eastAsia="Times New Roman" w:cs="Times New Roman"/>
          <w:color w:val="BFBFBF"/>
          <w:kern w:val="0"/>
          <w:sz w:val="20"/>
          <w:szCs w:val="20"/>
          <w:lang w:val="ro-RO" w:eastAsia="en-GB"/>
          <w14:ligatures w14:val="none"/>
        </w:rPr>
      </w:pPr>
      <w:r w:rsidRPr="00392DD1">
        <w:rPr>
          <w:rFonts w:ascii="Garamond" w:hAnsi="Garamond" w:eastAsia="Times New Roman" w:cs="Times New Roman"/>
          <w:color w:val="BFBFBF"/>
          <w:kern w:val="0"/>
          <w:sz w:val="20"/>
          <w:szCs w:val="20"/>
          <w:lang w:val="ro-RO" w:eastAsia="en-GB"/>
          <w14:ligatures w14:val="none"/>
        </w:rPr>
        <w:t>Document finalizat</w:t>
      </w:r>
    </w:p>
    <w:p w:rsidRPr="00392DD1" w:rsidR="00392DD1" w:rsidP="00392DD1" w:rsidRDefault="00392DD1" w14:paraId="270FCF0D" w14:textId="31C3BCC6">
      <w:pPr>
        <w:spacing w:after="0" w:line="240" w:lineRule="auto"/>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2486FA2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6938124B" w14:textId="6A2D31AE">
      <w:pPr>
        <w:spacing w:after="0" w:line="240" w:lineRule="auto"/>
        <w:ind w:firstLine="708"/>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2722BCC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7AB22AC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R O M Â N I A</w:t>
      </w:r>
    </w:p>
    <w:p w:rsidRPr="00392DD1" w:rsidR="00392DD1" w:rsidP="00392DD1" w:rsidRDefault="00392DD1" w14:paraId="202150B2" w14:textId="7F3A4C93">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39217C21" w14:textId="3261B6A9">
      <w:pPr>
        <w:spacing w:after="0" w:line="240" w:lineRule="auto"/>
        <w:jc w:val="center"/>
        <w:rPr>
          <w:rFonts w:ascii="Times New Roman" w:hAnsi="Times New Roman" w:eastAsia="Times New Roman" w:cs="Times New Roman"/>
          <w:kern w:val="0"/>
          <w:sz w:val="24"/>
          <w:szCs w:val="20"/>
          <w:lang w:val="fr-FR"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54A3D20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2BBE5BA6"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40CEACBF" w14:textId="75A43BAA">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27</w:t>
      </w:r>
    </w:p>
    <w:p w:rsidRPr="00392DD1" w:rsidR="00392DD1" w:rsidP="00392DD1" w:rsidRDefault="00392DD1" w14:paraId="53C5F320" w14:textId="77777777">
      <w:pPr>
        <w:spacing w:after="0" w:line="240" w:lineRule="auto"/>
        <w:jc w:val="center"/>
        <w:rPr>
          <w:rFonts w:ascii="Garamond" w:hAnsi="Garamond" w:eastAsia="Times New Roman" w:cs="Times New Roman"/>
          <w:kern w:val="0"/>
          <w:sz w:val="24"/>
          <w:szCs w:val="20"/>
          <w:lang w:val="ro-RO" w:eastAsia="en-GB"/>
          <w14:ligatures w14:val="none"/>
        </w:rPr>
      </w:pPr>
    </w:p>
    <w:p w:rsidRPr="00392DD1" w:rsidR="00392DD1" w:rsidP="00392DD1" w:rsidRDefault="00392DD1" w14:paraId="6C0D075C" w14:textId="77777777">
      <w:pPr>
        <w:spacing w:after="0" w:line="240" w:lineRule="auto"/>
        <w:jc w:val="center"/>
        <w:rPr>
          <w:rFonts w:ascii="Garamond" w:hAnsi="Garamond" w:eastAsia="Times New Roman" w:cs="Times New Roman"/>
          <w:kern w:val="0"/>
          <w:sz w:val="24"/>
          <w:szCs w:val="20"/>
          <w:lang w:val="ro-RO" w:eastAsia="en-GB"/>
          <w14:ligatures w14:val="none"/>
        </w:rPr>
      </w:pPr>
    </w:p>
    <w:p w:rsidRPr="00392DD1" w:rsidR="00392DD1" w:rsidP="00392DD1" w:rsidRDefault="00392DD1" w14:paraId="4AE05479" w14:textId="14B16A16">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Şedinţa </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publică</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w:t>
      </w:r>
    </w:p>
    <w:p w:rsidRPr="00392DD1" w:rsidR="00392DD1" w:rsidP="00392DD1" w:rsidRDefault="00392DD1" w14:paraId="1B15902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25472A9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Completul compus din:</w:t>
      </w:r>
    </w:p>
    <w:p w:rsidRPr="00392DD1" w:rsidR="00392DD1" w:rsidP="00392DD1" w:rsidRDefault="00392DD1" w14:paraId="3639AC36" w14:textId="1F8590AD">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Președinte: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w:t>
      </w:r>
    </w:p>
    <w:p w:rsidRPr="00392DD1" w:rsidR="00392DD1" w:rsidP="00392DD1" w:rsidRDefault="00392DD1" w14:paraId="5D9066C9" w14:textId="2C0F96A0">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07C41EB1" w14:textId="4582058D">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 xml:space="preserve">A0010 </w:t>
      </w:r>
      <w:r w:rsidRPr="00392DD1">
        <w:rPr>
          <w:rFonts w:ascii="Times New Roman" w:hAnsi="Times New Roman" w:eastAsia="Times New Roman" w:cs="Times New Roman"/>
          <w:kern w:val="0"/>
          <w:sz w:val="24"/>
          <w:szCs w:val="20"/>
          <w:lang w:val="ro-RO" w:eastAsia="en-GB"/>
          <w14:ligatures w14:val="none"/>
        </w:rPr>
        <w:t xml:space="preserve">  </w:t>
      </w:r>
    </w:p>
    <w:p w:rsidRPr="00392DD1" w:rsidR="00392DD1" w:rsidP="00392DD1" w:rsidRDefault="00392DD1" w14:paraId="09DA0E79" w14:textId="119B1A3D">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w:t>
      </w:r>
    </w:p>
    <w:p w:rsidRPr="00392DD1" w:rsidR="00392DD1" w:rsidP="00392DD1" w:rsidRDefault="00392DD1" w14:paraId="0D69E4D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327CDE61" w14:textId="40E1B68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Pe rol se află judecarea cauzei în materia </w:t>
      </w:r>
      <w:r>
        <w:rPr>
          <w:rFonts w:ascii="Times New Roman" w:hAnsi="Times New Roman" w:eastAsia="Times New Roman" w:cs="Times New Roman"/>
          <w:i/>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privind recursul promovat de reclamantul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împotriva sentinţei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recursurile incidente formulate de pârâtul Inspectoratul General al Poliţiei Române împotriva aceleiaşi hotărâri judecătoreşti şi de pârâtul Ministerul Afacerilor Interne, atât împotriva sentinţei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cât şi a încheierii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intimat fiind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7B6BF3A5" w14:textId="549D256D">
      <w:pPr>
        <w:spacing w:after="0" w:line="240" w:lineRule="auto"/>
        <w:ind w:firstLine="708"/>
        <w:jc w:val="both"/>
        <w:rPr>
          <w:rFonts w:ascii="Times New Roman" w:hAnsi="Times New Roman" w:eastAsia="Times New Roman" w:cs="Times New Roman"/>
          <w:color w:val="000000"/>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La apelul nominal făcut în ședință </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publică</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 xml:space="preserve"> a răspuns, pentru recurentul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care depune la dosar delegaţie de substituire pentru avocat </w:t>
      </w:r>
      <w:r>
        <w:rPr>
          <w:rFonts w:ascii="Times New Roman" w:hAnsi="Times New Roman" w:eastAsia="Times New Roman" w:cs="Times New Roman"/>
          <w:kern w:val="0"/>
          <w:sz w:val="24"/>
          <w:szCs w:val="20"/>
          <w:lang w:val="ro-RO" w:eastAsia="en-GB"/>
          <w14:ligatures w14:val="none"/>
        </w:rPr>
        <w:t>C</w:t>
      </w:r>
      <w:r w:rsidRPr="00392DD1">
        <w:rPr>
          <w:rFonts w:ascii="Times New Roman" w:hAnsi="Times New Roman" w:eastAsia="Times New Roman" w:cs="Times New Roman"/>
          <w:kern w:val="0"/>
          <w:sz w:val="24"/>
          <w:szCs w:val="20"/>
          <w:lang w:val="ro-RO" w:eastAsia="en-GB"/>
          <w14:ligatures w14:val="none"/>
        </w:rPr>
        <w:t>, cu împuternicire avocaţială la fila 12 din dosar şi 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consilier juridic </w:t>
      </w:r>
      <w:r>
        <w:rPr>
          <w:rFonts w:ascii="Times New Roman" w:hAnsi="Times New Roman" w:eastAsia="Times New Roman" w:cs="Times New Roman"/>
          <w:kern w:val="0"/>
          <w:sz w:val="24"/>
          <w:szCs w:val="20"/>
          <w:lang w:val="ro-RO" w:eastAsia="en-GB"/>
          <w14:ligatures w14:val="none"/>
        </w:rPr>
        <w:t>D</w:t>
      </w:r>
      <w:r w:rsidRPr="00392DD1">
        <w:rPr>
          <w:rFonts w:ascii="Times New Roman" w:hAnsi="Times New Roman" w:eastAsia="Times New Roman" w:cs="Times New Roman"/>
          <w:kern w:val="0"/>
          <w:sz w:val="24"/>
          <w:szCs w:val="20"/>
          <w:lang w:val="ro-RO" w:eastAsia="en-GB"/>
          <w14:ligatures w14:val="none"/>
        </w:rPr>
        <w:t>, care depune delegaţie de reprezentare la dosar, lipsă fiind reprezentanţii convenţionali ai intimaţilor – recurenţi Inspectoratul General al Poliţiei Române şi Ministerul Afacerilor Interne</w:t>
      </w:r>
      <w:r w:rsidRPr="00392DD1">
        <w:rPr>
          <w:rFonts w:ascii="Times New Roman" w:hAnsi="Times New Roman" w:eastAsia="Times New Roman" w:cs="Times New Roman"/>
          <w:color w:val="000000"/>
          <w:kern w:val="0"/>
          <w:sz w:val="24"/>
          <w:szCs w:val="20"/>
          <w:lang w:val="ro-RO" w:eastAsia="en-GB"/>
          <w14:ligatures w14:val="none"/>
        </w:rPr>
        <w:t>.</w:t>
      </w:r>
    </w:p>
    <w:p w:rsidRPr="00392DD1" w:rsidR="00392DD1" w:rsidP="00392DD1" w:rsidRDefault="00392DD1" w14:paraId="776EFAE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Procedura de citare este </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legal</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 xml:space="preserve"> îndeplinită.</w:t>
      </w:r>
    </w:p>
    <w:p w:rsidRPr="00392DD1" w:rsidR="00392DD1" w:rsidP="00392DD1" w:rsidRDefault="00392DD1" w14:paraId="779D24D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S-a făcut </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referatul</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 xml:space="preserve"> cauzei de către </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grefier</w:t>
      </w:r>
      <w:r w:rsidRPr="00392DD1">
        <w:rPr>
          <w:rFonts w:ascii="Times New Roman" w:hAnsi="Times New Roman" w:eastAsia="Times New Roman" w:cs="Times New Roman"/>
          <w:kern w:val="0"/>
          <w:sz w:val="24"/>
          <w:szCs w:val="20"/>
          <w:lang w:val="ro-RO" w:eastAsia="en-GB"/>
          <w14:ligatures w14:val="none"/>
        </w:rPr>
      </w:r>
      <w:r w:rsidRPr="00392DD1">
        <w:rPr>
          <w:rFonts w:ascii="Times New Roman" w:hAnsi="Times New Roman" w:eastAsia="Times New Roman" w:cs="Times New Roman"/>
          <w:kern w:val="0"/>
          <w:sz w:val="24"/>
          <w:szCs w:val="20"/>
          <w:lang w:val="ro-RO" w:eastAsia="en-GB"/>
          <w14:ligatures w14:val="none"/>
        </w:rPr>
        <w:t xml:space="preserve">ul de ședință, referat din care reies aspectele anterior – menționate cu privire la obiectul cauzei, prezența părților, modalitatea de îndeplinire a procedurii de citare și stadiul procesual al recursului, aceasta aflându-se la primul termen de judecată. </w:t>
      </w:r>
    </w:p>
    <w:p w:rsidRPr="00392DD1" w:rsidR="00392DD1" w:rsidP="00392DD1" w:rsidRDefault="00392DD1" w14:paraId="629B6F13" w14:textId="0B72D08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Se referă de către grefier și faptul că, în etapa scrisă, recurentul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a înaintat la dosar dovada achitării taxei judiciare de timbru aferente cererii de recurs, în cuantum de 100 de lei, chitanţa depusă cu acest titlu fiind ataşată la fila 24 din dosar.</w:t>
      </w:r>
    </w:p>
    <w:p w:rsidRPr="00392DD1" w:rsidR="00392DD1" w:rsidP="00392DD1" w:rsidRDefault="00392DD1" w14:paraId="00010871" w14:textId="0044F9F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Intimatul Inspectoratul General al Poliţiei Române a formulat întâmpinare şi recurs incident împotriva sentinţei civile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42AD970A" w14:textId="3B7B3E6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Intimatul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formulat întâmpinare la recursul promovat împotriva sentinţei civile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1888391F" w14:textId="370E23C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Intimatul Ministerul Afacerilor Interne a formulat întâmpinare la recursul declarat de reclamantul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şi recurs incident împotriva sentinţei civile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a încheierii de şedinţă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pronunţate de Tribunalul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3D041D7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Intimatul – recurent Ministerul Afacerilor Interne a înaintat la dosar dovada achitării taxei judiciare de timbru aferente cererii de recurs incident, ordinul de plată depus cu acest titlu fiind ataşat la fila 71 din dosar.</w:t>
      </w:r>
    </w:p>
    <w:p w:rsidRPr="00392DD1" w:rsidR="00392DD1" w:rsidP="00392DD1" w:rsidRDefault="00392DD1" w14:paraId="61EB822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Intimatul – recurent Inspectoratul General al Poliţiei Române a transmis la dosar ordinul de plată multiplu electronic din data de 29.04.2021, pentru a face dovada achitării taxei judiciare de timbru în cuantum de 100 de lei, aferente cererii de recurs incident, acesta fiind ataşat la fila 74 din dosar.</w:t>
      </w:r>
    </w:p>
    <w:p w:rsidRPr="00392DD1" w:rsidR="00392DD1" w:rsidP="00392DD1" w:rsidRDefault="00392DD1" w14:paraId="22EDBC4F" w14:textId="2B2F8D8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Recurentul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a formulat răspuns la întâmpinarea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155DF2E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Verificând actele şi lucrările dosarului, Curtea constată că în cauză a fost formulată o cale de atac a cărei calificare se solicită a fi efectuată cu prioritate.</w:t>
      </w:r>
    </w:p>
    <w:p w:rsidRPr="00392DD1" w:rsidR="00392DD1" w:rsidP="00392DD1" w:rsidRDefault="00392DD1" w14:paraId="503B3C7D" w14:textId="0F61D47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pentru recurentul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solicită calificarea căii de atac drept apel, acţiunea dedusă judecăţii fiind o acţiune civilă, de drept comun şi nu o acţiune în contencios administrativ, având în vedere faptul că actul emis de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nu este un act emis în calitate de putere publică.</w:t>
      </w:r>
    </w:p>
    <w:p w:rsidRPr="00392DD1" w:rsidR="00392DD1" w:rsidP="00392DD1" w:rsidRDefault="00392DD1" w14:paraId="0B8C5B5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Prin urmare, apreciază că nu sunt îndeplinite condiţiile prevăzute de lege pentru a se considera că acţiunea este una în materia contenciosului administrativ, deşi prima instanţă care a soluţionat pricina a fost o instanţă de contencios administrativ. Apărătorul subliniază faptul că nu instanţa califică natura litigiului, ci actul juridic care constituie obiectul judecăţii.</w:t>
      </w:r>
    </w:p>
    <w:p w:rsidRPr="00392DD1" w:rsidR="00392DD1" w:rsidP="00392DD1" w:rsidRDefault="00392DD1" w14:paraId="22989024" w14:textId="3BDF676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Consilier juridic </w:t>
      </w:r>
      <w:r>
        <w:rPr>
          <w:rFonts w:ascii="Times New Roman" w:hAnsi="Times New Roman" w:eastAsia="Times New Roman" w:cs="Times New Roman"/>
          <w:kern w:val="0"/>
          <w:sz w:val="24"/>
          <w:szCs w:val="20"/>
          <w:lang w:val="ro-RO" w:eastAsia="en-GB"/>
          <w14:ligatures w14:val="none"/>
        </w:rPr>
        <w:t>D</w:t>
      </w:r>
      <w:r w:rsidRPr="00392DD1">
        <w:rPr>
          <w:rFonts w:ascii="Times New Roman" w:hAnsi="Times New Roman" w:eastAsia="Times New Roman" w:cs="Times New Roman"/>
          <w:kern w:val="0"/>
          <w:sz w:val="24"/>
          <w:szCs w:val="20"/>
          <w:lang w:val="ro-RO" w:eastAsia="en-GB"/>
          <w14:ligatures w14:val="none"/>
        </w:rPr>
        <w:t>, pentru intimatul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apreciază că această solicitare este tardivă. Subliniază faptul că instanţa de fond s-a pronunţat asupra acestui aspect la primul termen de judecată, fiind pusă în discuţia contradictorie a părţilor competenţa materială, funcţională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 Secţia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Reprezentantul convenţional al instituţiei intimate precizează faptul că, după ce s-a pus în dezbaterea contradictorie a părţilor, instanţa a rămas în pronunţare, stabilind că Secţia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este competentă să soluţioneze litigiul.</w:t>
      </w:r>
    </w:p>
    <w:p w:rsidRPr="00392DD1" w:rsidR="00392DD1" w:rsidP="00392DD1" w:rsidRDefault="00392DD1" w14:paraId="51DE7AC3" w14:textId="4113BFF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Instanţa de recurs constată că hotărârea recurată a fost pronunţată de Tribunalul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 Secţia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în complet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drept pentru care, având în vedere că a fost pronunţată o hotărâre în materie contencioasă, calea de atac este recursul, conform Recursului în interesul legii nr. 17/2017 pronunţat de Înalta Curte de Casaţie şi Justiţie. Curtea reţine totodată că, potrivit Legii nr. 554/2004, nu poate judeca decât un recurs. În ceea ce priveşte chestiunea competenţei funcţionale, s-a pronunţat tribunalul verificând competenţa, reţinând că apărătorul reclamantului de la acel moment a susţinut competenţa instanţei de contencios administrativ, drept pentru care, conform recursului în interesul legii anterior – menționat, va proceda la soluţionarea unui recurs în prezenta cauză.</w:t>
      </w:r>
    </w:p>
    <w:p w:rsidRPr="00392DD1" w:rsidR="00392DD1" w:rsidP="00392DD1" w:rsidRDefault="00392DD1" w14:paraId="5F1861D4" w14:textId="2CF4ABC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precizează faptul că actualul apărător al reclamantului şi-a exprimat punctul de vedere în acest sens vorbind, în subsidiar, despre calificarea căii de atac ca fiind recurs.</w:t>
      </w:r>
    </w:p>
    <w:p w:rsidRPr="00392DD1" w:rsidR="00392DD1" w:rsidP="00392DD1" w:rsidRDefault="00392DD1" w14:paraId="456DFDC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Curtea de Apel reţine că în prezenta cauză este investită cu soluţionarea unui recurs principal şi cu două cereri de recurs incident, toate cererile de recurs fiind legal timbrate.</w:t>
      </w:r>
    </w:p>
    <w:p w:rsidRPr="00392DD1" w:rsidR="00392DD1" w:rsidP="00392DD1" w:rsidRDefault="00392DD1" w14:paraId="27AE57A6" w14:textId="4F268F0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Întrebaţi fiind de către instanţă, apărătorul ales al recurentului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şi 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arată că nu au chestiuni prealabile de formulat.</w:t>
      </w:r>
    </w:p>
    <w:p w:rsidRPr="00392DD1" w:rsidR="00392DD1" w:rsidP="00392DD1" w:rsidRDefault="00392DD1" w14:paraId="66653B4B" w14:textId="37B5BDC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Având cuvântul asupra probelor, 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arată că în cauză s-a solicitat încuviinţarea probei cu înscrisuri, precum şi, în mod expres, să se pună în vedere intimatei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să prezinte situaţia locuinţelor de serviciu aferente titularului de cotă Inspectoratul pentru Situaţii de Urgenţă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54A08AB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Precizează faptul că, prin toate cele trei întâmpinări formulate de instituţiile publice intimate se ignoră în mod voit faptul că titularul de cotă al acestei locuinţe de serviciu este Inspectoratul pentru Situaţii de Urgenţă, acesta fiind singurul care are dreptul să decidă cu privire la vânzarea locuinţelor.</w:t>
      </w:r>
    </w:p>
    <w:p w:rsidRPr="00392DD1" w:rsidR="00392DD1" w:rsidP="00392DD1" w:rsidRDefault="00392DD1" w14:paraId="2DF703A6" w14:textId="615CE08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Ca atare, solicită instanţei de recurs să pună în vedere intimatei să prezinte această corespondenţă dintre instituţiile implicate, respectiv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Inspectoratul pentru Situaţii de Urgenţă cu privire la situaţia locativă, exclusiv în ceea ce priveşte locuinţele de serviciu al căror titular de cotă este Inspectoratul pentru Situaţii de Urgenţă.</w:t>
      </w:r>
    </w:p>
    <w:p w:rsidRPr="00392DD1" w:rsidR="00392DD1" w:rsidP="00392DD1" w:rsidRDefault="00392DD1" w14:paraId="7853B75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Potrivit apărătorului, este vorba despre locuinţe de serviciu destinate militarilor, iar recurentul – reclamant a avut calitatea de militar, şi nu de poliţist. </w:t>
      </w:r>
    </w:p>
    <w:p w:rsidRPr="00392DD1" w:rsidR="00392DD1" w:rsidP="00392DD1" w:rsidRDefault="00392DD1" w14:paraId="3EAE769A" w14:textId="584463A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Cu privire la proba solicitată, consilier juridic </w:t>
      </w:r>
      <w:r>
        <w:rPr>
          <w:rFonts w:ascii="Times New Roman" w:hAnsi="Times New Roman" w:eastAsia="Times New Roman" w:cs="Times New Roman"/>
          <w:kern w:val="0"/>
          <w:sz w:val="24"/>
          <w:szCs w:val="20"/>
          <w:lang w:val="ro-RO" w:eastAsia="en-GB"/>
          <w14:ligatures w14:val="none"/>
        </w:rPr>
        <w:t>D</w:t>
      </w:r>
      <w:r w:rsidRPr="00392DD1">
        <w:rPr>
          <w:rFonts w:ascii="Times New Roman" w:hAnsi="Times New Roman" w:eastAsia="Times New Roman" w:cs="Times New Roman"/>
          <w:kern w:val="0"/>
          <w:sz w:val="24"/>
          <w:szCs w:val="20"/>
          <w:lang w:val="ro-RO" w:eastAsia="en-GB"/>
          <w14:ligatures w14:val="none"/>
        </w:rPr>
        <w:t xml:space="preserve"> subliniază faptul că la nivelul judeţului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există un număr de 18 locuinţe de serviciu destinate tuturor structurilor Ministerului Afacerilor Interne din judeţul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4608C9B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Curtea apreciază că s-a răspuns acestei solicitări.</w:t>
      </w:r>
    </w:p>
    <w:p w:rsidRPr="00392DD1" w:rsidR="00392DD1" w:rsidP="00392DD1" w:rsidRDefault="00392DD1" w14:paraId="5A2E3350" w14:textId="50F6B81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se opune administrării probei, apreciind că nu este oportună raportat la prevederile art. 20 din Ordinul M.A.I. nr. 243/2011, în cuprinsul căruia se face referire la posibilitatea ca, în situaţia în care o locuinţă de serviciu nu mai este necesară unui titular de cotă, să fie dată altui titular de cotă, respectiv altei unităţi a Ministerului Afacerilor Interne.</w:t>
      </w:r>
    </w:p>
    <w:p w:rsidRPr="00392DD1" w:rsidR="00392DD1" w:rsidP="00392DD1" w:rsidRDefault="00392DD1" w14:paraId="39735DC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unanimitate, Curtea respinge proba cu înscrisuri solicitată de către recurent, prin cererea de recurs, având în vedere limitele investirii în prezenta cauză şi ceea ce s-a soluţionat la fond, precum şi recursul formulat, respectiv motivele de recurs invocate. Apreciază că administrarea acestei probe nu este utilă pentru soluţionarea recursului dedus judecăţii.</w:t>
      </w:r>
    </w:p>
    <w:p w:rsidRPr="00392DD1" w:rsidR="00392DD1" w:rsidP="00392DD1" w:rsidRDefault="00392DD1" w14:paraId="19E078DA" w14:textId="402B76F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Apărătorul ales al recurentului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şi 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arată că nu au alte solicitări de formulat în cauză.</w:t>
      </w:r>
    </w:p>
    <w:p w:rsidRPr="00392DD1" w:rsidR="00392DD1" w:rsidP="00392DD1" w:rsidRDefault="00392DD1" w14:paraId="5388FE76" w14:textId="03E86FE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Nemaifiind alte cereri, Curtea de Apel acordă cuvântul în privinţa recursului principal formulat împotriva sentinţei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a recursurilor incidente promovate de pârâtul Inspectoratul General al Poliţiei Române, împotriva aceleiași hotărâri judecătoreşti şi de pârâtul Ministerul Afacerilor Interne, atât împotriva sentinţei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cât şi a încheierii din data de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ambele pronunţate de Tribunalul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4996E8B5" w14:textId="3CC05A1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având cuvântul, solicită admiterea recursului formulat de reclamantul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pentru toate motivele de fapt şi de drept invocate în cererea de recurs, cu consecinţa anulării actului de refuz al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3D6A3A8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Cu privire la celelalte puncte, având în vedere faptul că nu este titularul contractului de asistenţă juridică încheiat cu recurentul – reclamant, solicită amânarea pronunţării pentru a oferi apărătorului ales posibilitatea de a formula concluzii scrise. Totodată, solicită respingerea recursurilor incidente formulate de instituţiile publice pârâte; fără cheltuieli de judecată.</w:t>
      </w:r>
    </w:p>
    <w:p w:rsidRPr="00392DD1" w:rsidR="00392DD1" w:rsidP="00392DD1" w:rsidRDefault="00392DD1" w14:paraId="2F55020C" w14:textId="5F36C15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Curtea de Apel reţine că recurentul – intimat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a formulat răspuns la întâmpinare.</w:t>
      </w:r>
    </w:p>
    <w:p w:rsidRPr="00392DD1" w:rsidR="00392DD1" w:rsidP="00392DD1" w:rsidRDefault="00392DD1" w14:paraId="6B3C637E" w14:textId="3A136F8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Interpelat fiind, avocat </w:t>
      </w:r>
      <w:r>
        <w:rPr>
          <w:rFonts w:ascii="Times New Roman" w:hAnsi="Times New Roman" w:eastAsia="Times New Roman" w:cs="Times New Roman"/>
          <w:kern w:val="0"/>
          <w:sz w:val="24"/>
          <w:szCs w:val="20"/>
          <w:lang w:val="ro-RO" w:eastAsia="en-GB"/>
          <w14:ligatures w14:val="none"/>
        </w:rPr>
        <w:t>B</w:t>
      </w:r>
      <w:r w:rsidRPr="00392DD1">
        <w:rPr>
          <w:rFonts w:ascii="Times New Roman" w:hAnsi="Times New Roman" w:eastAsia="Times New Roman" w:cs="Times New Roman"/>
          <w:kern w:val="0"/>
          <w:sz w:val="24"/>
          <w:szCs w:val="20"/>
          <w:lang w:val="ro-RO" w:eastAsia="en-GB"/>
          <w14:ligatures w14:val="none"/>
        </w:rPr>
        <w:t xml:space="preserve"> precizează că nu are alte chestiuni de invocat în afara celor exprimate prin răspunsul la întâmpinare.</w:t>
      </w:r>
    </w:p>
    <w:p w:rsidRPr="00392DD1" w:rsidR="00392DD1" w:rsidP="00392DD1" w:rsidRDefault="00392DD1" w14:paraId="06C1D083" w14:textId="4BB7FE9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având cuvântul, solicită respingerea recursului principal, apreciind că sentinţa pronunţată de instanţa de fond este legală şi temeinică. În acest sens, arată că instanţa de fond a analizat cererea reclamantului şi a apreciat că recursul celor două instituţii este unul justificat, raportat la interesul public care se urmăreşte a fi apărat în cazul de faţă.</w:t>
      </w:r>
    </w:p>
    <w:p w:rsidRPr="00392DD1" w:rsidR="00392DD1" w:rsidP="00392DD1" w:rsidRDefault="00392DD1" w14:paraId="5468EF41" w14:textId="49D8267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Consilier juridic </w:t>
      </w:r>
      <w:r>
        <w:rPr>
          <w:rFonts w:ascii="Times New Roman" w:hAnsi="Times New Roman" w:eastAsia="Times New Roman" w:cs="Times New Roman"/>
          <w:kern w:val="0"/>
          <w:sz w:val="24"/>
          <w:szCs w:val="20"/>
          <w:lang w:val="ro-RO" w:eastAsia="en-GB"/>
          <w14:ligatures w14:val="none"/>
        </w:rPr>
        <w:t>D</w:t>
      </w:r>
      <w:r w:rsidRPr="00392DD1">
        <w:rPr>
          <w:rFonts w:ascii="Times New Roman" w:hAnsi="Times New Roman" w:eastAsia="Times New Roman" w:cs="Times New Roman"/>
          <w:kern w:val="0"/>
          <w:sz w:val="24"/>
          <w:szCs w:val="20"/>
          <w:lang w:val="ro-RO" w:eastAsia="en-GB"/>
          <w14:ligatures w14:val="none"/>
        </w:rPr>
        <w:t xml:space="preserve"> arată că la nivelul judeţului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există 18 locuinţe de serviciu, care sunt necesare tuturor angajaţilor Ministerului Afacerilor Interne din judeţ, iar vânzarea în acest moment a acestei locuinţe ar prejudicia statul, prin prisma faptului că ea nu ar putea fi repartizată unui alt angajat al Ministerului Afacerilor Interne, inspectoratul fiind nevoit să achite o chirie în mod suplimentar. </w:t>
      </w:r>
    </w:p>
    <w:p w:rsidRPr="00392DD1" w:rsidR="00392DD1" w:rsidP="00392DD1" w:rsidRDefault="00392DD1" w14:paraId="58AF7D42" w14:textId="238819B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 xml:space="preserve">Precizează faptul că, în prezent, locuinţa a fost repartizată unui alt lucrător al Inspectoratului pentru Situaţii de Urgenţă, datorită faptului că reclamantul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s-a pensionat şi a eliberat locuinţa.</w:t>
      </w:r>
    </w:p>
    <w:p w:rsidRPr="00392DD1" w:rsidR="00392DD1" w:rsidP="00392DD1" w:rsidRDefault="00392DD1" w14:paraId="5F65355A" w14:textId="0D07303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Totodată, reprezentantul convenţional al intimatului Inspectoratul de Poliţie Judeţean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solicită admiterea recursurilor formulate de Inspectoratul General al Poliţiei Române şi de Ministerul Afacerilor Interne astfel cum acestea au fost formulate. Apreciază că doar instituţia pe care o reprezintă are calitate procesuală pasivă.</w:t>
      </w:r>
    </w:p>
    <w:p w:rsidRPr="00392DD1" w:rsidR="00392DD1" w:rsidP="00392DD1" w:rsidRDefault="00392DD1" w14:paraId="48BC98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Curtea reţine cauza în pronunţare.</w:t>
      </w:r>
    </w:p>
    <w:p w:rsidRPr="00392DD1" w:rsidR="00392DD1" w:rsidP="00392DD1" w:rsidRDefault="00392DD1" w14:paraId="063392C4"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03920D06"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                                                           </w:t>
      </w:r>
      <w:r w:rsidRPr="00392DD1">
        <w:rPr>
          <w:rFonts w:ascii="Times New Roman" w:hAnsi="Times New Roman" w:eastAsia="Times New Roman" w:cs="Times New Roman"/>
          <w:b/>
          <w:kern w:val="0"/>
          <w:sz w:val="24"/>
          <w:szCs w:val="20"/>
          <w:lang w:val="ro-RO" w:eastAsia="en-GB"/>
          <w14:ligatures w14:val="none"/>
        </w:rPr>
        <w:t xml:space="preserve"> Curtea de Apel,</w:t>
      </w:r>
    </w:p>
    <w:p w:rsidRPr="00392DD1" w:rsidR="00392DD1" w:rsidP="00392DD1" w:rsidRDefault="00392DD1" w14:paraId="150A4BEA"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392DD1" w:rsidR="00392DD1" w:rsidP="00392DD1" w:rsidRDefault="00392DD1" w14:paraId="470F1458" w14:textId="780F832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Împotriva sentinței civile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declarat recurs reclamantul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invocând incidența motivului de casare invocat de dispozițiile art. 488 alin. (1) pct. 8 din Codul de procedură civilă.</w:t>
      </w:r>
    </w:p>
    <w:p w:rsidRPr="00392DD1" w:rsidR="00392DD1" w:rsidP="00392DD1" w:rsidRDefault="00392DD1" w14:paraId="288C409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Potrivit recurentului, că în speță se pune problema de drept dacă acţiunea dedusă judecății este o veritabilă acţiune în contencios administrativ sau o acţiune de drept comun. Această chestiune trebuie analizată prin prisma obiectului cererii de chemare in judecată. </w:t>
      </w:r>
    </w:p>
    <w:p w:rsidRPr="00392DD1" w:rsidR="00392DD1" w:rsidP="00392DD1" w:rsidRDefault="00392DD1" w14:paraId="2797E6A2" w14:textId="5C437FE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Astfel, prin acţiune reclamantul a solicitat anularea Deciziei IPJ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/2019 și a Deciziei IGPR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/2019, urmând a se aprecia că cele două acte atacate reprezintă sau nu acte administrative, ştiut fiind că acţiunea în contencios administrativ are întotdeauna ca obiect un act administrativ. </w:t>
      </w:r>
    </w:p>
    <w:p w:rsidRPr="00392DD1" w:rsidR="00392DD1" w:rsidP="00392DD1" w:rsidRDefault="00392DD1" w14:paraId="0977AAA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Or, faptul că litigiul a fost soluţionat în primă instanţă de secţia de contencios administrativ nu este de plano un criteriu semnalizator al naturii administrative a litigiului, ştiut fiind că natura unui litigiu nu este dată de instanţa competentă.</w:t>
      </w:r>
    </w:p>
    <w:p w:rsidRPr="00392DD1" w:rsidR="00392DD1" w:rsidP="00392DD1" w:rsidRDefault="00392DD1" w14:paraId="4EDA54F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Apreciază că cele două acte atacate nu reprezintă acte administrative. </w:t>
      </w:r>
    </w:p>
    <w:p w:rsidRPr="00392DD1" w:rsidR="00392DD1" w:rsidP="00392DD1" w:rsidRDefault="00392DD1" w14:paraId="28FA0CC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definiţiei legale a actului administrative, cuprinsă în art. 2 alin (1) lit. c) din Legea 554/2004, actul administrativ este „actul unilateral cu caracter individual sau normativ emis de o autoritate publică, în regim de putere publică, în vederea organizării executării legii sau a executării în concret a legii, care dă naştere, modifică sau stinge raporturi juridice”.</w:t>
      </w:r>
    </w:p>
    <w:p w:rsidRPr="00392DD1" w:rsidR="00392DD1" w:rsidP="00392DD1" w:rsidRDefault="00392DD1" w14:paraId="1BC8021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Fără a intra într-o analiză detaliată a acestei definiţii, subliniază faptul că una dintre caracteristicile actului administrativ este regimul de „putere publică”. Aşadar, nu orice act juridic emis de către o instituție publică este de plano un act administrativ. Pentru a dobândi această natură juridică, el trebuie să fie emis în regim de putere publică.</w:t>
      </w:r>
    </w:p>
    <w:p w:rsidRPr="00392DD1" w:rsidR="00392DD1" w:rsidP="00392DD1" w:rsidRDefault="00392DD1" w14:paraId="6305B64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art. 5 lit. j) din Codul administrativ, regimul de putere publică reprezintă ansamblul prerogativelor şi constrângerilor prevăzute de lege în vederea exercitării atribuţiilor autorităţilor şi instituţiilor administraţiei publice (...).</w:t>
      </w:r>
    </w:p>
    <w:p w:rsidRPr="00392DD1" w:rsidR="00392DD1" w:rsidP="00392DD1" w:rsidRDefault="00392DD1" w14:paraId="6D2E8DE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art. 16 alin. (1) din Legea Poliţiei Române nr. 218/2002, atribuţiile şi structura organizatorică ale Inspectoratului General al Poliţiei Române, Direcţiei generale de poliţie a municipiului Bucureşti şi inspectoratelor de poliţie judeţene se stabilesc prin regulamente de organizare şi funcţionare.</w:t>
      </w:r>
    </w:p>
    <w:p w:rsidRPr="00392DD1" w:rsidR="00392DD1" w:rsidP="00392DD1" w:rsidRDefault="00392DD1" w14:paraId="2E075F31" w14:textId="2269897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Astfel, pârâtul Inspectoratul Judeţean de Poliţie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nu are printre atribuţiile sale menţionate în ROF pe aceea de a vinde locuinţele de serviciu. Aceasta nu înseamnă că Inspectoratul de Poliție Județean nu are dreptul sa vândă, ci înseamnă doar faptul că această activitate nu intră în noţiunea de „atribuţii”, deoarece atribuţiile reprezintă ansamblul activităţilor pe care o instituţie le poate desfăşură pentru îndeplinirea scopurilor pentru care a fost creată. Or, Inspectoratul de Poliție Județean nu a fost creat pentru a vinde locuinţe.</w:t>
      </w:r>
    </w:p>
    <w:p w:rsidRPr="00392DD1" w:rsidR="00392DD1" w:rsidP="00392DD1" w:rsidRDefault="00392DD1" w14:paraId="6BDBA72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Din acest motiv apreciază că actele atacate nu sunt emise în regim de putere publică, nefiind adoptate în exercitarea atribuţiilor stabilite prin ROF. De aceea, ele nu reprezintă acte administrative. Practic, actele juridice atacate nu reprezintă decât un simplu refuz de a contracta, instituţie care are un veritabil accent civil, iar nu administrativ.</w:t>
      </w:r>
    </w:p>
    <w:p w:rsidRPr="00392DD1" w:rsidR="00392DD1" w:rsidP="00392DD1" w:rsidRDefault="00392DD1" w14:paraId="64A8608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Nici faptul că pârâtul are calitatea de instituţie publică nu reprezintă un element suficient pentru încadrarea actului în categoria actelor administrative, deoarece instituţiile publice nu încheie doar acte administrative.</w:t>
      </w:r>
    </w:p>
    <w:p w:rsidRPr="00392DD1" w:rsidR="00392DD1" w:rsidP="00392DD1" w:rsidRDefault="00392DD1" w14:paraId="2A8C017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De aceea, în principal, apreciază că prezentul litigiu este un litigiu de drept civil, pentru care calea de atac este apelul.</w:t>
      </w:r>
    </w:p>
    <w:p w:rsidRPr="00392DD1" w:rsidR="00392DD1" w:rsidP="00392DD1" w:rsidRDefault="00392DD1" w14:paraId="58213E0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Chiar dacă potrivit art. 6 alin. (1) din Normele aprobate prin Ordinul 678/2008 se prevede că „solicitantul poate contesta modul de soluţionare a cererii, în condiţiile Legii contenciosului administrativ nr. 554/2004”, apreciază că printr-un act administrativ, fie el cu caracter normativ, nu se pot adopta norme care privesc competenta instanţelor de judecată.</w:t>
      </w:r>
    </w:p>
    <w:p w:rsidRPr="00392DD1" w:rsidR="00392DD1" w:rsidP="00392DD1" w:rsidRDefault="00392DD1" w14:paraId="0E5629F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Această concluzie este susţinută de jurisprudenţa înaltei Curţi de Casaţie şi Justiţie care, într-o speţă referitoare la aplicabilitatea normelor de competenţă stabilite prin Regulamentul de funcţionare a Curţii de Conturi, a arătat în Decizia nr. 2374/2013 faptul că:</w:t>
      </w:r>
    </w:p>
    <w:p w:rsidRPr="00392DD1" w:rsidR="00392DD1" w:rsidP="00392DD1" w:rsidRDefault="00392DD1" w14:paraId="1A94361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„Este adevărat că regulamentul menţionat cuprinde procedura de contestare a deciziilor structurilor judeţene ale Curţii de Conturi, prevăzându-se la art. 227 că împotriva încheierii emise de comisia de soluţionare a contestaţiilor, conducătorul entităţii verificate poate sesiza instanţa de contencios administrativ competentă în condiţiile Legii contenciosului administrativ. Potrivit art. 228 din acelaşi regulament, „competenţa de soluţionare a sesizării formulate de conducătorul entităţii verificate împotriva încheierii emise de comisia de soluţionare a contestaţiilor, aparţine Secţiei de contencios administrativ şi fiscal din cadrul curţii de apel în a cărei rază teritorială se află sediul entităţii verificate în condiţiile Legii contenciosului administrativ”. Referindu-se la competenţa instanţelor de contencios administrativ, dispoziţiile art. 10 alin. (1) din Legea nr. 554/2004, prevăd că: „Litigiile privind actele administrative emise sau încheiate de autorităţile publice locale şi judeţene, precum şi cele care privesc taxe şi impozite, contribuţii, datorii vamale, precum şi accesorii ale acestora de până la 500.000 de lei se soluţionează în fond de tribunalele administrativ – fiscale, iar cele privind actele administrative emise sau încheiate de autorităţile publice centrale, precum şi cele care privesc taxe şi impozite, contribuţii, datorii vamale, precum şi accesorii ale acestora mai mari de 500.000 de lei se soluţionează în fond de secţiile de contencios administrativ şi fiscal ale curţilor de apel, dacă prin lege organică specială nu se prevede altfel”.</w:t>
      </w:r>
    </w:p>
    <w:p w:rsidRPr="00392DD1" w:rsidR="00392DD1" w:rsidP="00392DD1" w:rsidRDefault="00392DD1" w14:paraId="42EB7F3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Dat fiind faptul că dispoziţiile din regulament menţionate fac trimitere la Legea contenciosului administrativ, se pune problema stabilirii competenţei materiale de soluţionare a cauzei, referitoare la actul administrativ care constituie obiectul cererii deduse judecăţii, acesta fiind emis de o structură judeţeană a Curţii de Conturi, respectiv de o autoritate publică judeţeană.</w:t>
      </w:r>
    </w:p>
    <w:p w:rsidRPr="00392DD1" w:rsidR="00392DD1" w:rsidP="00392DD1" w:rsidRDefault="00392DD1" w14:paraId="5F7B8A8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Dispoziţiile art. 228 din Regulamentul aprobat prin Hotărârea Plenului Curţii de Conturi nr. 130/2010 sunt contrare prevederilor art. 10 alin. (1) din Legea nr. 55472004, care reprezintă dreptul comun în materia contenciosului administrativ, inclusiv în ceea ce priveşte competenţa instanţelor de contencios administrativ.</w:t>
      </w:r>
    </w:p>
    <w:p w:rsidRPr="00392DD1" w:rsidR="00392DD1" w:rsidP="00392DD1" w:rsidRDefault="00392DD1" w14:paraId="217DAC4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De la dreptul comun prevăzut de art. 10 alin. (1) din Legea nr. 554/2004, se poate deroga doar prin dispoziţii speciale cuprinse într-o lege organică specială.</w:t>
      </w:r>
    </w:p>
    <w:p w:rsidRPr="00392DD1" w:rsidR="00392DD1" w:rsidP="00392DD1" w:rsidRDefault="00392DD1" w14:paraId="6D467D0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Regulamentul aprobat prin Hotărârea Plenului Curţii de Conturi nr. 130/2010 nu intră în categoria legilor organice speciale, astfel că se va stabili competenţa materială în raport de dispoziţiile art. 10 alin. (1) din Legea nr. 554/2004, cu modificările şi completările ulterioare.</w:t>
      </w:r>
    </w:p>
    <w:p w:rsidRPr="00392DD1" w:rsidR="00392DD1" w:rsidP="00392DD1" w:rsidRDefault="00392DD1" w14:paraId="4437449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concluzie (...) Înalta Curte, ţinând seama de dispoziţiile art. 10 alin. (1) din Legea nr. 554/2004 şi art. 2 C. proc. civ., stabileşte că în cazul în care se respinge total sau parţial contestaţia împotriva deciziei structurii Curţii de Conturi, revine competenţa materială de soluţionare a cauzei tribunalului - Secţia contencios administrativ şi fiscal, întrucât obiectul litigiului este un act administrativ emis de o structură judeţeană a Curţii de Conturi, ca autoritate publică judeţeană.</w:t>
      </w:r>
    </w:p>
    <w:p w:rsidRPr="00392DD1" w:rsidR="00392DD1" w:rsidP="00392DD1" w:rsidRDefault="00392DD1" w14:paraId="174F46F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Aceeaşi soluţie a fost pronunţată de Înalta Curte de Casaţie şi Justiţie prin Decizia 2059/2012.</w:t>
      </w:r>
    </w:p>
    <w:p w:rsidRPr="00392DD1" w:rsidR="00392DD1" w:rsidP="00392DD1" w:rsidRDefault="00392DD1" w14:paraId="57628A6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Aşadar, există o practică judiciară constantă a Înaltei Curţi în ceea ce priveşte inaplicabilitatea normelor de competență judecătorească stabilite prin acte administrative, ceea ce conduce la concluzia că nici art. 6 alin. (1) din Normele aprobate prin Ordinul nr. 678/2008 nu pot fi aplicate în speță.</w:t>
      </w:r>
    </w:p>
    <w:p w:rsidRPr="00392DD1" w:rsidR="00392DD1" w:rsidP="00392DD1" w:rsidRDefault="00392DD1" w14:paraId="7A65A53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 În subsidiar, pentru a nu risca respingerea căii de atac ca inadmisibilă, solicită considerarea acesteia ca fiind recurs.</w:t>
      </w:r>
    </w:p>
    <w:p w:rsidRPr="00392DD1" w:rsidR="00392DD1" w:rsidP="00392DD1" w:rsidRDefault="00392DD1" w14:paraId="287FB6C6" w14:textId="6653C8E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susținerea căii de atac promovate, recurentul susține că pârâtul Inspectoratul de Poliție Județean I</w:t>
      </w:r>
      <w:r w:rsidR="00E34E66">
        <w:rPr>
          <w:rFonts w:ascii="Times New Roman" w:hAnsi="Times New Roman" w:eastAsia="Times New Roman" w:cs="Times New Roman"/>
          <w:kern w:val="0"/>
          <w:sz w:val="24"/>
          <w:szCs w:val="20"/>
          <w:lang w:val="ro-RO" w:eastAsia="en-GB"/>
          <w14:ligatures w14:val="none"/>
        </w:rPr>
        <w:t xml:space="preserve">. </w:t>
      </w:r>
      <w:r w:rsidRPr="00392DD1">
        <w:rPr>
          <w:rFonts w:ascii="Times New Roman" w:hAnsi="Times New Roman" w:eastAsia="Times New Roman" w:cs="Times New Roman"/>
          <w:kern w:val="0"/>
          <w:sz w:val="24"/>
          <w:szCs w:val="20"/>
          <w:lang w:val="ro-RO" w:eastAsia="en-GB"/>
          <w14:ligatures w14:val="none"/>
        </w:rPr>
        <w:t>este doar unitatea de administrare a locuinţelor, nu şi titularul de cotă. Potrivit art. 1 alin. (2) din Normele aprobate de Ordinul nr. 678/2008, „prin unitate de administrare se înțelege unitatea Ministerului Internelor şi Reformei Administrative în evidenţele căreia este înregistrată locuinţa de serviciu”.</w:t>
      </w:r>
    </w:p>
    <w:p w:rsidRPr="00392DD1" w:rsidR="00392DD1" w:rsidP="00392DD1" w:rsidRDefault="00392DD1" w14:paraId="46939F93" w14:textId="3345F41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Conform art. 12 din acelaşi Ordin, entitatea care semnează contractul de vânzare a locuinţelor de serviciu este unitatea de administrare, în speţă Inspectoratul de Poliție Județean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Cu toate acestea însă, titularul de cotă este Inspectoratul pentru Situaţii de Urgenţă.</w:t>
      </w:r>
    </w:p>
    <w:p w:rsidRPr="00392DD1" w:rsidR="00392DD1" w:rsidP="00392DD1" w:rsidRDefault="00392DD1" w14:paraId="285D957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Noţiunea de titular de cotă este definita de lit. o) din Anexa nr. 1 la Ordinul nr. 243/2011: titulari de cotă de locuinţe - unităţile/structurile Ministerului Afacerilor Interne cărora le sunt repartizate numeric locuinţele, respectiv inspectoratele generale, unităţile centrale şi alte unităţi necuprinse în structura acestora, pentru municipiul Bucureşti, iar în teritoriu, inspectoratele şi celelalte unităţi necuprinse în structura acestora de pe raza teritorială respectivă.</w:t>
      </w:r>
    </w:p>
    <w:p w:rsidRPr="00392DD1" w:rsidR="00392DD1" w:rsidP="00392DD1" w:rsidRDefault="00392DD1" w14:paraId="293C69A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Totodată, potrivit art. 10 alin. (6) din Ordinul 243/2011, în structurile Ministerului Afacerilor Interne, din Garnizoana Bucureşti şi din judeţe, se constituie comitete de analiză şi repartizare nominală a locuinţelor la nivelul titularilor de cotă, iar potrivit alin. (7) „repartizarea numerică a locuinţelor se face procentual, în funcţie de numărul solicitărilor angajaţilor structurii, în limita fondului locativ existent, transmise conform prevederilor”.</w:t>
      </w:r>
    </w:p>
    <w:p w:rsidRPr="00392DD1" w:rsidR="00392DD1" w:rsidP="00392DD1" w:rsidRDefault="00392DD1" w14:paraId="0DAECB19" w14:textId="05CF3D5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Cu alte cuvinte, fiecare structură a Ministerului Afacerilor Interne are dreptul la o cotă de locuinţe ce i se atribuie de către Comisia prevăzută de art. 10 alin. (6) din Ordinul nr. 243/2011 necesară pentru uzul angajaţilor acelei structuri. Chiar dacă pentru toate locuinţele de serviciu din judeţul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titularul de administrare este Inspectoratul de Poliție Județean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totuşi acesta este titular de cotă doar pentru locuinţele necesare angajaţilor Poliţiei pe care le gestionează în calitate de titular de cotă.</w:t>
      </w:r>
    </w:p>
    <w:p w:rsidRPr="00392DD1" w:rsidR="00392DD1" w:rsidP="00392DD1" w:rsidRDefault="00392DD1" w14:paraId="05B228DF" w14:textId="50E653A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Similar, Inspectoratul pentru Situații de Urgență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este titular de cotă pentru locuinţele ce i-au fost repartizate. Subliniază faptul că locuinţele atribuite unui titular de cotă nu pot fi utilizate pentru angajaţii altei structuri din Ministerul Afacerilor Interne. Prin urmare, locuinţele atribuite Inspectoratului pentru Situații de Urgență nu pot fi utilizate pentru uzul angajaţilor Inspectoratului de Poliție Județean, acest regim fiind strict reglementat de dispoziţiile art. 15-20 din Ordinul nr. 243/2011.</w:t>
      </w:r>
    </w:p>
    <w:p w:rsidRPr="00392DD1" w:rsidR="00392DD1" w:rsidP="00392DD1" w:rsidRDefault="00392DD1" w14:paraId="1ED69BA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În acest sens, evidențiază faptul că atunci când se analizează necesarul de locuinţe si oportunitatea vânzării acestora către angajaţi este necesar sa fie vizat titularul de cotă urmând ca doar situaţia acestuia sa fie analizată, iar nu situaţia altui titular de cotă sau a tuturor titularilor de cotă în ansamblu. </w:t>
      </w:r>
    </w:p>
    <w:p w:rsidRPr="00392DD1" w:rsidR="00392DD1" w:rsidP="00392DD1" w:rsidRDefault="00392DD1" w14:paraId="2A1D0DD6" w14:textId="57035A7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speţă, deşi reclamantul a fost lucrător în cadrul Inspectoratului pentru Situații de Urgență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unic titular de cotă în ceea ce priveşte locuinţa vizată, prima instanţă a analizat situaţia fondului locativ la nivelul judeţului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nefiind clar (în lipsa unor probe în acest sens) dacă instanţa a avut în vedere locuinţele atribuite titularului de cotă Inspectoratul de Poliție Județean l</w:t>
      </w:r>
      <w:r>
        <w:rPr>
          <w:rFonts w:ascii="Times New Roman" w:hAnsi="Times New Roman" w:eastAsia="Times New Roman" w:cs="Times New Roman"/>
          <w:kern w:val="0"/>
          <w:sz w:val="24"/>
          <w:szCs w:val="20"/>
          <w:lang w:val="ro-RO" w:eastAsia="en-GB"/>
          <w14:ligatures w14:val="none"/>
        </w:rPr>
        <w:t xml:space="preserve">. </w:t>
      </w:r>
      <w:r w:rsidRPr="00392DD1">
        <w:rPr>
          <w:rFonts w:ascii="Times New Roman" w:hAnsi="Times New Roman" w:eastAsia="Times New Roman" w:cs="Times New Roman"/>
          <w:kern w:val="0"/>
          <w:sz w:val="24"/>
          <w:szCs w:val="20"/>
          <w:lang w:val="ro-RO" w:eastAsia="en-GB"/>
          <w14:ligatures w14:val="none"/>
        </w:rPr>
        <w:t>sau, în ansamblu, toate locuinţele de serviciu din judeţul l</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ale tuturor titularilor de cotă (Jandarmeria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Poliţia de Frontieră, Inspectoratul pentru Situații de Urgență şi Inspectoratul de Poliție Județean). Or, atunci când a analizat deficitul de locuinţe, ca suport al </w:t>
      </w:r>
      <w:r w:rsidRPr="00392DD1">
        <w:rPr>
          <w:rFonts w:ascii="Times New Roman" w:hAnsi="Times New Roman" w:eastAsia="Times New Roman" w:cs="Times New Roman"/>
          <w:kern w:val="0"/>
          <w:sz w:val="24"/>
          <w:szCs w:val="20"/>
          <w:lang w:val="ro-RO" w:eastAsia="en-GB"/>
          <w14:ligatures w14:val="none"/>
        </w:rPr>
        <w:lastRenderedPageBreak/>
        <w:t>justificării refuzului de a vinde, prima instanţă nu a făcut-o prin raportare la necesităţile titularului de cotă (Inspectoratul pentru Situații de Urgență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37A893DF" w14:textId="5FF5AB0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Ca atare, în condiţiile în care deficitul de locuinţe trebuia analizat doar prin raportare la Inspectoratul pentru Situații de Urgență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subliniază faptul că în întreg dosarul nu se regăseşte o minimă dovadă de unde să reiasă acest presupus deficit. Apreciază că, dacă ar fi existat acest presupus deficit la nivelul Inspectoratului pentru Situații de Urgență, ar fi fost nevoie de corespondenţă între instituţiile implicate cu privire la situaţia locativă, procese – verbale ale comitetelor de analiză, evidenţe statistice, solicitări ale angajaţilor, care să stea la baza deciziei prin care s-au stabilit oportunitatea vânzării şi deficitul de locuinţe.</w:t>
      </w:r>
    </w:p>
    <w:p w:rsidRPr="00392DD1" w:rsidR="00392DD1" w:rsidP="00392DD1" w:rsidRDefault="00392DD1" w14:paraId="593DB6A4" w14:textId="7F4D970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Mai mult, prin corespondenţa trimisă de către titularul de cotă Inspectoratul pentru Situații de Urgență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către Inspectoratul de Poliție Județean l</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înregistrată sub nr.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/08.07.2019 şi </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/18.08.2020, Inspectoratul pentru Situații de Urgență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susţinut faptul că este titular de cotă şi, totodată, a recunoscut dreptul reclamantului de a cumpăra locuinţa de serviciu. Altfel spus, titularul de cotă Inspectoratul pentru Situații de Urgență I</w:t>
      </w:r>
      <w:r>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pe lângă faptul că a recunoscut dreptul conferit de lege de a cumpăra locuinţa, nu a invocat niciun moment prin adresele transmise vreun deficit la nivelul instituţiei.</w:t>
      </w:r>
    </w:p>
    <w:p w:rsidRPr="00392DD1" w:rsidR="00392DD1" w:rsidP="00392DD1" w:rsidRDefault="00392DD1" w14:paraId="2F94893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ceea ce privește încălcarea dreptului la o bună administrare, art. 41 din Carta Drepturilor Fundamentale ale Uniunii Europene, recurentul arată că, prin Constituția României nu se prevede, expressis verbis dreptul la bună administrare, însă având în vedere calitatea de stat membru al Uniunii Europene pe care îl are România şi în conformitate cu dispoziţiile art. 148 alin. (2) din Constituţie, conform cărora „prevederile tratatelor constitutive ale Uniunii Europene, precum şi celelalte reglementări comunitare cu caracter obligatoriu, au prioritate faţă de dispoziţiile contrare din legile interne”, acesta poate fi invocat şi în plan naţional.</w:t>
      </w:r>
    </w:p>
    <w:p w:rsidRPr="00392DD1" w:rsidR="00392DD1" w:rsidP="00392DD1" w:rsidRDefault="00392DD1" w14:paraId="7061FD4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recurentului, „dreptul la bună administrare reflectă un principiu general al dreptului Uniunii”, astfel precum relevă jurisprudenţa Curţii de Ia Luxemburg, principiu care ar trebui să guverneze şi administraţia publică română. În vederea realizării unei bune administrări, la nivelul Uniunii Europene este în vigoare un Cod european al bunei conduite administrative, care cuprinde principiile generale de bună conduită administrativă, care se aplică tuturor raporturilor dintre instituţii şi administraţiile acestora şi public.</w:t>
      </w:r>
    </w:p>
    <w:p w:rsidRPr="00392DD1" w:rsidR="00392DD1" w:rsidP="00392DD1" w:rsidRDefault="00392DD1" w14:paraId="7A3F040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Dintre acestea, apreciază relevante în cauză următoarele principii:</w:t>
      </w:r>
    </w:p>
    <w:p w:rsidRPr="00392DD1" w:rsidR="00392DD1" w:rsidP="00392DD1" w:rsidRDefault="00392DD1" w14:paraId="5E8B76C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1. Nediscriminare — art. 5 - 1. În procesarea cererilor publicului şi în adoptarea deciziilor, funcţionarul va asigura respectarea principiului de egalitate a tratamentului. Persoanele care se află în aceeaşi situaţie vor fi tratate într-o manieră similară. 2. În cazul unei diferenţieri a tratamentului, funcţionarul se va asigura că acest fapt este justificat de caracteristicile obiective relevante ale cazului particular.</w:t>
      </w:r>
    </w:p>
    <w:p w:rsidRPr="00392DD1" w:rsidR="00392DD1" w:rsidP="00392DD1" w:rsidRDefault="00392DD1" w14:paraId="2759C86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2. Aşteptări legitime, consecvenţă - art. 10 - 1. Funcţionarul va fi consecvent în propria sa conduită administrativă, precum şi în activitatea administrativă a instituţiei. Funcţionarul va aplica practicile administrative uzuale (normale) ale instituţiei, cu excepţia cazului în care vor exista motive legitime de derogare de la aceste practici într-un anumit caz. În cazul în care asemenea motive există, ele vor fi înregistrate în scris. Funcţionarul va respecta aşteptările legitime şi rezonabile ale publicului, conform modului în care a acţionat instituţia în trecut.</w:t>
      </w:r>
    </w:p>
    <w:p w:rsidRPr="00392DD1" w:rsidR="00392DD1" w:rsidP="00392DD1" w:rsidRDefault="00392DD1" w14:paraId="3A6AE6A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Astfel, consideră că prin sentinţa atacată se încalcă cele două principii pentru următoarele motive:</w:t>
      </w:r>
    </w:p>
    <w:p w:rsidRPr="00392DD1" w:rsidR="00392DD1" w:rsidP="00392DD1" w:rsidRDefault="00392DD1" w14:paraId="321F3B1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principiul nediscriminării și principiul motivării actului administrativ. Aceasta deoarece administraţia publică are obligaţia ca atunci când constată că exista anumite diferenţieri între două situații, atunci diferenţa de tratament trebuie expusă de o maniera clară, certă, lipsită de echivoc. Or, în speţă, atât pârâtul, cât şi instanţa de fond s-au limitat la simple susţineri în sensul existenţei unui deficit de locuinţe, aspect care ar justifica diferenţe de tratament faţă de alte situaţii, cum este cea din anul 2007.</w:t>
      </w:r>
    </w:p>
    <w:p w:rsidRPr="00392DD1" w:rsidR="00392DD1" w:rsidP="00392DD1" w:rsidRDefault="00392DD1" w14:paraId="732B5B9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Deşi reclamantul arată că a dovedit faptul că în anul 2007 au fost vândute locuinţe de serviciu, instanţa de fond s-a limitat să susţină că în acest moment exista un deficit de locuinţe. Nu există însă nici o probă care să susţină această afirmaţie. Mai mult, apreciază că, pentru a se asigura deplina eficienţă a principiului tratamentului egal, analiza trebuie concentrată pe aspectul existenţei/inexistenţei unui deficit de locuinţe Ia nivelul anului 2007, prin comparaţie cu momentul actual.</w:t>
      </w:r>
    </w:p>
    <w:p w:rsidRPr="00392DD1" w:rsidR="00392DD1" w:rsidP="00392DD1" w:rsidRDefault="00392DD1" w14:paraId="616689F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Or, nici deciziile contestate și nici sentinţa instanţei de fond nu relevă vreun element în acest sens deși în conţinutul principiului tratamentului egal intră și „obligaţia funcţionarului de a se asigura că în cazul unei diferenţieri a tratamentului, acest fapt este justificat de caracteristicile obiective relevante ale cazului particular”.</w:t>
      </w:r>
    </w:p>
    <w:p w:rsidRPr="00392DD1" w:rsidR="00392DD1" w:rsidP="00392DD1" w:rsidRDefault="00392DD1" w14:paraId="35C7091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Caracteristicile obiective nu se pot rezuma Ia simple afirmaţii subiective, ci trebuie completate cu informaţii obiective pentru a se contura întreaga situaţie. Din acest punct de vedere, nu ne aflăm doar în prezenţa unei nerespectări a obligaţiilor stabilite de principiul tratamentului egal ci, mai mult, ne aflăm şi în prezenţa încălcării obligaţiei de motivare a actului administrativ, obligaţie încălcată de Administraţie. Astfel, în contextul special al respectării obligaţiilor impuse de principiul tratamentului egal, administraţia trebuie să asigure o motivare corespunzătoare a actului administrativ care să țină cont de elementele factuale și obiective ale cazului particular, prin evidenţierea direct în cuprinsul actului administrativ, a situaţiei locuinţelor la nivelul anului 2007 şi la momentul prezent.</w:t>
      </w:r>
    </w:p>
    <w:p w:rsidRPr="00392DD1" w:rsidR="00392DD1" w:rsidP="00392DD1" w:rsidRDefault="00392DD1" w14:paraId="2FB5959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jurisprudenţă s-a arătat că „motivarea unei decizii administrative nu poate fi limitată la considerente legate de competenţa emitentului ori la temeiul de drept al acesteia, ci trebuie să conţină şi elementele de fapt care să permită, pe de o parte, destinatarilor să cunoască şi să evalueze temeiurile deciziei, iar pe de altă parte, să facă posibilă exercitarea controlului de legalitate. În acest sens, nemotivarea deciziei de eliberare din funcţia publică reprezintă o cauză de nulitate a acesteia, întrucât obligaţia motivării actului administrativ reprezintă o cerinţă de legalitate, acceptată atât pe plan intern, cât şi la nivel comunitar, constituind o garanţie împotriva arbitrariului”.</w:t>
      </w:r>
    </w:p>
    <w:p w:rsidRPr="00392DD1" w:rsidR="00392DD1" w:rsidP="00392DD1" w:rsidRDefault="00392DD1" w14:paraId="6437DB6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ceea ce privește principiul aşteptării legitime/consecvenţei, recurentul arată că a dovedit că practica administraţiei este aceea de vânzare a locuinţelor de serviciu şi că ar fi trebuit astfel să existe o consecvenţă. Eventuala lipsă a consecvenței şi, prin urmare, schimbarea practicii ar fi trebuit sa fie consemnată în scris, cu toate elementele factuale caracteristice, ceea ce nu s-a întâmplat.</w:t>
      </w:r>
    </w:p>
    <w:p w:rsidRPr="00392DD1" w:rsidR="00392DD1" w:rsidP="00392DD1" w:rsidRDefault="00392DD1" w14:paraId="4DE9D93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Concluzionând, solicită admiterea căii de atac promovate, desfiinţarea/casarea în totalitate a sentinţei atacate şi, în rejudecare, admiterea cererii de chemare în judecată.</w:t>
      </w:r>
    </w:p>
    <w:p w:rsidRPr="00392DD1" w:rsidR="00392DD1" w:rsidP="00392DD1" w:rsidRDefault="00392DD1" w14:paraId="1F3DD23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21B56DC8" w14:textId="4D70767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Intimatul Inspectoratul de Poliţie Judeţean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formulat întâmpinare, solicitând respingerea recursului ca nefondat, arătând că instanţa de fond a reţinut în mod corect situaţia de fapt şi că refuzul unităţii de a vinde locuinţa de serviciu nu este unul abuziv, ci se circumscrie protejării unui interes public.</w:t>
      </w:r>
    </w:p>
    <w:p w:rsidRPr="00392DD1" w:rsidR="00392DD1" w:rsidP="00392DD1" w:rsidRDefault="00392DD1" w14:paraId="48414C2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0C142ED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Intimatul Inspectoratul General al Poliției Române a formulat întâmpinare, </w:t>
      </w:r>
      <w:r w:rsidRPr="00392DD1">
        <w:rPr>
          <w:rFonts w:ascii="Times New Roman" w:hAnsi="Times New Roman" w:eastAsia="Times New Roman" w:cs="Times New Roman"/>
          <w:color w:val="000000"/>
          <w:kern w:val="0"/>
          <w:sz w:val="24"/>
          <w:szCs w:val="20"/>
          <w:lang w:val="ro-RO" w:eastAsia="en-GB"/>
          <w14:ligatures w14:val="none"/>
        </w:rPr>
        <w:t>solicitând</w:t>
      </w:r>
      <w:r w:rsidRPr="00392DD1">
        <w:rPr>
          <w:rFonts w:ascii="Times New Roman" w:hAnsi="Times New Roman" w:eastAsia="Times New Roman" w:cs="Times New Roman"/>
          <w:kern w:val="0"/>
          <w:sz w:val="24"/>
          <w:szCs w:val="20"/>
          <w:lang w:val="ro-RO" w:eastAsia="en-GB"/>
          <w14:ligatures w14:val="none"/>
        </w:rPr>
        <w:t xml:space="preserve"> respingerea recursului ca neîntemeiat şi menţinerea soluţiei instanţei de fond ca fiind temeinică şi legală, precum și recurs incident, în temeiul art. 488 alin. (1) pct. 5 din Codul de procedură civilă.</w:t>
      </w:r>
    </w:p>
    <w:p w:rsidRPr="00392DD1" w:rsidR="00392DD1" w:rsidP="00392DD1" w:rsidRDefault="00392DD1" w14:paraId="7D56D04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Prin recursul incident, instituția intimată a solicitat instanței de recurs să ia act de lipsa calității procesuale pasive.</w:t>
      </w:r>
    </w:p>
    <w:p w:rsidRPr="00392DD1" w:rsidR="00392DD1" w:rsidP="00392DD1" w:rsidRDefault="00392DD1" w14:paraId="06819854" w14:textId="006137D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Conform extrasului de carte funciară nr.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25.10.2016, imobilul situat în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nr. cadastral CAD: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în suprafaţă totală de 72,4 mp se află în administrarea Inspectoratului de Poliţie al Judeţului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34BD824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 xml:space="preserve">Potrivit art. 1 alin. (1) din Normele metodologice privind vânzarea unor locuinţe de serviciu aflate în administrarea Ministerului Internelor şi Reformei Administrative aprobate prin Ordinul nr. 678/2008, „(1) Prezentele norme metodologice reglementează în mod unitar vânzarea unora dintre locuinţele de serviciu aflate în administrarea Ministerului Internelor si Reformei Administrative titularilor contractelor de închiriere a unor astfel de locuinţe, precum şi pensionarilor sau urmaşilor titularilor contractelor de închiriere decedaţi, care îndeplinesc condiţiile prevăzute de Legea nr. 562/2004 privind autorizarea instituţiilor publice din sistemul de apărare, ordine publică şi securitate naţională de a vinde personalului propriu unele locuinţe de serviciu pe care acestea le au în administrare, cu modificările ulterioare, denumită în continuare Lege, şi care depun la unitatea de administrare o cerere de cumpărare a locuinţei de serviciu”. </w:t>
      </w:r>
    </w:p>
    <w:p w:rsidRPr="00392DD1" w:rsidR="00392DD1" w:rsidP="00392DD1" w:rsidRDefault="00392DD1" w14:paraId="653C3E6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art. I alin. (2) al aceluiaşi act normativ, „(2) Prin unitate de administrare se înţelege unitatea Ministerului Internelor şi Reformei Administrative în evidenţele căreia este înregistrată locuinţa de serviciu. Sunt unităţi de administrare: [...] b) inspectoratele judeţene de poliție; [...]”.</w:t>
      </w:r>
    </w:p>
    <w:p w:rsidRPr="00392DD1" w:rsidR="00392DD1" w:rsidP="00392DD1" w:rsidRDefault="00392DD1" w14:paraId="5333CA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Potrivit art. 4 al aceluiaşi act normativ, „persoanele prevăzute la art. 2 alin. (1) din Lege pot solicita în scris cumpărarea locuinţelor de serviciu deţinute, printr-o cerere depusă la secretariatul unităţii de administrare, (…)”,</w:t>
      </w:r>
      <w:r w:rsidRPr="00392DD1">
        <w:rPr>
          <w:rFonts w:ascii="Times New Roman" w:hAnsi="Times New Roman" w:eastAsia="Times New Roman" w:cs="Times New Roman"/>
          <w:kern w:val="0"/>
          <w:sz w:val="24"/>
          <w:szCs w:val="20"/>
          <w:lang w:val="ro-RO" w:eastAsia="en-GB"/>
          <w14:ligatures w14:val="none"/>
        </w:rPr>
        <w:tab/>
        <w:t>iar</w:t>
      </w:r>
      <w:r w:rsidRPr="00392DD1">
        <w:rPr>
          <w:rFonts w:ascii="Times New Roman" w:hAnsi="Times New Roman" w:eastAsia="Times New Roman" w:cs="Times New Roman"/>
          <w:kern w:val="0"/>
          <w:sz w:val="24"/>
          <w:szCs w:val="20"/>
          <w:lang w:val="ro-RO" w:eastAsia="en-GB"/>
          <w14:ligatures w14:val="none"/>
        </w:rPr>
        <w:tab/>
        <w:t>potrivit art. 8 din acelaşi act normativ, „în situaţiile în care comisia prevăzută la art. 5, respectiv comisia prevăzută la art. 7 decide soluţionarea favorabilă a solicitării de cumpărare a locuinţei de serviciu, conducătorul unităţii de administrare dispune derularea procedurilor de vânzare a locuinţei, în termen de 15 zile de la primirea deciziei comisiei. Contractul de vânzare-cumpărare se semnează de către cumpărător şi Ministerul Internelor şi Reformei Administrative, în calitate de vânzător, în termen de 90 de zile de la depunerea cererii de cumpărare, în măsura în care cumpărătorul nu îşi retrage cererea”.</w:t>
      </w:r>
    </w:p>
    <w:p w:rsidRPr="00392DD1" w:rsidR="00392DD1" w:rsidP="00392DD1" w:rsidRDefault="00392DD1" w14:paraId="04FA7660" w14:textId="66591D4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Prin urmare, instituţia intimată nu are competenţe cu privire la imobilul în cauză, acesta fiind în administrarea Inspectoratului de Poliție Județean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proprietatea publică a statului prin Ministerul Afacerilor Interne.</w:t>
      </w:r>
    </w:p>
    <w:p w:rsidRPr="00392DD1" w:rsidR="00392DD1" w:rsidP="00392DD1" w:rsidRDefault="00392DD1" w14:paraId="179BFE8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Conform prevederilor art. 5 din Legea nr. 218/2002, privind organizarea şi funcţionarea Poliţiei Române, structura organizatorică a acesteia este următoarea:</w:t>
      </w:r>
    </w:p>
    <w:p w:rsidRPr="00392DD1" w:rsidR="00392DD1" w:rsidP="00392DD1" w:rsidRDefault="00392DD1" w14:paraId="5680E0C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 Inspectoratul General al Poliţiei Române;</w:t>
      </w:r>
    </w:p>
    <w:p w:rsidRPr="00392DD1" w:rsidR="00392DD1" w:rsidP="00392DD1" w:rsidRDefault="00392DD1" w14:paraId="293C1AA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b) unităţi teritoriale aflate în subordinea Inspectoratului General al Poliţiei Române, Direcţia generală de poliţie a municipiului Bucureşti şi inspectoratele judeţene de poliţie;</w:t>
      </w:r>
    </w:p>
    <w:p w:rsidRPr="00392DD1" w:rsidR="00392DD1" w:rsidP="00392DD1" w:rsidRDefault="00392DD1" w14:paraId="01D7ECF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 instituţii de învăţământ pentru formarea şi pregătirea continuă a personalului;</w:t>
      </w:r>
    </w:p>
    <w:p w:rsidRPr="00392DD1" w:rsidR="00392DD1" w:rsidP="00392DD1" w:rsidRDefault="00392DD1" w14:paraId="53A96C5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 alte unităţi necesare pentru îndeplinirea atribuţiilor specifice poliţiei, înfiinţate potrivit legii”.</w:t>
      </w:r>
    </w:p>
    <w:p w:rsidRPr="00392DD1" w:rsidR="00392DD1" w:rsidP="00392DD1" w:rsidRDefault="00392DD1" w14:paraId="25AECF9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Art. 12 alin. (2) din Legea nr. 218/2002 prevede că „în judeţe se organizează şi funcţionează, ca unități cu personalitate juridică, inspectorate de poliţie, conduse de un inspector-şef ajutat de adjuncţi. În consecinţă inspectoratele de poliţie judeţene au personalitate juridică distinctă.</w:t>
      </w:r>
    </w:p>
    <w:p w:rsidRPr="00392DD1" w:rsidR="00392DD1" w:rsidP="00392DD1" w:rsidRDefault="00392DD1" w14:paraId="3E5F310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concluzie, solicită instanței de recurs să constate că Inspectoratul General al Poliției Române nu are calitate procesuală pasivă, să admită excepţia invocată şi să respingă acţiunea faţă de această instituție ca fiind îndreptată împotriva unei persoane fără calitate procesuală pasivă în cauză.</w:t>
      </w:r>
    </w:p>
    <w:p w:rsidRPr="00392DD1" w:rsidR="00392DD1" w:rsidP="00392DD1" w:rsidRDefault="00392DD1" w14:paraId="64E954A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666071F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Prin întâmpinarea formulată, intimatul Ministerul Afacerilor Interne a solicitat respingerea recursului declarat de recurentul – reclamant, ca nefondat şi menţinerea hotărârii instanţei de fond ca temeinică şi legală.</w:t>
      </w:r>
    </w:p>
    <w:p w:rsidRPr="00392DD1" w:rsidR="00392DD1" w:rsidP="00392DD1" w:rsidRDefault="00392DD1" w14:paraId="1D00E387" w14:textId="6E16611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Intimatul Ministerul Afacerilor Interne a formulat la rândul său recurs incident împotriva sentinței civile nr.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data de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și împotriva încheierii din data de </w:t>
      </w:r>
      <w:r w:rsidR="00E34E66">
        <w:rPr>
          <w:rFonts w:ascii="Times New Roman" w:hAnsi="Times New Roman" w:eastAsia="Times New Roman" w:cs="Times New Roman"/>
          <w:kern w:val="0"/>
          <w:sz w:val="24"/>
          <w:szCs w:val="20"/>
          <w:lang w:val="ro-RO" w:eastAsia="en-GB"/>
          <w14:ligatures w14:val="none"/>
        </w:rPr>
        <w:lastRenderedPageBreak/>
        <w:t>.............</w:t>
      </w:r>
      <w:r w:rsidRPr="00392DD1">
        <w:rPr>
          <w:rFonts w:ascii="Times New Roman" w:hAnsi="Times New Roman" w:eastAsia="Times New Roman" w:cs="Times New Roman"/>
          <w:kern w:val="0"/>
          <w:sz w:val="24"/>
          <w:szCs w:val="20"/>
          <w:lang w:val="ro-RO" w:eastAsia="en-GB"/>
          <w14:ligatures w14:val="none"/>
        </w:rPr>
        <w:t xml:space="preserve"> pronunțate de Tribunalul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solicitând Curții să constate că în mod greșit instanţa de fond a respins excepţia lipsei calităţii procesuale pasive a Ministerului Afacerilor Interne.</w:t>
      </w:r>
    </w:p>
    <w:p w:rsidRPr="00392DD1" w:rsidR="00392DD1" w:rsidP="00392DD1" w:rsidRDefault="00392DD1" w14:paraId="462580DE" w14:textId="3C32C24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acest sens, arată că nu poate fi respinsă excepţia lipsei calităţii procesuale pasive a Ministerului Afacerilor Interne pe motiv că acesta ar avea în competenţă semnarea contractului de vânzare-cumpărare în conformitate cu prevederile art. 8 alin. (2) din Anexa la Ordinul M.A.I. nr. 678/2008 pentru aprobarea Normelor metodologice privind vânzarea unor locuințe de serviciu aflate în administrarea Ministerului Afacerilor Interne, întrucât derularea procedurii de vânzare a locuinţei este ulterioară soluţionării favorabile a cererii recurentului-reclamant în condiţiile art. 5 sau art. 7 din ordinul menţionat şi emiterii unei decizii în acest sens de către Inspectoratul de Poliţie Judeţean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27CDA1C9" w14:textId="49DC894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Ca atare, putem afirma că nu există identitate între persoana pârâtului Ministerului Afacerilor Interne şi cel despre care se pretinde că este obligat în raportul juridic dedus judecăţii, întrucât recurentul – reclamant a fost vătămat prin refuzul de soluţionare a cererii acestuia de către Inspectoratul de Poliţie Judeţean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16C46D65" w14:textId="0D10DAC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prezenta cauză, Ministerul Afacerilor Interne nu poate avea calitate procesuală pasivă, întrucât potrivit art. 1 alin. (2) lit. a) din Anexa la Ordinul M.A.I. nr. 678/2008 pentru aprobarea Normelor metodologice privind vânzarea unor locuinţe de serviciu aflate în administrarea Ministerului Afacerilor Interne, Inspectoratul de Poliţie al Judeţului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este unitatea de administrare în evidenţele căreia este înregistrată locuinţa de serviciu, iar raportat la prevederile art. 5 din acelaşi act normativ comisia de vânzare a locuinţelor este constituită la nivelul Inspectoratului de Poliţie Judeţean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modul de soluţionare a cererii fiind în competenţa acestei instituţii.</w:t>
      </w:r>
    </w:p>
    <w:p w:rsidRPr="00392DD1" w:rsidR="00392DD1" w:rsidP="00392DD1" w:rsidRDefault="00392DD1" w14:paraId="08A57936" w14:textId="525EC25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Astfel, ne aflăm în fata unui refuz al Inspectoratului de Poliție Judeţean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de a vinde locuinţa în litigiu, Ministerul Afacerilor Interne neavând nici o implicaţie în soluţionarea cererii recurentului-reclamant.</w:t>
      </w:r>
    </w:p>
    <w:p w:rsidRPr="00392DD1" w:rsidR="00392DD1" w:rsidP="00392DD1" w:rsidRDefault="00392DD1" w14:paraId="4F27C4F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Având în vedere aceste aspecte, solicită admiterea recursul instituţiei intimate astfel cum acesta a fost formulat şi respingerea cererii de chemare în judecată ca fiind îndreptată împotriva unei persoane lipsite de calitate procesuală pasivă.</w:t>
      </w:r>
    </w:p>
    <w:p w:rsidRPr="00392DD1" w:rsidR="00392DD1" w:rsidP="00392DD1" w:rsidRDefault="00392DD1" w14:paraId="43BC01F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1EA4FA9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recurs părţile nu au solicitat administrarea de probe noi.</w:t>
      </w:r>
    </w:p>
    <w:p w:rsidRPr="00392DD1" w:rsidR="00392DD1" w:rsidP="00392DD1" w:rsidRDefault="00392DD1" w14:paraId="3A2F194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3BE87947" w14:textId="7AEF26C3">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392DD1">
        <w:rPr>
          <w:rFonts w:ascii="Times New Roman" w:hAnsi="Times New Roman" w:eastAsia="Times New Roman" w:cs="Times New Roman"/>
          <w:b/>
          <w:kern w:val="0"/>
          <w:sz w:val="24"/>
          <w:szCs w:val="20"/>
          <w:lang w:val="ro-RO" w:eastAsia="en-GB"/>
          <w14:ligatures w14:val="none"/>
        </w:rPr>
        <w:t xml:space="preserve">Analizând recursurile declarate în cauză se constată că este fondată calea de atac incidentă declarată de către Ministerul Afacerilor Interne şi nefondate cele declarate de către reclamantul </w:t>
      </w:r>
      <w:r>
        <w:rPr>
          <w:rFonts w:ascii="Times New Roman" w:hAnsi="Times New Roman" w:eastAsia="Times New Roman" w:cs="Times New Roman"/>
          <w:b/>
          <w:kern w:val="0"/>
          <w:sz w:val="24"/>
          <w:szCs w:val="20"/>
          <w:lang w:val="ro-RO" w:eastAsia="en-GB"/>
          <w14:ligatures w14:val="none"/>
        </w:rPr>
        <w:t>A</w:t>
      </w:r>
      <w:r w:rsidRPr="00392DD1">
        <w:rPr>
          <w:rFonts w:ascii="Times New Roman" w:hAnsi="Times New Roman" w:eastAsia="Times New Roman" w:cs="Times New Roman"/>
          <w:b/>
          <w:kern w:val="0"/>
          <w:sz w:val="24"/>
          <w:szCs w:val="20"/>
          <w:lang w:val="ro-RO" w:eastAsia="en-GB"/>
          <w14:ligatures w14:val="none"/>
        </w:rPr>
        <w:t xml:space="preserve"> şi I.G.P.R., pentru considerentele ce succed, expuse în condiţiile art.499 C.pr.civ.:</w:t>
      </w:r>
    </w:p>
    <w:p w:rsidRPr="00392DD1" w:rsidR="00392DD1" w:rsidP="00392DD1" w:rsidRDefault="00392DD1" w14:paraId="6081682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5F8514A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Prin recursurile incidente pârâţii Ministerul Afacerilor Interne şi Inspectoratul General al Poliţiei Române au invocat faptul că în mod greşit prima instanţă a dezlegat chestiunea calităţilor lor procesuale, raportat la prevederile Ordinului nr.678/2008 al M.A.I., criticile recurenţilor fiind circumscrise motivului de casare reglementat de art.488 alin.1 pct.5 C.pr.civ.</w:t>
      </w:r>
    </w:p>
    <w:p w:rsidRPr="00392DD1" w:rsidR="00392DD1" w:rsidP="00392DD1" w:rsidRDefault="00392DD1" w14:paraId="0F753F61" w14:textId="4B2D7E1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Raportat la procedura de soluţionare a cererii reclamantului de cumpărare a locuinţei de serviciu, astfel cum este descrisă în prevederile art.5 şi art.6 din Ordinul M.A.I. nr.678/2008, calitatea procesuală în sensul art.36 C.pr.civ., este justificată doar în privinţa entităţii care a emis decizia de soluţionare a cererii şi entităţii care are competenţa legală de soluţionare a plângerii prealabile, respectiv Inspectoratul Judeţean de Poliţie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şi Inspectoratul General la Poliţiei Române.</w:t>
      </w:r>
    </w:p>
    <w:p w:rsidRPr="00392DD1" w:rsidR="00392DD1" w:rsidP="00392DD1" w:rsidRDefault="00392DD1" w14:paraId="200D2C6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În acest context, tribunalul a dezlegat greşit problema calităţii procesuale pasive a Ministerului Afacerilor Interne, stabilind corect calitatea procesuală a pârâtului IGPR,  fiind incident motivul de casare reglementat de art.488 alin.1 pct.5 C.pr.civ., ca urmare a încălcării de către judecătorul fondului a prevederilor art.36 C.pr.civ. coroborat cu art.5 şi art.6 din </w:t>
      </w:r>
      <w:r w:rsidRPr="00392DD1">
        <w:rPr>
          <w:rFonts w:ascii="Times New Roman" w:hAnsi="Times New Roman" w:eastAsia="Times New Roman" w:cs="Times New Roman"/>
          <w:kern w:val="0"/>
          <w:sz w:val="24"/>
          <w:szCs w:val="20"/>
          <w:lang w:val="ro-RO" w:eastAsia="en-GB"/>
          <w14:ligatures w14:val="none"/>
        </w:rPr>
        <w:lastRenderedPageBreak/>
        <w:t>Ordinul nr.678/2008 a M.A.I., raportat la prevederile art.174 alin.2 şi art.176 pct.6 C.pr.civ., doar în privinţa recursului declarat de către recurentul M.A.I., calea de atac a acestuia urmând a fi admisă, cu consecinţa casării în parte a sentinţei şi a încheierii de şedinţă recurate şi a admiterii excepţiei lipsei calităţii sale procesuale, şi respins recursul incident declarat de către recurentul IGPR, având în vedere că în cauză se contestă răspunsul acestuia la contestaţia administrativă.</w:t>
      </w:r>
    </w:p>
    <w:p w:rsidRPr="00392DD1" w:rsidR="00392DD1" w:rsidP="00392DD1" w:rsidRDefault="00392DD1" w14:paraId="346C4B4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39917615" w14:textId="2BAE2E5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În ceea ce priveşte recursul declarat de către recurentul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criticile cuprinse în motivarea căii de atac au fost circumscrise motivului de casare reglementat de art.488 alin.1 pct.8 C.pr.civ.</w:t>
      </w:r>
    </w:p>
    <w:p w:rsidRPr="00392DD1" w:rsidR="00392DD1" w:rsidP="00392DD1" w:rsidRDefault="00392DD1" w14:paraId="1C6BC47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primul rând, situaţia de fapt stabilită de către instanţa de fond, ce nu mai poate forma obiect al judecăţii în recurs, relevă faptul că anterior cererii din data de 27.03.2019, reclamantul a mai formulat alte 3 cereri de cumpărare a apartamentului de serviciu în anii 2007, 2010 şi 2016, primele 2 cereri fiind aprobate de către autoritatea deţinătoare a imobilului însă reclamantul recurent a refuzat achiziţia apartamentului din considerente de preţ al achiziţiei.</w:t>
      </w:r>
    </w:p>
    <w:p w:rsidRPr="00392DD1" w:rsidR="00392DD1" w:rsidP="00392DD1" w:rsidRDefault="00392DD1" w14:paraId="6D5C0175" w14:textId="6F2EE88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Raportat la comportamentul recurentului reclamant în mod corect unitatea deţinătoare a constatat existenţa refuzului de a cumpăra locuinţa de serviciu atât timp cât recurentul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nu a contestat valoarea de vânzarea propusă, stabilită în urma procesului de evaluare, în baza procedurii prevăzute de lege, însăşi reclamantul indicând existenţa refuzului de a cumpăra în motivarea cererii de chemare în judecată.</w:t>
      </w:r>
    </w:p>
    <w:p w:rsidRPr="00392DD1" w:rsidR="00392DD1" w:rsidP="00392DD1" w:rsidRDefault="00392DD1" w14:paraId="7DB0E09C" w14:textId="6FD6BED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Această situaţie a plasat recurentul sub imperiul prevederilor art.2 alin.1 din Ordinul nr.678/2008, respectiv îi conferă acestuia dreptul de a deţine şi folosi locuinţa de serviciu în baza contractului de închiriere, astfel încât refuzul intimatului IPJ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de a vinde locuinţa de serviciu, comunicat prin adresa nr.</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/24.04.2019 (fila 45, vol.1, dosar fond) nu îmbracă caracterul refuzului nejustificat, în sensul art.2 alin.1 lit.i din Legea 554/2004.</w:t>
      </w:r>
    </w:p>
    <w:p w:rsidRPr="00392DD1" w:rsidR="00392DD1" w:rsidP="00392DD1" w:rsidRDefault="00392DD1" w14:paraId="05A5AB4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În al doilea rând, prin art.1 şi art.3 alin.1 din Legea 562/2004, legiuitorul a reglementat posibilitatea de vânzare a locuinţelor de serviciu către chiriaşii acestora, context în care unitatea deţinătoare a spaţiului locativ, în lipsa unei obligaţii exprese de vânzare, are o marjă largă de apreciere în privinţa aprobării vânzării locuinţei.</w:t>
      </w:r>
    </w:p>
    <w:p w:rsidRPr="00392DD1" w:rsidR="00392DD1" w:rsidP="00392DD1" w:rsidRDefault="00392DD1" w14:paraId="3FA9485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Această marjă de apreciere trebuie exercitată în limite rezonabile astfel încât să fie asigurată legalitatea refuzului comunicat recurentului reclamant, depăşirea acestei marje putând avea caracterul unui refuz nejustificat.</w:t>
      </w:r>
    </w:p>
    <w:p w:rsidRPr="00392DD1" w:rsidR="00392DD1" w:rsidP="00392DD1" w:rsidRDefault="00392DD1" w14:paraId="5C4A1C1B" w14:textId="18D7A80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Ori, instanţa de fond a explicat pe larg şi fără echivoc că această marjă de apreciere nu a fost depăşită de către intimatul IPJ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refuzul de a vinde fiind fundamentat obiectiv, pe 2 aspecte reale, respectiv refuzul anterior al reclamantului de a cumpăra locuinţa de serviciu şi faptul că fondul locuinţelor de serviciu s-a diminuat ca urmare a vânzării acestora către chiriaşi, aspect certificat şi de către reclamant, care a indicat faptul că 14 apartamente din totalul de 29 ce compun blocul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din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au fost vândute.</w:t>
      </w:r>
    </w:p>
    <w:p w:rsidRPr="00392DD1" w:rsidR="00392DD1" w:rsidP="00392DD1" w:rsidRDefault="00392DD1" w14:paraId="22252F79" w14:textId="7D38E0E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De asemenea, cererea reclamantului-recurent nu a fost analizată discriminatoriu, într-o manieră lipsită de previzibilitate, deoarece potrivit extrasului de carte funciară depus în copie la dosar (fila 94, vol.1, dosar fond), unitatea deţinătoare este IPJ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fiind fără relevanţă juridică acordul de vânzare exprimat de titularul de cotă ( Inspectoratul pentru Situaţii de Urgenţă I</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 prin adresele nr.</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/08.07.2019 şi nr.</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/18.08.20020, titularul de cotă neavând şi calitatea de unitate deţinătoare. De asemenea, contractele de vânzare cumpărare depuse de către reclamantul-recurent în copie la dosarul de fond (filele 141-147, vol.I) relevă că preţul de vânzare stabilit pentru unităţi locative cu suprafeţe utile asemănătoare cu cea deţinută de recurent nu diferă substanţial faţă de cel care i-a fost comunicat cu ocazia aprobării primei cereri în anul 2007, astfel încât pretinsul tratament discriminatoriu l-a care a fost supus reclamantul şi cererea sa nu se verifică în cauză, fiind o apărare manifest neîntemeiată invocată de către reclamant.</w:t>
      </w:r>
    </w:p>
    <w:p w:rsidRPr="00392DD1" w:rsidR="00392DD1" w:rsidP="00392DD1" w:rsidRDefault="00392DD1" w14:paraId="079AEB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lastRenderedPageBreak/>
        <w:t xml:space="preserve"> </w:t>
      </w:r>
    </w:p>
    <w:p w:rsidRPr="00392DD1" w:rsidR="00392DD1" w:rsidP="00392DD1" w:rsidRDefault="00392DD1" w14:paraId="5D4996B1" w14:textId="736CC44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Criticile referitoare la competenţa instanţei de contencios administrativ au caracter neîntemeiat atât timp cât dispoziţiile legale, art.6 alin.1 din Ordinul MAI nr.678/2008, prevăd expres că actele emise în procedura de soluţionare a cererii se pot ataca la instanţă în condiţiile Legii 554/2004, atât competenţa materială, cât şi cea funcţională, tribunalelor şi curţilor de apel, ca instanţe de contencios administrativ. Pe de altă parte, recursul declarat de către reclamant nu vizează şi Încheierea de şedinţă din data de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când a fost soluţionat excepţia de necompetenţă materială şi funcţională, astfel încât criticile referitoare la competenţa instanţei de contencios administrativ exced limitelor investirii instanţei de recurs, stabilite de recurent prin însăşi cererea de recurs.</w:t>
      </w:r>
    </w:p>
    <w:p w:rsidRPr="00392DD1" w:rsidR="00392DD1" w:rsidP="00392DD1" w:rsidRDefault="00392DD1" w14:paraId="6B26F48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Pe cale de consecinţă, faţă de considerentele anterior expuse, se constată că nu este incident motivul de casare reglementat de art.488 alin.1 pct.8 C.pr.civ., în lumina art.496 C.pr.civ., se va respinge recursul ca neîntemeiat.</w:t>
      </w:r>
    </w:p>
    <w:p w:rsidRPr="00392DD1" w:rsidR="00392DD1" w:rsidP="00392DD1" w:rsidRDefault="00392DD1" w14:paraId="50805615"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66733885"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6D4C3EC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Pentru aceste motive,</w:t>
      </w:r>
      <w:r w:rsidRPr="00392DD1">
        <w:rPr>
          <w:rFonts w:ascii="Times New Roman" w:hAnsi="Times New Roman" w:eastAsia="Times New Roman" w:cs="Times New Roman"/>
          <w:kern w:val="0"/>
          <w:sz w:val="24"/>
          <w:szCs w:val="20"/>
          <w:lang w:val="ro-RO" w:eastAsia="en-GB"/>
          <w14:ligatures w14:val="none"/>
        </w:rPr>
        <w:br/>
        <w:t>În numele legii,</w:t>
      </w:r>
    </w:p>
    <w:p w:rsidRPr="00392DD1" w:rsidR="00392DD1" w:rsidP="00392DD1" w:rsidRDefault="00392DD1" w14:paraId="21121B5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Decide:</w:t>
      </w:r>
    </w:p>
    <w:p w:rsidRPr="00392DD1" w:rsidR="00392DD1" w:rsidP="00392DD1" w:rsidRDefault="00392DD1" w14:paraId="4EAE81A3" w14:textId="77777777">
      <w:pPr>
        <w:spacing w:after="12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17B01F30" w14:textId="33860F0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Respinge ca neîntemeiat recursul formulat de recurentul </w:t>
      </w:r>
      <w:r>
        <w:rPr>
          <w:rFonts w:ascii="Times New Roman" w:hAnsi="Times New Roman" w:eastAsia="Times New Roman" w:cs="Times New Roman"/>
          <w:kern w:val="0"/>
          <w:sz w:val="24"/>
          <w:szCs w:val="20"/>
          <w:lang w:val="ro-RO" w:eastAsia="en-GB"/>
          <w14:ligatures w14:val="none"/>
        </w:rPr>
        <w:t>A</w:t>
      </w:r>
      <w:r w:rsidRPr="00392DD1">
        <w:rPr>
          <w:rFonts w:ascii="Times New Roman" w:hAnsi="Times New Roman" w:eastAsia="Times New Roman" w:cs="Times New Roman"/>
          <w:kern w:val="0"/>
          <w:sz w:val="24"/>
          <w:szCs w:val="20"/>
          <w:lang w:val="ro-RO" w:eastAsia="en-GB"/>
          <w14:ligatures w14:val="none"/>
        </w:rPr>
        <w:t xml:space="preserve"> împotriva sentinței nr.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5AA9272A" w14:textId="4F88C9A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Respinge recursul incident formulat de intimatul-recurent Inspectoratul General al Poliției Române împotriva sentinței nr.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 Tribunalului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p>
    <w:p w:rsidRPr="00392DD1" w:rsidR="00392DD1" w:rsidP="00392DD1" w:rsidRDefault="00392DD1" w14:paraId="26504EFA" w14:textId="2B4C8D3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Admite recursul incident formulat intimatul-recurent Ministerul Afacerilor Interne împotriva sentinței nr</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și a încheierii din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xml:space="preserve"> ale Tribunalului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pe care le casează în parte.</w:t>
      </w:r>
    </w:p>
    <w:p w:rsidRPr="00392DD1" w:rsidR="00392DD1" w:rsidP="00392DD1" w:rsidRDefault="00392DD1" w14:paraId="71F282B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Admite excepția lipsei calității procesuale pasive și respinge cererea reclamantului în contradictoriu cu pârâtul Ministerul Afacerilor Interne, ca fiind formulată în contradictoriu cu o persoană fără calitate procesuală pasivă.</w:t>
      </w:r>
    </w:p>
    <w:p w:rsidRPr="00392DD1" w:rsidR="00392DD1" w:rsidP="00392DD1" w:rsidRDefault="00392DD1" w14:paraId="7F8CB12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Menține restul dispozițiilor care nu contravin prezentei decizii.</w:t>
      </w:r>
    </w:p>
    <w:p w:rsidRPr="00392DD1" w:rsidR="00392DD1" w:rsidP="00392DD1" w:rsidRDefault="00392DD1" w14:paraId="5374A13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Definitivă.</w:t>
      </w:r>
    </w:p>
    <w:p w:rsidRPr="00392DD1" w:rsidR="00392DD1" w:rsidP="00392DD1" w:rsidRDefault="00392DD1" w14:paraId="3C58E364" w14:textId="1BAD093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Pronunțată azi, </w:t>
      </w:r>
      <w:r w:rsidR="00E34E66">
        <w:rPr>
          <w:rFonts w:ascii="Times New Roman" w:hAnsi="Times New Roman" w:eastAsia="Times New Roman" w:cs="Times New Roman"/>
          <w:kern w:val="0"/>
          <w:sz w:val="24"/>
          <w:szCs w:val="20"/>
          <w:lang w:val="ro-RO" w:eastAsia="en-GB"/>
          <w14:ligatures w14:val="none"/>
        </w:rPr>
        <w:t>............</w:t>
      </w:r>
      <w:r w:rsidRPr="00392DD1">
        <w:rPr>
          <w:rFonts w:ascii="Times New Roman" w:hAnsi="Times New Roman" w:eastAsia="Times New Roman" w:cs="Times New Roman"/>
          <w:kern w:val="0"/>
          <w:sz w:val="24"/>
          <w:szCs w:val="20"/>
          <w:lang w:val="ro-RO" w:eastAsia="en-GB"/>
          <w14:ligatures w14:val="none"/>
        </w:rPr>
        <w:t>, prin punerea soluției la dispoziția părților prin grija grefei.</w:t>
      </w:r>
    </w:p>
    <w:p w:rsidRPr="00392DD1" w:rsidR="00392DD1" w:rsidP="00392DD1" w:rsidRDefault="00392DD1" w14:paraId="39184035"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7263F2AA" w14:textId="77777777">
      <w:pPr>
        <w:spacing w:after="0" w:line="240" w:lineRule="auto"/>
        <w:ind w:firstLine="708"/>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Președinte,</w:t>
      </w:r>
      <w:r w:rsidRPr="00392DD1">
        <w:rPr>
          <w:rFonts w:ascii="Times New Roman" w:hAnsi="Times New Roman" w:eastAsia="Times New Roman" w:cs="Times New Roman"/>
          <w:kern w:val="0"/>
          <w:sz w:val="24"/>
          <w:szCs w:val="20"/>
          <w:lang w:val="ro-RO" w:eastAsia="en-GB"/>
          <w14:ligatures w14:val="none"/>
        </w:rPr>
        <w:tab/>
      </w:r>
      <w:r w:rsidRPr="00392DD1">
        <w:rPr>
          <w:rFonts w:ascii="Times New Roman" w:hAnsi="Times New Roman" w:eastAsia="Times New Roman" w:cs="Times New Roman"/>
          <w:kern w:val="0"/>
          <w:sz w:val="24"/>
          <w:szCs w:val="20"/>
          <w:lang w:val="ro-RO" w:eastAsia="en-GB"/>
          <w14:ligatures w14:val="none"/>
        </w:rPr>
        <w:tab/>
        <w:t xml:space="preserve">                   Judecător,                        Judecător,</w:t>
      </w:r>
    </w:p>
    <w:p w:rsidRPr="00392DD1" w:rsidR="00392DD1" w:rsidP="00392DD1" w:rsidRDefault="00E34E66" w14:paraId="7F61538C" w14:textId="4FC08BF2">
      <w:pPr>
        <w:spacing w:after="0" w:line="240" w:lineRule="auto"/>
        <w:rPr>
          <w:rFonts w:ascii="Times New Roman" w:hAnsi="Times New Roman" w:eastAsia="Times New Roman" w:cs="Times New Roman"/>
          <w:kern w:val="0"/>
          <w:szCs w:val="20"/>
          <w:lang w:val="ro-RO" w:eastAsia="en-GB"/>
          <w14:ligatures w14:val="none"/>
        </w:rPr>
      </w:pPr>
      <w:r>
        <w:rPr>
          <w:rFonts w:ascii="Times New Roman" w:hAnsi="Times New Roman" w:eastAsia="Times New Roman" w:cs="Times New Roman"/>
          <w:kern w:val="0"/>
          <w:szCs w:val="20"/>
          <w:lang w:val="ro-RO" w:eastAsia="en-GB"/>
          <w14:ligatures w14:val="none"/>
        </w:rPr>
        <w:t xml:space="preserve">         .........................</w:t>
      </w:r>
      <w:r w:rsidRPr="00392DD1" w:rsidR="00392DD1">
        <w:rPr>
          <w:rFonts w:ascii="Times New Roman" w:hAnsi="Times New Roman" w:eastAsia="Times New Roman" w:cs="Times New Roman"/>
          <w:kern w:val="0"/>
          <w:szCs w:val="20"/>
          <w:lang w:val="ro-RO" w:eastAsia="en-GB"/>
          <w14:ligatures w14:val="none"/>
        </w:rPr>
        <w:t xml:space="preserve">                                 </w:t>
      </w:r>
      <w:r>
        <w:rPr>
          <w:rFonts w:ascii="Times New Roman" w:hAnsi="Times New Roman" w:eastAsia="Times New Roman" w:cs="Times New Roman"/>
          <w:kern w:val="0"/>
          <w:szCs w:val="20"/>
          <w:lang w:val="ro-RO" w:eastAsia="en-GB"/>
          <w14:ligatures w14:val="none"/>
        </w:rPr>
        <w:t>..............................</w:t>
      </w:r>
      <w:r w:rsidRPr="00392DD1" w:rsidR="00392DD1">
        <w:rPr>
          <w:rFonts w:ascii="Times New Roman" w:hAnsi="Times New Roman" w:eastAsia="Times New Roman" w:cs="Times New Roman"/>
          <w:kern w:val="0"/>
          <w:szCs w:val="20"/>
          <w:lang w:val="ro-RO" w:eastAsia="en-GB"/>
          <w14:ligatures w14:val="none"/>
        </w:rPr>
        <w:t xml:space="preserve">                       </w:t>
      </w:r>
      <w:r>
        <w:rPr>
          <w:rFonts w:ascii="Times New Roman" w:hAnsi="Times New Roman" w:eastAsia="Times New Roman" w:cs="Times New Roman"/>
          <w:kern w:val="0"/>
          <w:szCs w:val="20"/>
          <w:lang w:val="ro-RO" w:eastAsia="en-GB"/>
          <w14:ligatures w14:val="none"/>
        </w:rPr>
        <w:t>A0010</w:t>
      </w:r>
      <w:r w:rsidRPr="00392DD1" w:rsidR="00392DD1">
        <w:rPr>
          <w:rFonts w:ascii="Times New Roman" w:hAnsi="Times New Roman" w:eastAsia="Times New Roman" w:cs="Times New Roman"/>
          <w:kern w:val="0"/>
          <w:szCs w:val="20"/>
          <w:lang w:val="ro-RO" w:eastAsia="en-GB"/>
          <w14:ligatures w14:val="none"/>
        </w:rPr>
        <w:t xml:space="preserve">                        </w:t>
      </w:r>
      <w:r w:rsidRPr="00392DD1" w:rsidR="00392DD1">
        <w:rPr>
          <w:rFonts w:ascii="Times New Roman" w:hAnsi="Times New Roman" w:eastAsia="Times New Roman" w:cs="Times New Roman"/>
          <w:kern w:val="0"/>
          <w:szCs w:val="20"/>
          <w:lang w:val="ro-RO" w:eastAsia="en-GB"/>
          <w14:ligatures w14:val="none"/>
        </w:rPr>
        <w:tab/>
        <w:t xml:space="preserve">                                                                                 </w:t>
      </w:r>
    </w:p>
    <w:p w:rsidRPr="00392DD1" w:rsidR="00392DD1" w:rsidP="00392DD1" w:rsidRDefault="00392DD1" w14:paraId="53CF225C" w14:textId="77777777">
      <w:pPr>
        <w:spacing w:after="0" w:line="240" w:lineRule="auto"/>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Cs w:val="20"/>
          <w:lang w:val="ro-RO" w:eastAsia="en-GB"/>
          <w14:ligatures w14:val="none"/>
        </w:rPr>
        <w:t xml:space="preserve">                   </w:t>
      </w:r>
      <w:r w:rsidRPr="00392DD1">
        <w:rPr>
          <w:rFonts w:ascii="Times New Roman" w:hAnsi="Times New Roman" w:eastAsia="Times New Roman" w:cs="Times New Roman"/>
          <w:kern w:val="0"/>
          <w:sz w:val="24"/>
          <w:szCs w:val="20"/>
          <w:lang w:val="ro-RO" w:eastAsia="en-GB"/>
          <w14:ligatures w14:val="none"/>
        </w:rPr>
        <w:t xml:space="preserve">                                                                   </w:t>
      </w:r>
    </w:p>
    <w:p w:rsidRPr="00392DD1" w:rsidR="00392DD1" w:rsidP="00392DD1" w:rsidRDefault="00392DD1" w14:paraId="4C66110B" w14:textId="77777777">
      <w:pPr>
        <w:spacing w:after="0" w:line="240" w:lineRule="auto"/>
        <w:rPr>
          <w:rFonts w:ascii="Times New Roman" w:hAnsi="Times New Roman" w:eastAsia="Times New Roman" w:cs="Times New Roman"/>
          <w:kern w:val="0"/>
          <w:sz w:val="24"/>
          <w:szCs w:val="20"/>
          <w:lang w:val="ro-RO" w:eastAsia="en-GB"/>
          <w14:ligatures w14:val="none"/>
        </w:rPr>
      </w:pPr>
    </w:p>
    <w:p w:rsidR="00E34E66" w:rsidP="00E34E66" w:rsidRDefault="00392DD1" w14:paraId="2AFF705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4"/>
          <w:szCs w:val="20"/>
          <w:lang w:val="ro-RO" w:eastAsia="en-GB"/>
          <w14:ligatures w14:val="none"/>
        </w:rPr>
        <w:t xml:space="preserve">        Grefier,</w:t>
      </w:r>
    </w:p>
    <w:p w:rsidRPr="00392DD1" w:rsidR="00392DD1" w:rsidP="00E34E66" w:rsidRDefault="00392DD1" w14:paraId="1A7D109E" w14:textId="49B7CB4F">
      <w:pPr>
        <w:spacing w:after="0" w:line="240" w:lineRule="auto"/>
        <w:jc w:val="center"/>
        <w:rPr>
          <w:rFonts w:ascii="Times New Roman" w:hAnsi="Times New Roman" w:eastAsia="Times New Roman" w:cs="Times New Roman"/>
          <w:kern w:val="0"/>
          <w:sz w:val="24"/>
          <w:szCs w:val="20"/>
          <w:lang w:val="ro-RO" w:eastAsia="en-GB"/>
          <w14:ligatures w14:val="none"/>
        </w:rPr>
      </w:pPr>
      <w:r w:rsidRPr="00392DD1">
        <w:rPr>
          <w:rFonts w:ascii="Times New Roman" w:hAnsi="Times New Roman" w:eastAsia="Times New Roman" w:cs="Times New Roman"/>
          <w:kern w:val="0"/>
          <w:sz w:val="20"/>
          <w:szCs w:val="20"/>
          <w:lang w:val="ro-RO" w:eastAsia="en-GB"/>
          <w14:ligatures w14:val="none"/>
        </w:rPr>
        <w:t xml:space="preserve">                    </w:t>
      </w:r>
      <w:r w:rsidR="00E34E66">
        <w:rPr>
          <w:rFonts w:ascii="Times New Roman" w:hAnsi="Times New Roman" w:eastAsia="Times New Roman" w:cs="Times New Roman"/>
          <w:kern w:val="0"/>
          <w:szCs w:val="20"/>
          <w:lang w:val="ro-RO" w:eastAsia="en-GB"/>
          <w14:ligatures w14:val="none"/>
        </w:rPr>
        <w:t>...................</w:t>
      </w:r>
      <w:r w:rsidRPr="00392DD1">
        <w:rPr>
          <w:rFonts w:ascii="Times New Roman" w:hAnsi="Times New Roman" w:eastAsia="Times New Roman" w:cs="Times New Roman"/>
          <w:kern w:val="0"/>
          <w:szCs w:val="20"/>
          <w:lang w:val="ro-RO" w:eastAsia="en-GB"/>
          <w14:ligatures w14:val="none"/>
        </w:rPr>
        <w:t xml:space="preserve"> </w:t>
      </w:r>
    </w:p>
    <w:p w:rsidRPr="00392DD1" w:rsidR="00392DD1" w:rsidP="00392DD1" w:rsidRDefault="00392DD1" w14:paraId="4AF33B7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703C37D0"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513617A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2335591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92DD1" w:rsidR="00392DD1" w:rsidP="00392DD1" w:rsidRDefault="00392DD1" w14:paraId="50A702B8" w14:textId="43474055">
      <w:pPr>
        <w:spacing w:after="0" w:line="240" w:lineRule="auto"/>
        <w:ind w:firstLine="708"/>
        <w:rPr>
          <w:rFonts w:ascii="Times New Roman" w:hAnsi="Times New Roman" w:eastAsia="Times New Roman" w:cs="Times New Roman"/>
          <w:i/>
          <w:kern w:val="0"/>
          <w:sz w:val="20"/>
          <w:szCs w:val="20"/>
          <w:lang w:val="ro-RO" w:eastAsia="en-GB"/>
          <w14:ligatures w14:val="none"/>
        </w:rPr>
      </w:pPr>
      <w:r w:rsidRPr="00392DD1">
        <w:rPr>
          <w:rFonts w:ascii="Times New Roman" w:hAnsi="Times New Roman" w:eastAsia="Times New Roman" w:cs="Times New Roman"/>
          <w:i/>
          <w:kern w:val="0"/>
          <w:sz w:val="20"/>
          <w:szCs w:val="20"/>
          <w:lang w:val="ro-RO" w:eastAsia="en-GB"/>
          <w14:ligatures w14:val="none"/>
        </w:rPr>
        <w:t>Redactat/tehnoredactat:</w:t>
      </w:r>
      <w:r w:rsidR="00E34E66">
        <w:rPr>
          <w:rFonts w:ascii="Times New Roman" w:hAnsi="Times New Roman" w:eastAsia="Times New Roman" w:cs="Times New Roman"/>
          <w:i/>
          <w:kern w:val="0"/>
          <w:sz w:val="20"/>
          <w:szCs w:val="20"/>
          <w:lang w:val="ro-RO" w:eastAsia="en-GB"/>
          <w14:ligatures w14:val="none"/>
        </w:rPr>
        <w:t>A0010</w:t>
      </w:r>
      <w:r w:rsidRPr="00392DD1">
        <w:rPr>
          <w:rFonts w:ascii="Times New Roman" w:hAnsi="Times New Roman" w:eastAsia="Times New Roman" w:cs="Times New Roman"/>
          <w:i/>
          <w:kern w:val="0"/>
          <w:sz w:val="20"/>
          <w:szCs w:val="20"/>
          <w:lang w:val="ro-RO" w:eastAsia="en-GB"/>
          <w14:ligatures w14:val="none"/>
        </w:rPr>
        <w:t>; 6 exemplare/</w:t>
      </w:r>
      <w:r w:rsidR="00E34E66">
        <w:rPr>
          <w:rFonts w:ascii="Times New Roman" w:hAnsi="Times New Roman" w:eastAsia="Times New Roman" w:cs="Times New Roman"/>
          <w:i/>
          <w:kern w:val="0"/>
          <w:sz w:val="20"/>
          <w:szCs w:val="20"/>
          <w:lang w:val="ro-RO" w:eastAsia="en-GB"/>
          <w14:ligatures w14:val="none"/>
        </w:rPr>
        <w:t>...........</w:t>
      </w:r>
    </w:p>
    <w:p w:rsidRPr="00392DD1" w:rsidR="00392DD1" w:rsidP="00392DD1" w:rsidRDefault="00392DD1" w14:paraId="32203E5C" w14:textId="16ED59E1">
      <w:pPr>
        <w:spacing w:after="0" w:line="240" w:lineRule="auto"/>
        <w:ind w:firstLine="708"/>
        <w:rPr>
          <w:rFonts w:ascii="Times New Roman" w:hAnsi="Times New Roman" w:eastAsia="Times New Roman" w:cs="Times New Roman"/>
          <w:i/>
          <w:kern w:val="0"/>
          <w:sz w:val="20"/>
          <w:szCs w:val="20"/>
          <w:lang w:val="ro-RO" w:eastAsia="en-GB"/>
          <w14:ligatures w14:val="none"/>
        </w:rPr>
      </w:pPr>
      <w:r w:rsidRPr="00392DD1">
        <w:rPr>
          <w:rFonts w:ascii="Times New Roman" w:hAnsi="Times New Roman" w:eastAsia="Times New Roman" w:cs="Times New Roman"/>
          <w:i/>
          <w:kern w:val="0"/>
          <w:sz w:val="20"/>
          <w:szCs w:val="20"/>
          <w:lang w:val="ro-RO" w:eastAsia="en-GB"/>
          <w14:ligatures w14:val="none"/>
        </w:rPr>
        <w:t xml:space="preserve">Prima instanţă: Tribunalul </w:t>
      </w:r>
      <w:r w:rsidR="00E34E66">
        <w:rPr>
          <w:rFonts w:ascii="Times New Roman" w:hAnsi="Times New Roman" w:eastAsia="Times New Roman" w:cs="Times New Roman"/>
          <w:i/>
          <w:kern w:val="0"/>
          <w:sz w:val="20"/>
          <w:szCs w:val="20"/>
          <w:lang w:val="ro-RO" w:eastAsia="en-GB"/>
          <w14:ligatures w14:val="none"/>
        </w:rPr>
        <w:t>.......</w:t>
      </w:r>
    </w:p>
    <w:p w:rsidRPr="00392DD1" w:rsidR="00392DD1" w:rsidP="00392DD1" w:rsidRDefault="00392DD1" w14:paraId="1A053062" w14:textId="261F1CBD">
      <w:pPr>
        <w:spacing w:after="0" w:line="240" w:lineRule="auto"/>
        <w:ind w:firstLine="708"/>
        <w:rPr>
          <w:rFonts w:ascii="Garamond" w:hAnsi="Garamond" w:eastAsia="Times New Roman" w:cs="Times New Roman"/>
          <w:kern w:val="0"/>
          <w:sz w:val="16"/>
          <w:szCs w:val="20"/>
          <w:lang w:val="ro-RO" w:eastAsia="en-GB"/>
          <w14:ligatures w14:val="none"/>
        </w:rPr>
      </w:pPr>
      <w:r w:rsidRPr="00392DD1">
        <w:rPr>
          <w:rFonts w:ascii="Times New Roman" w:hAnsi="Times New Roman" w:eastAsia="Times New Roman" w:cs="Times New Roman"/>
          <w:i/>
          <w:kern w:val="0"/>
          <w:sz w:val="20"/>
          <w:szCs w:val="20"/>
          <w:lang w:val="ro-RO" w:eastAsia="en-GB"/>
          <w14:ligatures w14:val="none"/>
        </w:rPr>
        <w:t xml:space="preserve">Judecător fond: </w:t>
      </w:r>
      <w:r w:rsidR="00E34E66">
        <w:rPr>
          <w:rFonts w:ascii="Times New Roman" w:hAnsi="Times New Roman" w:eastAsia="Times New Roman" w:cs="Times New Roman"/>
          <w:i/>
          <w:kern w:val="0"/>
          <w:sz w:val="20"/>
          <w:szCs w:val="20"/>
          <w:lang w:val="ro-RO" w:eastAsia="en-GB"/>
          <w14:ligatures w14:val="none"/>
        </w:rPr>
        <w:t>.....................</w:t>
      </w:r>
      <w:r w:rsidRPr="00392DD1">
        <w:rPr>
          <w:rFonts w:ascii="Times New Roman" w:hAnsi="Times New Roman" w:eastAsia="Times New Roman" w:cs="Times New Roman"/>
          <w:i/>
          <w:kern w:val="0"/>
          <w:sz w:val="20"/>
          <w:szCs w:val="20"/>
          <w:lang w:val="ro-RO" w:eastAsia="en-GB"/>
          <w14:ligatures w14:val="none"/>
        </w:rPr>
        <w:t xml:space="preserve"> </w:t>
      </w:r>
    </w:p>
    <w:p w:rsidRPr="00392DD1" w:rsidR="00392DD1" w:rsidP="00392DD1" w:rsidRDefault="00392DD1" w14:paraId="541DD4BA" w14:textId="77777777">
      <w:pPr>
        <w:spacing w:after="0" w:line="240" w:lineRule="auto"/>
        <w:jc w:val="center"/>
        <w:rPr>
          <w:rFonts w:ascii="Garamond" w:hAnsi="Garamond" w:eastAsia="Times New Roman" w:cs="Times New Roman"/>
          <w:kern w:val="0"/>
          <w:sz w:val="16"/>
          <w:szCs w:val="20"/>
          <w:lang w:val="ro-RO" w:eastAsia="en-GB"/>
          <w14:ligatures w14:val="none"/>
        </w:rPr>
      </w:pPr>
    </w:p>
    <w:p w:rsidRPr="00392DD1" w:rsidR="000C1B57" w:rsidRDefault="000C1B57" w14:paraId="148C0A56" w14:textId="77777777">
      <w:pPr>
        <w:rPr>
          <w:lang w:val="ro-RO"/>
        </w:rPr>
      </w:pPr>
    </w:p>
    <w:sectPr w:rsidRPr="00392DD1"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B24"/>
    <w:rsid w:val="00085EB6"/>
    <w:rsid w:val="000C1B57"/>
    <w:rsid w:val="000D553B"/>
    <w:rsid w:val="00104E31"/>
    <w:rsid w:val="001A5039"/>
    <w:rsid w:val="00392DD1"/>
    <w:rsid w:val="0041047C"/>
    <w:rsid w:val="00446AF8"/>
    <w:rsid w:val="00743B24"/>
    <w:rsid w:val="00907546"/>
    <w:rsid w:val="00B65F2B"/>
    <w:rsid w:val="00D07D59"/>
    <w:rsid w:val="00E34E66"/>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4DF73"/>
  <w15:chartTrackingRefBased/>
  <w15:docId w15:val="{4052B96B-E7A8-4CDE-BA44-AA1EB2A9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3B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3B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3B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3B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3B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3B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3B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3B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3B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B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3B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3B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3B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3B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3B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3B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3B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3B24"/>
    <w:rPr>
      <w:rFonts w:eastAsiaTheme="majorEastAsia" w:cstheme="majorBidi"/>
      <w:color w:val="272727" w:themeColor="text1" w:themeTint="D8"/>
    </w:rPr>
  </w:style>
  <w:style w:type="paragraph" w:styleId="Title">
    <w:name w:val="Title"/>
    <w:basedOn w:val="Normal"/>
    <w:next w:val="Normal"/>
    <w:link w:val="TitleChar"/>
    <w:uiPriority w:val="10"/>
    <w:qFormat/>
    <w:rsid w:val="00743B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3B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3B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3B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3B24"/>
    <w:pPr>
      <w:spacing w:before="160"/>
      <w:jc w:val="center"/>
    </w:pPr>
    <w:rPr>
      <w:i/>
      <w:iCs/>
      <w:color w:val="404040" w:themeColor="text1" w:themeTint="BF"/>
    </w:rPr>
  </w:style>
  <w:style w:type="character" w:customStyle="1" w:styleId="QuoteChar">
    <w:name w:val="Quote Char"/>
    <w:basedOn w:val="DefaultParagraphFont"/>
    <w:link w:val="Quote"/>
    <w:uiPriority w:val="29"/>
    <w:rsid w:val="00743B24"/>
    <w:rPr>
      <w:i/>
      <w:iCs/>
      <w:color w:val="404040" w:themeColor="text1" w:themeTint="BF"/>
    </w:rPr>
  </w:style>
  <w:style w:type="paragraph" w:styleId="ListParagraph">
    <w:name w:val="List Paragraph"/>
    <w:basedOn w:val="Normal"/>
    <w:uiPriority w:val="34"/>
    <w:qFormat/>
    <w:rsid w:val="00743B24"/>
    <w:pPr>
      <w:ind w:left="720"/>
      <w:contextualSpacing/>
    </w:pPr>
  </w:style>
  <w:style w:type="character" w:styleId="IntenseEmphasis">
    <w:name w:val="Intense Emphasis"/>
    <w:basedOn w:val="DefaultParagraphFont"/>
    <w:uiPriority w:val="21"/>
    <w:qFormat/>
    <w:rsid w:val="00743B24"/>
    <w:rPr>
      <w:i/>
      <w:iCs/>
      <w:color w:val="2F5496" w:themeColor="accent1" w:themeShade="BF"/>
    </w:rPr>
  </w:style>
  <w:style w:type="paragraph" w:styleId="IntenseQuote">
    <w:name w:val="Intense Quote"/>
    <w:basedOn w:val="Normal"/>
    <w:next w:val="Normal"/>
    <w:link w:val="IntenseQuoteChar"/>
    <w:uiPriority w:val="30"/>
    <w:qFormat/>
    <w:rsid w:val="00743B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3B24"/>
    <w:rPr>
      <w:i/>
      <w:iCs/>
      <w:color w:val="2F5496" w:themeColor="accent1" w:themeShade="BF"/>
    </w:rPr>
  </w:style>
  <w:style w:type="character" w:styleId="IntenseReference">
    <w:name w:val="Intense Reference"/>
    <w:basedOn w:val="DefaultParagraphFont"/>
    <w:uiPriority w:val="32"/>
    <w:qFormat/>
    <w:rsid w:val="00743B2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1</ap:Pages>
  <ap:Words>6886</ap:Words>
  <ap:Characters>39254</ap:Characters>
  <ap:Application>Microsoft Office Word</ap:Application>
  <ap:DocSecurity>0</ap:DocSecurity>
  <ap:Lines>327</ap:Lines>
  <ap:Paragraphs>92</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46048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