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B14C29" w:rsidR="00E8435E" w14:paraId="64EC6705"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R O M Â N I A</w:t>
      </w:r>
    </w:p>
    <w:p w:rsidRPr="00B14C29" w:rsidR="00E8435E" w14:paraId="5C391BE2"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CURTEA DE APEL </w:t>
      </w:r>
      <w:r w:rsidRPr="00B14C29" w:rsidR="006A402A">
        <w:rPr>
          <w:rStyle w:val="Fontdeparagrafimplicit"/>
          <w:rFonts w:ascii="Bookman Old Style" w:hAnsi="Bookman Old Style"/>
          <w:lang w:val="pt-PT"/>
        </w:rPr>
        <w:t xml:space="preserve">................. </w:t>
      </w:r>
    </w:p>
    <w:p w:rsidRPr="00B14C29" w:rsidR="00E8435E" w14:paraId="15EF8A9D"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Secţia </w:t>
      </w:r>
      <w:r w:rsidRPr="00B14C29" w:rsidR="006A402A">
        <w:rPr>
          <w:rStyle w:val="Fontdeparagrafimplicit"/>
          <w:rFonts w:ascii="Bookman Old Style" w:hAnsi="Bookman Old Style"/>
          <w:lang w:val="pt-PT"/>
        </w:rPr>
        <w:t xml:space="preserve">................. </w:t>
      </w:r>
    </w:p>
    <w:p w:rsidRPr="00B14C29" w:rsidR="00E8435E" w14:paraId="21A576E3" w14:textId="77777777">
      <w:pPr>
        <w:jc w:val="center"/>
        <w:rPr>
          <w:rStyle w:val="Fontdeparagrafimplicit"/>
          <w:rFonts w:ascii="Bookman Old Style" w:hAnsi="Bookman Old Style"/>
          <w:lang w:val="pt-PT"/>
        </w:rPr>
      </w:pPr>
    </w:p>
    <w:p w:rsidRPr="00B14C29" w:rsidR="00E8435E" w14:paraId="63CEB1BD" w14:textId="77777777">
      <w:pPr>
        <w:rPr>
          <w:rStyle w:val="Fontdeparagrafimplicit"/>
          <w:rFonts w:ascii="Bookman Old Style" w:hAnsi="Bookman Old Style"/>
          <w:lang w:val="pt-PT"/>
        </w:rPr>
      </w:pPr>
      <w:r w:rsidRPr="00B14C29">
        <w:rPr>
          <w:rStyle w:val="Fontdeparagrafimplicit"/>
          <w:rFonts w:ascii="Bookman Old Style" w:hAnsi="Bookman Old Style"/>
          <w:lang w:val="pt-PT"/>
        </w:rPr>
        <w:t xml:space="preserve">       Dosar nr. </w:t>
      </w:r>
      <w:r w:rsidRPr="00B14C29" w:rsidR="006A402A">
        <w:rPr>
          <w:rStyle w:val="Fontdeparagrafimplicit"/>
          <w:rFonts w:ascii="Bookman Old Style" w:hAnsi="Bookman Old Style"/>
          <w:lang w:val="pt-PT"/>
        </w:rPr>
        <w:t>17</w:t>
      </w:r>
      <w:r w:rsidRPr="00B14C29">
        <w:rPr>
          <w:rStyle w:val="Fontdeparagrafimplicit"/>
          <w:rFonts w:ascii="Bookman Old Style" w:hAnsi="Bookman Old Style"/>
          <w:lang w:val="pt-PT"/>
        </w:rPr>
        <w:t>*</w:t>
      </w:r>
    </w:p>
    <w:p w:rsidRPr="00B14C29" w:rsidR="00E8435E" w14:paraId="0B85803F" w14:textId="77777777">
      <w:pPr>
        <w:rPr>
          <w:rStyle w:val="Fontdeparagrafimplicit"/>
          <w:rFonts w:ascii="Bookman Old Style" w:hAnsi="Bookman Old Style"/>
          <w:lang w:val="pt-PT"/>
        </w:rPr>
      </w:pPr>
    </w:p>
    <w:p w:rsidRPr="00B14C29" w:rsidR="00E8435E" w14:paraId="1B95A989" w14:textId="77777777">
      <w:pPr>
        <w:ind w:left="2124"/>
        <w:rPr>
          <w:rStyle w:val="Fontdeparagrafimplicit"/>
          <w:rFonts w:ascii="Bookman Old Style" w:hAnsi="Bookman Old Style"/>
          <w:b/>
          <w:lang w:val="pt-PT"/>
        </w:rPr>
      </w:pPr>
      <w:r w:rsidRPr="00B14C29">
        <w:rPr>
          <w:rStyle w:val="Fontdeparagrafimplicit"/>
          <w:rFonts w:ascii="Bookman Old Style" w:hAnsi="Bookman Old Style"/>
          <w:b/>
          <w:lang w:val="pt-PT"/>
        </w:rPr>
        <w:t xml:space="preserve">   DECIZIA CIVILĂ Nr. </w:t>
      </w:r>
      <w:r w:rsidRPr="00B14C29" w:rsidR="006A402A">
        <w:rPr>
          <w:rStyle w:val="Fontdeparagrafimplicit"/>
          <w:rFonts w:ascii="Bookman Old Style" w:hAnsi="Bookman Old Style"/>
          <w:b/>
          <w:lang w:val="pt-PT"/>
        </w:rPr>
        <w:t>17</w:t>
      </w:r>
    </w:p>
    <w:p w:rsidRPr="00B14C29" w:rsidR="00E8435E" w14:paraId="5795AC88"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Şedinţa publică din data de </w:t>
      </w:r>
      <w:r w:rsidRPr="00B14C29" w:rsidR="006A402A">
        <w:rPr>
          <w:rStyle w:val="Fontdeparagrafimplicit"/>
          <w:rFonts w:ascii="Bookman Old Style" w:hAnsi="Bookman Old Style"/>
          <w:lang w:val="pt-PT"/>
        </w:rPr>
        <w:t xml:space="preserve">............. </w:t>
      </w:r>
    </w:p>
    <w:p w:rsidRPr="00B14C29" w:rsidR="00E8435E" w14:paraId="2408CD5A"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Instanţa constituită din:</w:t>
      </w:r>
    </w:p>
    <w:p w:rsidRPr="00B14C29" w:rsidR="00E8435E" w14:paraId="00BAB769"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PREŞEDINTE: : </w:t>
      </w:r>
      <w:r w:rsidRPr="00B14C29" w:rsidR="006A402A">
        <w:rPr>
          <w:rStyle w:val="Fontdeparagrafimplicit"/>
          <w:rFonts w:ascii="Bookman Old Style" w:hAnsi="Bookman Old Style"/>
          <w:lang w:val="pt-PT"/>
        </w:rPr>
        <w:t xml:space="preserve">............. </w:t>
      </w:r>
    </w:p>
    <w:p w:rsidRPr="00B14C29" w:rsidR="00E8435E" w14:paraId="161AF616"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JUDECĂTOR: </w:t>
      </w:r>
      <w:r w:rsidRPr="00B14C29" w:rsidR="006A402A">
        <w:rPr>
          <w:rStyle w:val="Fontdeparagrafimplicit"/>
          <w:rFonts w:ascii="Bookman Old Style" w:hAnsi="Bookman Old Style"/>
          <w:lang w:val="pt-PT"/>
        </w:rPr>
        <w:t xml:space="preserve">............. </w:t>
      </w:r>
    </w:p>
    <w:p w:rsidRPr="00B14C29" w:rsidR="00E8435E" w14:paraId="235F73A6"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JUDECĂTOR: </w:t>
      </w:r>
      <w:r w:rsidRPr="00B14C29" w:rsidR="006A402A">
        <w:rPr>
          <w:rStyle w:val="Fontdeparagrafimplicit"/>
          <w:rFonts w:ascii="Bookman Old Style" w:hAnsi="Bookman Old Style"/>
          <w:lang w:val="pt-PT"/>
        </w:rPr>
        <w:t>A0019</w:t>
      </w:r>
    </w:p>
    <w:p w:rsidRPr="00B14C29" w:rsidR="00E8435E" w14:paraId="1FE47B7D" w14:textId="77777777">
      <w:pPr>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GREFIER: </w:t>
      </w:r>
      <w:r w:rsidRPr="00B14C29" w:rsidR="006A402A">
        <w:rPr>
          <w:rStyle w:val="Fontdeparagrafimplicit"/>
          <w:rFonts w:ascii="Bookman Old Style" w:hAnsi="Bookman Old Style"/>
          <w:lang w:val="pt-PT"/>
        </w:rPr>
        <w:t xml:space="preserve">................. </w:t>
      </w:r>
    </w:p>
    <w:p w:rsidRPr="00B14C29" w:rsidR="00E8435E" w14:paraId="1B6233E1" w14:textId="77777777">
      <w:pPr>
        <w:jc w:val="center"/>
        <w:rPr>
          <w:rStyle w:val="Fontdeparagrafimplicit"/>
          <w:rFonts w:ascii="Bookman Old Style" w:hAnsi="Bookman Old Style"/>
          <w:lang w:val="pt-PT"/>
        </w:rPr>
      </w:pPr>
    </w:p>
    <w:p w:rsidRPr="00B14C29" w:rsidR="00E8435E" w14:paraId="216D092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 luat în examinare, în vederea pronunţării, recursul declarat de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respectiv recursul declarat de AGENŢIA NAŢIONALĂ DE ADMINISTRARE FISCALĂ împotriva sentinţei civile nr.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din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 a Tribunalului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pronunţată în dosar nr. </w:t>
      </w:r>
      <w:r w:rsidRPr="00B14C29" w:rsidR="006A402A">
        <w:rPr>
          <w:rStyle w:val="Fontdeparagrafimplicit"/>
          <w:rFonts w:ascii="Bookman Old Style" w:hAnsi="Bookman Old Style"/>
          <w:lang w:val="pt-PT"/>
        </w:rPr>
        <w:t>17</w:t>
      </w:r>
      <w:r w:rsidRPr="00B14C29">
        <w:rPr>
          <w:rStyle w:val="Fontdeparagrafimplicit"/>
          <w:rFonts w:ascii="Bookman Old Style" w:hAnsi="Bookman Old Style"/>
          <w:lang w:val="pt-PT"/>
        </w:rPr>
        <w:t xml:space="preserve">* privind şi pe intimaţii: reclamantul </w:t>
      </w:r>
      <w:r w:rsidRPr="00B14C29" w:rsidR="006A402A">
        <w:rPr>
          <w:rStyle w:val="Fontdeparagrafimplicit"/>
          <w:rFonts w:ascii="Bookman Old Style" w:hAnsi="Bookman Old Style"/>
          <w:lang w:val="pt-PT"/>
        </w:rPr>
        <w:t xml:space="preserve">2 </w:t>
      </w:r>
      <w:r w:rsidRPr="00B14C29">
        <w:rPr>
          <w:rStyle w:val="Fontdeparagrafimplicit"/>
          <w:rFonts w:ascii="Bookman Old Style" w:hAnsi="Bookman Old Style"/>
          <w:lang w:val="pt-PT"/>
        </w:rPr>
        <w:t xml:space="preserve">, pârâţii ADMINISTRAŢIA FINANŢELOR PUBLICE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şi DIRECŢIA GENERALĂ A FINANŢELOR PUBLICE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precum şi pe chemata în garanţie ANAF – DIRECŢIA GENERALĂ DE ADMINISTRARE A MARILOR CONTRIBUABILI având ca obiect pretenţii.</w:t>
      </w:r>
    </w:p>
    <w:p w:rsidRPr="00B14C29" w:rsidR="00E8435E" w14:paraId="6F060203"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Concluziile părţilor prezente s-au consemnat în încheierea şedinţei publice din data de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când s-a amânat pronunţarea, încheiere care face parte integrantă din prezenta decizie.</w:t>
      </w:r>
    </w:p>
    <w:p w:rsidRPr="00B14C29" w:rsidR="00E8435E" w14:paraId="54881C8B" w14:textId="77777777">
      <w:pPr>
        <w:rPr>
          <w:rStyle w:val="Fontdeparagrafimplicit"/>
          <w:rFonts w:ascii="Bookman Old Style" w:hAnsi="Bookman Old Style"/>
          <w:lang w:val="pt-PT"/>
        </w:rPr>
      </w:pPr>
    </w:p>
    <w:p w:rsidRPr="00B14C29" w:rsidR="00E8435E" w14:paraId="04BBF4DD" w14:textId="77777777">
      <w:pPr>
        <w:ind w:firstLine="708"/>
        <w:jc w:val="center"/>
        <w:rPr>
          <w:rStyle w:val="Fontdeparagrafimplicit"/>
          <w:rFonts w:ascii="Bookman Old Style" w:hAnsi="Bookman Old Style"/>
          <w:lang w:val="pt-PT"/>
        </w:rPr>
      </w:pPr>
      <w:r w:rsidRPr="00B14C29">
        <w:rPr>
          <w:rStyle w:val="Fontdeparagrafimplicit"/>
          <w:rFonts w:ascii="Bookman Old Style" w:hAnsi="Bookman Old Style"/>
          <w:lang w:val="pt-PT"/>
        </w:rPr>
        <w:t>C U R T E A</w:t>
      </w:r>
    </w:p>
    <w:p w:rsidRPr="00B14C29" w:rsidR="00E8435E" w14:paraId="39AD7922" w14:textId="77777777">
      <w:pPr>
        <w:ind w:firstLine="708"/>
        <w:jc w:val="center"/>
        <w:rPr>
          <w:rStyle w:val="Fontdeparagrafimplicit"/>
          <w:rFonts w:ascii="Bookman Old Style" w:hAnsi="Bookman Old Style"/>
          <w:lang w:val="pt-PT"/>
        </w:rPr>
      </w:pPr>
    </w:p>
    <w:p w:rsidRPr="00B14C29" w:rsidR="00E8435E" w14:paraId="4F0CE5B1" w14:textId="2F0006ED">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 xml:space="preserve">Prin sentinţa civilă nr. </w:t>
      </w:r>
      <w:r w:rsidRPr="00B14C29" w:rsidR="006A402A">
        <w:rPr>
          <w:rStyle w:val="Fontdeparagrafimplicit"/>
          <w:rFonts w:ascii="Bookman Old Style" w:hAnsi="Bookman Old Style"/>
          <w:i/>
          <w:lang w:val="pt-PT"/>
        </w:rPr>
        <w:t>.........</w:t>
      </w:r>
      <w:r w:rsidRPr="00B14C29">
        <w:rPr>
          <w:rStyle w:val="Fontdeparagrafimplicit"/>
          <w:rFonts w:ascii="Bookman Old Style" w:hAnsi="Bookman Old Style"/>
          <w:i/>
          <w:lang w:val="pt-PT"/>
        </w:rPr>
        <w:t xml:space="preserve">din </w:t>
      </w:r>
      <w:r w:rsidRPr="00B14C29" w:rsidR="006A402A">
        <w:rPr>
          <w:rStyle w:val="Fontdeparagrafimplicit"/>
          <w:rFonts w:ascii="Bookman Old Style" w:hAnsi="Bookman Old Style"/>
          <w:i/>
          <w:lang w:val="pt-PT"/>
        </w:rPr>
        <w:t>.........</w:t>
      </w:r>
      <w:r w:rsidRPr="00B14C29">
        <w:rPr>
          <w:rStyle w:val="Fontdeparagrafimplicit"/>
          <w:rFonts w:ascii="Bookman Old Style" w:hAnsi="Bookman Old Style"/>
          <w:i/>
          <w:lang w:val="pt-PT"/>
        </w:rPr>
        <w:t xml:space="preserve"> a Tribunalului </w:t>
      </w:r>
      <w:r w:rsidRPr="00B14C29" w:rsidR="006A402A">
        <w:rPr>
          <w:rStyle w:val="Fontdeparagrafimplicit"/>
          <w:rFonts w:ascii="Bookman Old Style" w:hAnsi="Bookman Old Style"/>
          <w:i/>
          <w:lang w:val="pt-PT"/>
        </w:rPr>
        <w:t>.........</w:t>
      </w:r>
      <w:r w:rsidRPr="00B14C29">
        <w:rPr>
          <w:rStyle w:val="Fontdeparagrafimplicit"/>
          <w:rFonts w:ascii="Bookman Old Style" w:hAnsi="Bookman Old Style"/>
          <w:i/>
          <w:lang w:val="pt-PT"/>
        </w:rPr>
        <w:t xml:space="preserve">pronunţată în dosarul nr. </w:t>
      </w:r>
      <w:r w:rsidRPr="00B14C29" w:rsidR="006A402A">
        <w:rPr>
          <w:rStyle w:val="Fontdeparagrafimplicit"/>
          <w:rFonts w:ascii="Bookman Old Style" w:hAnsi="Bookman Old Style"/>
          <w:i/>
          <w:lang w:val="pt-PT"/>
        </w:rPr>
        <w:t>17</w:t>
      </w:r>
      <w:r w:rsidRPr="00B14C29">
        <w:rPr>
          <w:rStyle w:val="Fontdeparagrafimplicit"/>
          <w:rFonts w:ascii="Bookman Old Style" w:hAnsi="Bookman Old Style"/>
          <w:i/>
          <w:lang w:val="pt-PT"/>
        </w:rPr>
        <w:t>*</w:t>
      </w:r>
      <w:r w:rsidRPr="00B14C29">
        <w:rPr>
          <w:rStyle w:val="Fontdeparagrafimplicit"/>
          <w:rFonts w:ascii="Bookman Old Style" w:hAnsi="Bookman Old Style"/>
          <w:lang w:val="pt-PT"/>
        </w:rPr>
        <w:t xml:space="preserve"> s-a admis excepţia lipsei calităţii procesuale pasive a pârâtelor </w:t>
      </w:r>
      <w:r w:rsidRPr="00B14C29">
        <w:rPr>
          <w:rStyle w:val="Fontdeparagrafimplicit"/>
          <w:rFonts w:ascii="Bookman Old Style" w:hAnsi="Bookman Old Style"/>
          <w:b/>
          <w:lang w:val="pt-PT"/>
        </w:rPr>
        <w:t>Direcţia Generală a</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lang w:val="pt-PT"/>
        </w:rPr>
        <w:t xml:space="preserve">Finanţelor Publice </w:t>
      </w:r>
      <w:r w:rsidRPr="00B14C29" w:rsidR="006A402A">
        <w:rPr>
          <w:rStyle w:val="Fontdeparagrafimplicit"/>
          <w:rFonts w:ascii="Bookman Old Style" w:hAnsi="Bookman Old Style"/>
          <w:b/>
          <w:lang w:val="pt-PT"/>
        </w:rPr>
        <w:t>.........</w:t>
      </w:r>
      <w:r w:rsidRPr="00B14C29">
        <w:rPr>
          <w:rStyle w:val="Fontdeparagrafimplicit"/>
          <w:rFonts w:ascii="Bookman Old Style" w:hAnsi="Bookman Old Style"/>
          <w:b/>
          <w:lang w:val="pt-PT"/>
        </w:rPr>
        <w:t xml:space="preserve">şi Administraţia Finanţelor Publice </w:t>
      </w:r>
      <w:r w:rsidRPr="00B14C29" w:rsidR="006A402A">
        <w:rPr>
          <w:rStyle w:val="Fontdeparagrafimplicit"/>
          <w:rFonts w:ascii="Bookman Old Style" w:hAnsi="Bookman Old Style"/>
          <w:b/>
          <w:lang w:val="pt-PT"/>
        </w:rPr>
        <w:t xml:space="preserve">......... </w:t>
      </w:r>
      <w:r w:rsidRPr="00B14C29">
        <w:rPr>
          <w:rStyle w:val="Fontdeparagrafimplicit"/>
          <w:rFonts w:ascii="Bookman Old Style" w:hAnsi="Bookman Old Style"/>
          <w:b/>
          <w:lang w:val="pt-PT"/>
        </w:rPr>
        <w:t>,</w:t>
      </w:r>
      <w:r w:rsidRPr="00B14C29">
        <w:rPr>
          <w:rStyle w:val="Fontdeparagrafimplicit"/>
          <w:rFonts w:ascii="Bookman Old Style" w:hAnsi="Bookman Old Style"/>
          <w:lang w:val="pt-PT"/>
        </w:rPr>
        <w:t xml:space="preserve"> şi s-a respins acţiunea formulată de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b/>
          <w:lang w:val="pt-PT"/>
        </w:rPr>
        <w:t xml:space="preserve"> </w:t>
      </w:r>
      <w:r w:rsidRPr="00B14C29" w:rsidR="006A402A">
        <w:rPr>
          <w:rStyle w:val="Fontdeparagrafimplicit"/>
          <w:rFonts w:ascii="Bookman Old Style" w:hAnsi="Bookman Old Style"/>
          <w:b/>
          <w:lang w:val="pt-PT"/>
        </w:rPr>
        <w:t xml:space="preserve">2 </w:t>
      </w:r>
      <w:r w:rsidRPr="00B14C29">
        <w:rPr>
          <w:rStyle w:val="Fontdeparagrafimplicit"/>
          <w:rFonts w:ascii="Bookman Old Style" w:hAnsi="Bookman Old Style"/>
          <w:lang w:val="pt-PT"/>
        </w:rPr>
        <w:t xml:space="preserve"> împotriva acestor pârâte ca fiind introdusă împotriva unor persoane fără calitate procesuală pasivă.</w:t>
      </w:r>
    </w:p>
    <w:p w:rsidRPr="00B14C29" w:rsidR="00E8435E" w14:paraId="3CD4970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S-au respins ca nefondate excepţiile tardivităţii, prescripţiei dreptului la acţiune şi lipsei calităţii procesuale pasive a pârâtei invocate de pârâta </w:t>
      </w:r>
      <w:r w:rsidRPr="00B14C29">
        <w:rPr>
          <w:rStyle w:val="Fontdeparagrafimplicit"/>
          <w:rFonts w:ascii="Bookman Old Style" w:hAnsi="Bookman Old Style"/>
          <w:b/>
          <w:lang w:val="pt-PT"/>
        </w:rPr>
        <w:t xml:space="preserve">SC </w:t>
      </w:r>
      <w:r w:rsidRPr="00B14C29" w:rsidR="006A402A">
        <w:rPr>
          <w:rStyle w:val="Fontdeparagrafimplicit"/>
          <w:rFonts w:ascii="Bookman Old Style" w:hAnsi="Bookman Old Style"/>
          <w:b/>
          <w:lang w:val="pt-PT"/>
        </w:rPr>
        <w:t xml:space="preserve">1 </w:t>
      </w:r>
      <w:r w:rsidRPr="00B14C29">
        <w:rPr>
          <w:rStyle w:val="Fontdeparagrafimplicit"/>
          <w:rFonts w:ascii="Bookman Old Style" w:hAnsi="Bookman Old Style"/>
          <w:b/>
          <w:lang w:val="pt-PT"/>
        </w:rPr>
        <w:t>SA</w:t>
      </w:r>
      <w:r w:rsidRPr="00B14C29">
        <w:rPr>
          <w:rStyle w:val="Fontdeparagrafimplicit"/>
          <w:rFonts w:ascii="Bookman Old Style" w:hAnsi="Bookman Old Style"/>
          <w:lang w:val="pt-PT"/>
        </w:rPr>
        <w:t>.</w:t>
      </w:r>
    </w:p>
    <w:p w:rsidRPr="00B14C29" w:rsidR="00E8435E" w14:paraId="42B3F989"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S-au respins excepţiile inadmisibilităţii şi lipsei calităţii procesuale pasive invocate de </w:t>
      </w:r>
      <w:r w:rsidRPr="00B14C29">
        <w:rPr>
          <w:rStyle w:val="Fontdeparagrafimplicit"/>
          <w:rFonts w:ascii="Bookman Old Style" w:hAnsi="Bookman Old Style"/>
          <w:b/>
          <w:lang w:val="pt-PT"/>
        </w:rPr>
        <w:t>Agenţia Naţională de Administrare Fiscală - Direcţia Generală de Administrare a Marilor Contribuabili</w:t>
      </w:r>
      <w:r w:rsidRPr="00B14C29">
        <w:rPr>
          <w:rStyle w:val="Fontdeparagrafimplicit"/>
          <w:rFonts w:ascii="Bookman Old Style" w:hAnsi="Bookman Old Style"/>
          <w:lang w:val="pt-PT"/>
        </w:rPr>
        <w:t>.</w:t>
      </w:r>
    </w:p>
    <w:p w:rsidRPr="00B14C29" w:rsidR="00E8435E" w14:paraId="0D78C381" w14:textId="0E84CD8E">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 admis acţiunea civilă precizată formulată de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w:t>
      </w:r>
      <w:r w:rsidRPr="00B14C29" w:rsidR="006A402A">
        <w:rPr>
          <w:rStyle w:val="Fontdeparagrafimplicit"/>
          <w:rFonts w:ascii="Bookman Old Style" w:hAnsi="Bookman Old Style"/>
          <w:b/>
          <w:lang w:val="pt-PT"/>
        </w:rPr>
        <w:t xml:space="preserve">2 </w:t>
      </w:r>
      <w:r w:rsidRPr="00B14C29">
        <w:rPr>
          <w:rStyle w:val="Fontdeparagrafimplicit"/>
          <w:rFonts w:ascii="Bookman Old Style" w:hAnsi="Bookman Old Style"/>
          <w:b/>
          <w:lang w:val="pt-PT"/>
        </w:rPr>
        <w:t xml:space="preserve">, </w:t>
      </w:r>
      <w:r w:rsidRPr="00B14C29">
        <w:rPr>
          <w:rStyle w:val="Fontdeparagrafimplicit"/>
          <w:rFonts w:ascii="Bookman Old Style" w:hAnsi="Bookman Old Style"/>
          <w:lang w:val="pt-PT"/>
        </w:rPr>
        <w:t xml:space="preserve">împotriva pârâtei </w:t>
      </w:r>
      <w:r w:rsidRPr="00B14C29">
        <w:rPr>
          <w:rStyle w:val="Fontdeparagrafimplicit"/>
          <w:rFonts w:ascii="Bookman Old Style" w:hAnsi="Bookman Old Style"/>
          <w:b/>
          <w:lang w:val="pt-PT"/>
        </w:rPr>
        <w:t xml:space="preserve">SC </w:t>
      </w:r>
      <w:r w:rsidRPr="00B14C29" w:rsidR="006A402A">
        <w:rPr>
          <w:rStyle w:val="Fontdeparagrafimplicit"/>
          <w:rFonts w:ascii="Bookman Old Style" w:hAnsi="Bookman Old Style"/>
          <w:b/>
          <w:lang w:val="pt-PT"/>
        </w:rPr>
        <w:t xml:space="preserve">1 </w:t>
      </w:r>
      <w:r w:rsidRPr="00B14C29">
        <w:rPr>
          <w:rStyle w:val="Fontdeparagrafimplicit"/>
          <w:rFonts w:ascii="Bookman Old Style" w:hAnsi="Bookman Old Style"/>
          <w:b/>
          <w:lang w:val="pt-PT"/>
        </w:rPr>
        <w:t>SA</w:t>
      </w:r>
      <w:r w:rsidRPr="00B14C29">
        <w:rPr>
          <w:rStyle w:val="Fontdeparagrafimplicit"/>
          <w:rFonts w:ascii="Bookman Old Style" w:hAnsi="Bookman Old Style"/>
          <w:lang w:val="pt-PT"/>
        </w:rPr>
        <w:t xml:space="preserve"> şi obligată pârâta să plătească reclamantei suma de 5873 lei reprezentând impozit pe venit reţinut, precum şi dobânda legală de la data reţinerii şi până la data restituirii integrale.</w:t>
      </w:r>
    </w:p>
    <w:p w:rsidRPr="00B14C29" w:rsidR="00E8435E" w14:paraId="6CF0F152" w14:textId="0A74107B">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Pârâta </w:t>
      </w:r>
      <w:r w:rsidRPr="00B14C29">
        <w:rPr>
          <w:rStyle w:val="Fontdeparagrafimplicit"/>
          <w:rFonts w:ascii="Bookman Old Style" w:hAnsi="Bookman Old Style"/>
          <w:b/>
          <w:lang w:val="pt-PT"/>
        </w:rPr>
        <w:t xml:space="preserve">SC </w:t>
      </w:r>
      <w:r w:rsidRPr="00B14C29" w:rsidR="006A402A">
        <w:rPr>
          <w:rStyle w:val="Fontdeparagrafimplicit"/>
          <w:rFonts w:ascii="Bookman Old Style" w:hAnsi="Bookman Old Style"/>
          <w:b/>
          <w:lang w:val="pt-PT"/>
        </w:rPr>
        <w:t xml:space="preserve">1 </w:t>
      </w:r>
      <w:r w:rsidRPr="00B14C29">
        <w:rPr>
          <w:rStyle w:val="Fontdeparagrafimplicit"/>
          <w:rFonts w:ascii="Bookman Old Style" w:hAnsi="Bookman Old Style"/>
          <w:b/>
          <w:lang w:val="pt-PT"/>
        </w:rPr>
        <w:t>SA</w:t>
      </w:r>
      <w:r w:rsidRPr="00B14C29">
        <w:rPr>
          <w:rStyle w:val="Fontdeparagrafimplicit"/>
          <w:rFonts w:ascii="Bookman Old Style" w:hAnsi="Bookman Old Style"/>
          <w:lang w:val="pt-PT"/>
        </w:rPr>
        <w:t xml:space="preserve"> a fost obligată să plătească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suma de 1500 lei cheltuieli de judecată.</w:t>
      </w:r>
    </w:p>
    <w:p w:rsidRPr="00B14C29" w:rsidR="00E8435E" w14:paraId="7266BF3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 admis cererea de chemare în garanţie formulată de pârâta </w:t>
      </w:r>
      <w:r w:rsidRPr="00B14C29">
        <w:rPr>
          <w:rStyle w:val="Fontdeparagrafimplicit"/>
          <w:rFonts w:ascii="Bookman Old Style" w:hAnsi="Bookman Old Style"/>
          <w:b/>
          <w:lang w:val="pt-PT"/>
        </w:rPr>
        <w:t xml:space="preserve">SC </w:t>
      </w:r>
      <w:r w:rsidRPr="00B14C29" w:rsidR="006A402A">
        <w:rPr>
          <w:rStyle w:val="Fontdeparagrafimplicit"/>
          <w:rFonts w:ascii="Bookman Old Style" w:hAnsi="Bookman Old Style"/>
          <w:b/>
          <w:lang w:val="pt-PT"/>
        </w:rPr>
        <w:t xml:space="preserve">1 </w:t>
      </w:r>
      <w:r w:rsidRPr="00B14C29">
        <w:rPr>
          <w:rStyle w:val="Fontdeparagrafimplicit"/>
          <w:rFonts w:ascii="Bookman Old Style" w:hAnsi="Bookman Old Style"/>
          <w:b/>
          <w:lang w:val="pt-PT"/>
        </w:rPr>
        <w:t>SA</w:t>
      </w:r>
      <w:r w:rsidRPr="00B14C29">
        <w:rPr>
          <w:rStyle w:val="Fontdeparagrafimplicit"/>
          <w:rFonts w:ascii="Bookman Old Style" w:hAnsi="Bookman Old Style"/>
          <w:lang w:val="pt-PT"/>
        </w:rPr>
        <w:t xml:space="preserve"> împotriva chematei în garanţie </w:t>
      </w:r>
      <w:r w:rsidRPr="00B14C29">
        <w:rPr>
          <w:rStyle w:val="Fontdeparagrafimplicit"/>
          <w:rFonts w:ascii="Bookman Old Style" w:hAnsi="Bookman Old Style"/>
          <w:b/>
          <w:lang w:val="pt-PT"/>
        </w:rPr>
        <w:t>Agenţia Naţională de Administrare Fiscală - Direcţia Generală de Administrare a Marilor Contribuabili</w:t>
      </w:r>
      <w:r w:rsidRPr="00B14C29">
        <w:rPr>
          <w:rStyle w:val="Fontdeparagrafimplicit"/>
          <w:rFonts w:ascii="Bookman Old Style" w:hAnsi="Bookman Old Style"/>
          <w:lang w:val="pt-PT"/>
        </w:rPr>
        <w:t xml:space="preserve"> şi-n consecinţă a fost obligată chemata în garanţie să plătească pârâtei suma la plata căreia pârâta a fost obligată în favoarea reclamantei cu titlu de impozit pe venit, dobândă legală şi cheltuieli de judecată anterior indicate. </w:t>
      </w:r>
    </w:p>
    <w:p w:rsidRPr="00B14C29" w:rsidR="00E8435E" w14:paraId="6AC3691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S-a respins cererea de chemare în garanţie formulată de pârâtă împotriva chematelor în garanţie </w:t>
      </w:r>
      <w:r w:rsidRPr="00B14C29">
        <w:rPr>
          <w:rStyle w:val="Fontdeparagrafimplicit"/>
          <w:rFonts w:ascii="Bookman Old Style" w:hAnsi="Bookman Old Style"/>
          <w:b/>
          <w:lang w:val="pt-PT"/>
        </w:rPr>
        <w:t>Direcţia Generală a</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lang w:val="pt-PT"/>
        </w:rPr>
        <w:t xml:space="preserve">Finanţelor Publice </w:t>
      </w:r>
      <w:r w:rsidRPr="00B14C29" w:rsidR="006A402A">
        <w:rPr>
          <w:rStyle w:val="Fontdeparagrafimplicit"/>
          <w:rFonts w:ascii="Bookman Old Style" w:hAnsi="Bookman Old Style"/>
          <w:b/>
          <w:lang w:val="pt-PT"/>
        </w:rPr>
        <w:t>.........</w:t>
      </w:r>
      <w:r w:rsidRPr="00B14C29">
        <w:rPr>
          <w:rStyle w:val="Fontdeparagrafimplicit"/>
          <w:rFonts w:ascii="Bookman Old Style" w:hAnsi="Bookman Old Style"/>
          <w:b/>
          <w:lang w:val="pt-PT"/>
        </w:rPr>
        <w:t xml:space="preserve">şi </w:t>
      </w:r>
      <w:r w:rsidRPr="00B14C29">
        <w:rPr>
          <w:rStyle w:val="Fontdeparagrafimplicit"/>
          <w:rFonts w:ascii="Bookman Old Style" w:hAnsi="Bookman Old Style"/>
          <w:b/>
          <w:lang w:val="pt-PT"/>
        </w:rPr>
        <w:t xml:space="preserve">Administraţia Finanţelor Publice </w:t>
      </w:r>
      <w:r w:rsidRPr="00B14C29" w:rsidR="006A402A">
        <w:rPr>
          <w:rStyle w:val="Fontdeparagrafimplicit"/>
          <w:rFonts w:ascii="Bookman Old Style" w:hAnsi="Bookman Old Style"/>
          <w:b/>
          <w:lang w:val="pt-PT"/>
        </w:rPr>
        <w:t xml:space="preserve">......... </w:t>
      </w:r>
      <w:r w:rsidRPr="00B14C29">
        <w:rPr>
          <w:rStyle w:val="Fontdeparagrafimplicit"/>
          <w:rFonts w:ascii="Bookman Old Style" w:hAnsi="Bookman Old Style"/>
          <w:b/>
          <w:lang w:val="pt-PT"/>
        </w:rPr>
        <w:t>,</w:t>
      </w:r>
      <w:r w:rsidRPr="00B14C29">
        <w:rPr>
          <w:rStyle w:val="Fontdeparagrafimplicit"/>
          <w:rFonts w:ascii="Bookman Old Style" w:hAnsi="Bookman Old Style"/>
          <w:lang w:val="pt-PT"/>
        </w:rPr>
        <w:t xml:space="preserve"> pentru lipsă calitate procesuală pasivă.</w:t>
      </w:r>
    </w:p>
    <w:p w:rsidRPr="00B14C29" w:rsidR="00E8435E" w14:paraId="65A380C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Chematul în garanţie </w:t>
      </w:r>
      <w:r w:rsidRPr="00B14C29">
        <w:rPr>
          <w:rStyle w:val="Fontdeparagrafimplicit"/>
          <w:rFonts w:ascii="Bookman Old Style" w:hAnsi="Bookman Old Style"/>
          <w:b/>
          <w:lang w:val="pt-PT"/>
        </w:rPr>
        <w:t>Agenţia Naţională de Administrare Fiscală - Direcţia Generală de Administrare a Marilor Contribuabili</w:t>
      </w:r>
      <w:r w:rsidRPr="00B14C29">
        <w:rPr>
          <w:rStyle w:val="Fontdeparagrafimplicit"/>
          <w:rFonts w:ascii="Bookman Old Style" w:hAnsi="Bookman Old Style"/>
          <w:lang w:val="pt-PT"/>
        </w:rPr>
        <w:t xml:space="preserve"> a fost obligat să plătească pârâtei </w:t>
      </w:r>
      <w:r w:rsidRPr="00B14C29">
        <w:rPr>
          <w:rStyle w:val="Fontdeparagrafimplicit"/>
          <w:rFonts w:ascii="Bookman Old Style" w:hAnsi="Bookman Old Style"/>
          <w:b/>
          <w:lang w:val="pt-PT"/>
        </w:rPr>
        <w:t xml:space="preserve">SC </w:t>
      </w:r>
      <w:r w:rsidRPr="00B14C29" w:rsidR="006A402A">
        <w:rPr>
          <w:rStyle w:val="Fontdeparagrafimplicit"/>
          <w:rFonts w:ascii="Bookman Old Style" w:hAnsi="Bookman Old Style"/>
          <w:b/>
          <w:lang w:val="pt-PT"/>
        </w:rPr>
        <w:t xml:space="preserve">1 </w:t>
      </w:r>
      <w:r w:rsidRPr="00B14C29">
        <w:rPr>
          <w:rStyle w:val="Fontdeparagrafimplicit"/>
          <w:rFonts w:ascii="Bookman Old Style" w:hAnsi="Bookman Old Style"/>
          <w:b/>
          <w:lang w:val="pt-PT"/>
        </w:rPr>
        <w:t>SA</w:t>
      </w:r>
      <w:r w:rsidRPr="00B14C29">
        <w:rPr>
          <w:rStyle w:val="Fontdeparagrafimplicit"/>
          <w:rFonts w:ascii="Bookman Old Style" w:hAnsi="Bookman Old Style"/>
          <w:lang w:val="pt-PT"/>
        </w:rPr>
        <w:t xml:space="preserve"> suma de 522,51</w:t>
      </w:r>
      <w:r w:rsidRPr="00B14C29">
        <w:t xml:space="preserve"> </w:t>
      </w:r>
      <w:r w:rsidRPr="00B14C29">
        <w:rPr>
          <w:rStyle w:val="Fontdeparagrafimplicit"/>
          <w:rFonts w:ascii="Bookman Old Style" w:hAnsi="Bookman Old Style"/>
          <w:lang w:val="pt-PT"/>
        </w:rPr>
        <w:t>lei cheltuieli de judecată.</w:t>
      </w:r>
    </w:p>
    <w:p w:rsidRPr="00B14C29" w:rsidR="00E8435E" w14:paraId="4C9041F0" w14:textId="0BDCA1F6">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Pentru a hotărî astfel prima instanţă a admis</w:t>
      </w:r>
      <w:r w:rsidRPr="00B14C29">
        <w:rPr>
          <w:rStyle w:val="Fontdeparagrafimplicit"/>
          <w:rFonts w:ascii="Bookman Old Style" w:hAnsi="Bookman Old Style"/>
          <w:b/>
          <w:i/>
          <w:lang w:val="pt-PT"/>
        </w:rPr>
        <w:t xml:space="preserve"> excepţia lipsei calităţii procesuale pasive</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i/>
          <w:lang w:val="pt-PT"/>
        </w:rPr>
        <w:t xml:space="preserve">a pârâtelor Direcţia Generală a Finanţelor Publice </w:t>
      </w:r>
      <w:r w:rsidRPr="00B14C29" w:rsidR="006A402A">
        <w:rPr>
          <w:rStyle w:val="Fontdeparagrafimplicit"/>
          <w:rFonts w:ascii="Bookman Old Style" w:hAnsi="Bookman Old Style"/>
          <w:b/>
          <w:i/>
          <w:lang w:val="pt-PT"/>
        </w:rPr>
        <w:t>.........</w:t>
      </w:r>
      <w:r w:rsidRPr="00B14C29">
        <w:rPr>
          <w:rStyle w:val="Fontdeparagrafimplicit"/>
          <w:rFonts w:ascii="Bookman Old Style" w:hAnsi="Bookman Old Style"/>
          <w:b/>
          <w:i/>
          <w:lang w:val="pt-PT"/>
        </w:rPr>
        <w:t>şi Administraţia Finanţelor Publice</w:t>
      </w:r>
      <w:r w:rsidRPr="00B14C29">
        <w:rPr>
          <w:rStyle w:val="Fontdeparagrafimplicit"/>
          <w:rFonts w:ascii="Bookman Old Style" w:hAnsi="Bookman Old Style"/>
          <w:lang w:val="pt-PT"/>
        </w:rPr>
        <w:t xml:space="preserve">, instanţa a apreciat că </w:t>
      </w:r>
      <w:r w:rsidRPr="00B14C29">
        <w:rPr>
          <w:rStyle w:val="Fontdeparagrafimplicit"/>
          <w:rFonts w:ascii="Bookman Old Style" w:hAnsi="Bookman Old Style"/>
          <w:i/>
          <w:lang w:val="pt-PT"/>
        </w:rPr>
        <w:t>DGFP</w:t>
      </w:r>
      <w:r w:rsidRPr="00B14C29">
        <w:rPr>
          <w:rStyle w:val="Fontdeparagrafimplicit"/>
          <w:rFonts w:ascii="Bookman Old Style" w:hAnsi="Bookman Old Style"/>
          <w:b/>
          <w:i/>
          <w:lang w:val="pt-PT"/>
        </w:rPr>
        <w:t xml:space="preserve"> </w:t>
      </w:r>
      <w:r w:rsidRPr="00B14C29" w:rsidR="006A402A">
        <w:rPr>
          <w:rStyle w:val="Fontdeparagrafimplicit"/>
          <w:rFonts w:ascii="Bookman Old Style" w:hAnsi="Bookman Old Style"/>
          <w:i/>
          <w:lang w:val="pt-PT"/>
        </w:rPr>
        <w:t>.........</w:t>
      </w:r>
      <w:r w:rsidRPr="00B14C29">
        <w:rPr>
          <w:rStyle w:val="Fontdeparagrafimplicit"/>
          <w:rFonts w:ascii="Bookman Old Style" w:hAnsi="Bookman Old Style"/>
          <w:i/>
          <w:lang w:val="pt-PT"/>
        </w:rPr>
        <w:t xml:space="preserve">şi AFP </w:t>
      </w:r>
      <w:r w:rsidRPr="00B14C29" w:rsidR="006A402A">
        <w:rPr>
          <w:rStyle w:val="Fontdeparagrafimplicit"/>
          <w:rFonts w:ascii="Bookman Old Style" w:hAnsi="Bookman Old Style"/>
          <w:i/>
          <w:lang w:val="pt-PT"/>
        </w:rPr>
        <w:t xml:space="preserve">......... </w:t>
      </w:r>
      <w:r w:rsidRPr="00B14C29">
        <w:rPr>
          <w:rStyle w:val="Fontdeparagrafimplicit"/>
          <w:rFonts w:ascii="Bookman Old Style" w:hAnsi="Bookman Old Style"/>
          <w:i/>
          <w:lang w:val="pt-PT"/>
        </w:rPr>
        <w:t>nu au avut calitate procesuală pasivă</w:t>
      </w:r>
      <w:r w:rsidRPr="00B14C29">
        <w:rPr>
          <w:rStyle w:val="Fontdeparagrafimplicit"/>
          <w:rFonts w:ascii="Bookman Old Style" w:hAnsi="Bookman Old Style"/>
          <w:lang w:val="pt-PT"/>
        </w:rPr>
        <w:t xml:space="preserve">, în condiţiile în care litigiul a fost calificat ca fiind de muncă de către instanţa de recurs. De altfel, trebuie reliefat faptul că angajatorul, în calitate de mandatar al instituţiilor financiare, a reţinut şi virat impozitul pe venit, calculat asupra indemnizaţiei de concediere acordată reclamantei a fost reţinut de către </w:t>
      </w:r>
      <w:r w:rsidRPr="00B14C29">
        <w:rPr>
          <w:rStyle w:val="Fontdeparagrafimplicit"/>
          <w:rFonts w:ascii="Bookman Old Style" w:hAnsi="Bookman Old Style"/>
          <w:i/>
          <w:lang w:val="pt-PT"/>
        </w:rPr>
        <w:t xml:space="preserve">angajatorul </w:t>
      </w:r>
      <w:r w:rsidRPr="00B14C29" w:rsidR="006A402A">
        <w:rPr>
          <w:rStyle w:val="Fontdeparagrafimplicit"/>
          <w:rFonts w:ascii="Bookman Old Style" w:hAnsi="Bookman Old Style"/>
          <w:i/>
          <w:lang w:val="pt-PT"/>
        </w:rPr>
        <w:t xml:space="preserve">1 </w:t>
      </w:r>
      <w:r w:rsidRPr="00B14C29">
        <w:rPr>
          <w:rStyle w:val="Fontdeparagrafimplicit"/>
          <w:rFonts w:ascii="Bookman Old Style" w:hAnsi="Bookman Old Style"/>
          <w:i/>
          <w:lang w:val="pt-PT"/>
        </w:rPr>
        <w:t>SA – aflat în administrarea Direcţiei Generale de Administrare a Marilor Contribuabili, reorganizată în cadrul ANAF</w:t>
      </w:r>
      <w:r w:rsidRPr="00B14C29">
        <w:rPr>
          <w:rStyle w:val="Fontdeparagrafimplicit"/>
          <w:rFonts w:ascii="Bookman Old Style" w:hAnsi="Bookman Old Style"/>
          <w:lang w:val="pt-PT"/>
        </w:rPr>
        <w:t xml:space="preserve"> începând cu data de 01.10.2007 (potrivit art. III din HG nr. 1171/2007) şi cum, pe de altă parte, sumele reţinute au fost virate de către pârâtă bugetului general consolidat, conform art.114 alin.2/1 din OG nr.93/2003 privind Codul de procedură fiscală, administrat de </w:t>
      </w:r>
      <w:r w:rsidRPr="00B14C29">
        <w:rPr>
          <w:rStyle w:val="Fontdeparagrafimplicit"/>
          <w:rFonts w:ascii="Bookman Old Style" w:hAnsi="Bookman Old Style"/>
          <w:i/>
          <w:lang w:val="pt-PT"/>
        </w:rPr>
        <w:t>ANAF</w:t>
      </w:r>
      <w:r w:rsidRPr="00B14C29">
        <w:rPr>
          <w:rStyle w:val="Fontdeparagrafimplicit"/>
          <w:rFonts w:ascii="Bookman Old Style" w:hAnsi="Bookman Old Style"/>
          <w:lang w:val="pt-PT"/>
        </w:rPr>
        <w:t xml:space="preserve">, motiv pentru care s-a impus admiterea acestei excepţii cu privire la pârâtele DGFP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şi AFP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 aceasta câtă vreme în speţă nu se poate reţine pentru nici una dintre cele două entităţi menţionate legitimitate procesuală pasivă întrucât nu acestora le-a fost virată suma reţinută de angajator cu titlu de impozit şi s-a respins acţiunea formulată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împotriva acestora ca fiind introdusă împotriva unor persoane fără calitate procesuală pasivă.</w:t>
      </w:r>
    </w:p>
    <w:p w:rsidRPr="00B14C29" w:rsidR="00E8435E" w14:paraId="553E6063" w14:textId="77777777">
      <w:pPr>
        <w:tabs>
          <w:tab w:val="left" w:pos="3234"/>
        </w:tabs>
        <w:ind w:firstLine="720"/>
        <w:jc w:val="both"/>
        <w:rPr>
          <w:rStyle w:val="Fontdeparagrafimplicit"/>
          <w:rFonts w:ascii="Bookman Old Style" w:hAnsi="Bookman Old Style"/>
          <w:lang w:val="pt-PT"/>
        </w:rPr>
      </w:pPr>
      <w:r w:rsidRPr="00B14C29">
        <w:rPr>
          <w:rStyle w:val="Fontdeparagrafimplicit"/>
          <w:rFonts w:ascii="Bookman Old Style" w:hAnsi="Bookman Old Style"/>
          <w:b/>
          <w:i/>
          <w:lang w:val="pt-PT"/>
        </w:rPr>
        <w:t>Tribunalul a respins excepţia lipsei calităţii procesuale pasive</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i/>
          <w:lang w:val="pt-PT"/>
        </w:rPr>
        <w:t xml:space="preserve">a pârâtei Agenţia Naţională de Administrare Fiscală - Direcţia Generală de Administrare a Marilor Contribuabili, </w:t>
      </w:r>
      <w:r w:rsidRPr="00B14C29">
        <w:rPr>
          <w:rStyle w:val="Fontdeparagrafimplicit"/>
          <w:rFonts w:ascii="Bookman Old Style" w:hAnsi="Bookman Old Style"/>
          <w:lang w:val="pt-PT"/>
        </w:rPr>
        <w:t>fiindcă faţă de cele anterior explicate a considerat că</w:t>
      </w:r>
      <w:r w:rsidRPr="00B14C29">
        <w:rPr>
          <w:rStyle w:val="Fontdeparagrafimplicit"/>
          <w:rFonts w:ascii="Bookman Old Style" w:hAnsi="Bookman Old Style"/>
          <w:b/>
          <w:i/>
          <w:lang w:val="pt-PT"/>
        </w:rPr>
        <w:t xml:space="preserve"> </w:t>
      </w:r>
      <w:r w:rsidRPr="00B14C29">
        <w:rPr>
          <w:rStyle w:val="Fontdeparagrafimplicit"/>
          <w:rFonts w:ascii="Bookman Old Style" w:hAnsi="Bookman Old Style"/>
          <w:lang w:val="pt-PT"/>
        </w:rPr>
        <w:t>ANAF a deţinut calitate procesuală pasivă, în condiţiile în care în cauză, angajatorul</w:t>
      </w:r>
      <w:r w:rsidRPr="00B14C29">
        <w:rPr>
          <w:rStyle w:val="Fontdeparagrafimplicit"/>
          <w:rFonts w:ascii="Bookman Old Style" w:hAnsi="Bookman Old Style"/>
          <w:b/>
          <w:i/>
          <w:lang w:val="pt-PT"/>
        </w:rPr>
        <w:t xml:space="preserve">, </w:t>
      </w:r>
      <w:r w:rsidRPr="00B14C29">
        <w:rPr>
          <w:rStyle w:val="Fontdeparagrafimplicit"/>
          <w:rFonts w:ascii="Bookman Old Style" w:hAnsi="Bookman Old Style"/>
          <w:lang w:val="pt-PT"/>
        </w:rPr>
        <w:t xml:space="preserve">în calitate de mandatar al instituţiilor financiare, a reţinut şi virat impozitul pe venit, calculat asupra indemnizaţiei de concediere acordată reclamantei a fost reţinut de către angajatorul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 aflat în administrarea Direcţiei Generale de Administrare a Marilor Contribuabili, reorganizată în cadrul </w:t>
      </w:r>
      <w:r w:rsidRPr="00B14C29">
        <w:rPr>
          <w:rStyle w:val="Fontdeparagrafimplicit"/>
          <w:rFonts w:ascii="Bookman Old Style" w:hAnsi="Bookman Old Style"/>
          <w:i/>
          <w:lang w:val="pt-PT"/>
        </w:rPr>
        <w:t>ANAF</w:t>
      </w:r>
      <w:r w:rsidRPr="00B14C29">
        <w:rPr>
          <w:rStyle w:val="Fontdeparagrafimplicit"/>
          <w:rFonts w:ascii="Bookman Old Style" w:hAnsi="Bookman Old Style"/>
          <w:lang w:val="pt-PT"/>
        </w:rPr>
        <w:t xml:space="preserve"> începând cu data de 01.10.2007 (potrivit art. III din HG nr. 1171/2007) şi cum, pe de altă parte, sumele reţinute au fost virate de către pârâtă bugetului general consolidat, conform art.114 alin.2/1 din OG nr.93/2003 privind Codul de procedură fiscală, administrat de </w:t>
      </w:r>
      <w:r w:rsidRPr="00B14C29">
        <w:rPr>
          <w:rStyle w:val="Fontdeparagrafimplicit"/>
          <w:rFonts w:ascii="Bookman Old Style" w:hAnsi="Bookman Old Style"/>
          <w:i/>
          <w:lang w:val="pt-PT"/>
        </w:rPr>
        <w:t>ANAF</w:t>
      </w:r>
      <w:r w:rsidRPr="00B14C29">
        <w:rPr>
          <w:rStyle w:val="Fontdeparagrafimplicit"/>
          <w:rFonts w:ascii="Bookman Old Style" w:hAnsi="Bookman Old Style"/>
          <w:lang w:val="pt-PT"/>
        </w:rPr>
        <w:t>, a fost lipsit de echivoc faptul legitimării procesuale pasive a acestei din urmă autorităţi fiscale, sens în care excepţia lipsei calităţii procesuale pasive invocate de ANAF a fost respinsă, ca nefondată.</w:t>
      </w:r>
    </w:p>
    <w:p w:rsidRPr="00B14C29" w:rsidR="00E8435E" w14:paraId="5504ABC0" w14:textId="64A3AE5D">
      <w:pPr>
        <w:ind w:firstLine="720"/>
        <w:jc w:val="both"/>
        <w:rPr>
          <w:rStyle w:val="Fontdeparagrafimplicit"/>
          <w:rFonts w:ascii="Bookman Old Style" w:hAnsi="Bookman Old Style"/>
          <w:lang w:val="pt-PT"/>
        </w:rPr>
      </w:pPr>
      <w:r w:rsidRPr="00B14C29">
        <w:rPr>
          <w:rStyle w:val="Fontdeparagrafimplicit"/>
          <w:rFonts w:ascii="Bookman Old Style" w:hAnsi="Bookman Old Style"/>
          <w:b/>
          <w:i/>
          <w:lang w:val="pt-PT"/>
        </w:rPr>
        <w:t>În privinţa</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i/>
          <w:lang w:val="pt-PT"/>
        </w:rPr>
        <w:t xml:space="preserve">excepţiei lipsei calităţii procesuale pasive a pârâtei </w:t>
      </w:r>
      <w:r w:rsidRPr="00B14C29" w:rsidR="006A402A">
        <w:rPr>
          <w:rStyle w:val="Fontdeparagrafimplicit"/>
          <w:rFonts w:ascii="Bookman Old Style" w:hAnsi="Bookman Old Style"/>
          <w:b/>
          <w:i/>
          <w:lang w:val="pt-PT"/>
        </w:rPr>
        <w:t xml:space="preserve">1 </w:t>
      </w:r>
      <w:r w:rsidRPr="00B14C29">
        <w:rPr>
          <w:rStyle w:val="Fontdeparagrafimplicit"/>
          <w:rFonts w:ascii="Bookman Old Style" w:hAnsi="Bookman Old Style"/>
          <w:b/>
          <w:i/>
          <w:lang w:val="pt-PT"/>
        </w:rPr>
        <w:t>SA</w:t>
      </w:r>
      <w:r w:rsidRPr="00B14C29">
        <w:rPr>
          <w:rStyle w:val="Fontdeparagrafimplicit"/>
          <w:rFonts w:ascii="Bookman Old Style" w:hAnsi="Bookman Old Style"/>
          <w:lang w:val="pt-PT"/>
        </w:rPr>
        <w:t xml:space="preserve">, invocată din oficiu de tribunal în primul ciclu procesual, excepţie ce s-a impus a fi analizată din perspectiva casării în întregime a sentinţei,  tribunalul a reţinut că sub acest aspect au fost relevante şi obligatorii considerentele date de către instanţa de recurs în decizia de casare prin care s-a menţionat expres </w:t>
      </w:r>
      <w:r w:rsidRPr="00B14C29">
        <w:rPr>
          <w:rStyle w:val="Fontdeparagrafimplicit"/>
          <w:rFonts w:ascii="Bookman Old Style" w:hAnsi="Bookman Old Style"/>
          <w:i/>
          <w:lang w:val="pt-PT"/>
        </w:rPr>
        <w:t xml:space="preserve">că litigiul promovat de </w:t>
      </w:r>
      <w:r w:rsidRPr="00B14C29" w:rsidR="0073563B">
        <w:rPr>
          <w:rStyle w:val="Fontdeparagrafimplicit"/>
          <w:rFonts w:ascii="Bookman Old Style" w:hAnsi="Bookman Old Style"/>
          <w:i/>
          <w:lang w:val="pt-PT"/>
        </w:rPr>
        <w:t xml:space="preserve">reclamant </w:t>
      </w:r>
      <w:r w:rsidRPr="00B14C29">
        <w:rPr>
          <w:rStyle w:val="Fontdeparagrafimplicit"/>
          <w:rFonts w:ascii="Bookman Old Style" w:hAnsi="Bookman Old Style"/>
          <w:i/>
          <w:lang w:val="pt-PT"/>
        </w:rPr>
        <w:t>este unul de dreptul muncii</w:t>
      </w:r>
      <w:r w:rsidRPr="00B14C29">
        <w:rPr>
          <w:rStyle w:val="Fontdeparagrafimplicit"/>
          <w:rFonts w:ascii="Bookman Old Style" w:hAnsi="Bookman Old Style"/>
          <w:b/>
          <w:lang w:val="pt-PT"/>
        </w:rPr>
        <w:t>,</w:t>
      </w:r>
      <w:r w:rsidRPr="00B14C29">
        <w:rPr>
          <w:rStyle w:val="Fontdeparagrafimplicit"/>
          <w:rFonts w:ascii="Bookman Old Style" w:hAnsi="Bookman Old Style"/>
          <w:lang w:val="pt-PT"/>
        </w:rPr>
        <w:t xml:space="preserve"> în condiţiile în care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a fost nemulţumit de faptul cum angajatorul a înţeles să interpreteze şi să aplice dispoziţiile legale atunci când a efectuat plata sumelor datorate ca urmare a concedierii, motiv pentru care nu a existat vreo raţiune a califica litigiu ca fiind unul de contencios fiscal şi s-a mai indicat că angajatorului îi revine obligaţia de a calcula, reţine şi vira către bugetul de stat sumele datorate de angajaţi cu titlu de impozit, prin stopaj la sursă, dar această obligaţie îi revine şi din perspectiva prevederilor art.40 alin.2 lit. f Codul muncii, potrivit cărora angajatorul are obligaţia de a plăti toate contribuţiile şi impozitele aflate în </w:t>
      </w:r>
      <w:r w:rsidRPr="00B14C29">
        <w:rPr>
          <w:rStyle w:val="Fontdeparagrafimplicit"/>
          <w:rFonts w:ascii="Bookman Old Style" w:hAnsi="Bookman Old Style"/>
          <w:lang w:val="pt-PT"/>
        </w:rPr>
        <w:t xml:space="preserve">sarcina sa, precum şi de a reţine şi vira contribuţiile şi impozitele datorate de salariaţi în condiţiile legii. </w:t>
      </w:r>
    </w:p>
    <w:p w:rsidRPr="00B14C29" w:rsidR="00E8435E" w14:paraId="2F3DD345"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Faţă de aceste dezlegări de drept obligatorii pentru instanţa de rejudecare, în condiţiile art.315 alin.1 Cod procedură civilă, tribunalul reţinând şi că pârâta a fost angajatorul reclamantei şi că a procedat la reţinerea şi virarea sumei solicitate prin acţiune, a respins ca nefondată excepţia lipsei calităţii procesuale a pârâtei angajator.</w:t>
      </w:r>
    </w:p>
    <w:p w:rsidRPr="00B14C29" w:rsidR="00E8435E" w14:paraId="71DED4D5"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b/>
          <w:i/>
          <w:lang w:val="pt-PT"/>
        </w:rPr>
        <w:t>Tribunalul a respins ca neîntemeiată şi excepţia tardivităţii introducerii acţiunii</w:t>
      </w:r>
      <w:r w:rsidRPr="00B14C29">
        <w:rPr>
          <w:rStyle w:val="Fontdeparagrafimplicit"/>
          <w:rFonts w:ascii="Bookman Old Style" w:hAnsi="Bookman Old Style"/>
          <w:lang w:val="pt-PT"/>
        </w:rPr>
        <w:t>, invocată de pârâta angajator, fiindcă, contrar aserţiunilor acesteia, nu a fost aplicabil termenul de 30 de zile de la data comunicării deciziei de încetare a contractului individual de muncă, ţinând cont de obiectul acţiunii civile deduse judecăţii prin care nu s-a atacat măsura încetării raporturilor de muncă între părţi, ci s-a solicitat plata unor sume de bani reţinute şi virate cu titlu de impozit de către pârâtă. Tribunalul a arătat că termenul de 30 de zile invocat de pârâtă a fost aplicabil doar dacă se contesta măsura concedierii, ori nu acesta a fost obiectul litigiului dedus judecăţii, situaţie în care s-a impus respingerea acestei excepţii.</w:t>
      </w:r>
    </w:p>
    <w:p w:rsidRPr="00B14C29" w:rsidR="00E8435E" w14:paraId="0C97D642"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b/>
          <w:i/>
          <w:lang w:val="pt-PT"/>
        </w:rPr>
        <w:t>Tribunalul a respins şi</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i/>
          <w:lang w:val="pt-PT"/>
        </w:rPr>
        <w:t>excepţia inadmisibilităţii</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i/>
          <w:lang w:val="pt-PT"/>
        </w:rPr>
        <w:t>invocată în cauză de pârâta ANAF ca nefondată</w:t>
      </w:r>
      <w:r w:rsidRPr="00B14C29">
        <w:rPr>
          <w:rStyle w:val="Fontdeparagrafimplicit"/>
          <w:rFonts w:ascii="Bookman Old Style" w:hAnsi="Bookman Old Style"/>
          <w:lang w:val="pt-PT"/>
        </w:rPr>
        <w:t>, pentru următoarele considerente:</w:t>
      </w:r>
    </w:p>
    <w:p w:rsidRPr="00B14C29" w:rsidR="00E8435E" w14:paraId="38036497" w14:textId="2120372A">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arătat că din moment ce litigiul promovat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 xml:space="preserve">a fost calificat de instanţa de recurs ca fiind unul de muncă, nu se mai poate reţine neîndeplinirea acestei proceduri prealabile în condiţiile în care legislaţia muncii nu o prevede în mod expres. </w:t>
      </w:r>
    </w:p>
    <w:p w:rsidRPr="00B14C29" w:rsidR="00E8435E" w14:paraId="7536BAB0"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De asemenea, tribunalul a arătat că sub acest aspect au fost relevante şi corecte considerentele reţinute de prima instanţă în primul ciclu procesual unde s-a arătat că deşi cererea de restituire formulată de reclamantă nu a fost adresată Autorităţii Fiscale de Administrare Fiscală, fiind înregistrată, aşa cum s-a reţinut în prezentarea stării de fapt, la Direcţia Generală a Finanţelor Publice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însă sub acest aspect au fost aplicabile prevederile art. 6</w:t>
      </w:r>
      <w:r w:rsidRPr="00B14C29">
        <w:rPr>
          <w:rStyle w:val="Fontdeparagrafimplicit"/>
          <w:rFonts w:ascii="Bookman Old Style" w:hAnsi="Bookman Old Style"/>
          <w:vertAlign w:val="superscript"/>
          <w:lang w:val="pt-PT"/>
        </w:rPr>
        <w:t>1</w:t>
      </w:r>
      <w:r w:rsidRPr="00B14C29">
        <w:rPr>
          <w:rStyle w:val="Fontdeparagrafimplicit"/>
          <w:rFonts w:ascii="Bookman Old Style" w:hAnsi="Bookman Old Style"/>
          <w:lang w:val="pt-PT"/>
        </w:rPr>
        <w:t xml:space="preserve"> din OG nr. 27/2002 privind reglementarea activităţii de soluţionare a petiţiilor, text de lege potrivit cu care „petiţiile greşit îndreptate vor fi trimise în termen de 5 zile de la înregistrare de către compartimentul prevăzut la art. 6 alin. (1) autorităţilor sau instituţiilor publice care au ca atribuţii rezolvarea problemelor sesizate, urmând ca petiţionarul să fie înştiinţat despre aceasta”. În ce priveşte invocarea de către pârâta ANAF a prevederilor art. 7 din Legea nr. 554/2004, în sensul în care impută reclamantei faptul neurmării procedurii plângerii prealabile, tribunalul a reţinut că nu îşi găseşte fundament câtă vreme aceasta nu a solicitat revocarea unui act administrativ unilateral tipic, dimpotrivă, în cauză ne aflăm în situaţia refuzului nejustificat de soluţionare a cererii de restituire a sumelor de bani reţinute cu titlu de impozit pe venit, astfel încât, şi din perspectiva prevederilor art.7 alin. 5 din Legea nr. 554/2004, excepţia inadmisibilităţii a apărut ca nefondată.</w:t>
      </w:r>
    </w:p>
    <w:p w:rsidRPr="00B14C29" w:rsidR="00E8435E" w14:paraId="4FA4D6DE" w14:textId="77777777">
      <w:pPr>
        <w:ind w:firstLine="708"/>
        <w:jc w:val="both"/>
        <w:rPr>
          <w:rStyle w:val="Fontdeparagrafimplicit"/>
          <w:rFonts w:ascii="Bookman Old Style" w:hAnsi="Bookman Old Style"/>
          <w:b/>
          <w:i/>
          <w:lang w:val="pt-PT"/>
        </w:rPr>
      </w:pPr>
      <w:r w:rsidRPr="00B14C29">
        <w:rPr>
          <w:rStyle w:val="Fontdeparagrafimplicit"/>
          <w:rFonts w:ascii="Bookman Old Style" w:hAnsi="Bookman Old Style"/>
          <w:b/>
          <w:i/>
          <w:lang w:val="pt-PT"/>
        </w:rPr>
        <w:t xml:space="preserve">Tribunalul nu a găsit întemeiată şi a respins şi excepţia prescripţiei dreptului la acţiune invocată de pârâta SC </w:t>
      </w:r>
      <w:r w:rsidRPr="00B14C29" w:rsidR="006A402A">
        <w:rPr>
          <w:rStyle w:val="Fontdeparagrafimplicit"/>
          <w:rFonts w:ascii="Bookman Old Style" w:hAnsi="Bookman Old Style"/>
          <w:b/>
          <w:i/>
          <w:lang w:val="pt-PT"/>
        </w:rPr>
        <w:t xml:space="preserve">1 </w:t>
      </w:r>
      <w:r w:rsidRPr="00B14C29">
        <w:rPr>
          <w:rStyle w:val="Fontdeparagrafimplicit"/>
          <w:rFonts w:ascii="Bookman Old Style" w:hAnsi="Bookman Old Style"/>
          <w:b/>
          <w:i/>
          <w:lang w:val="pt-PT"/>
        </w:rPr>
        <w:t>SA potrivit argumentelor ce vor fi reliefate în cele ce urmează.</w:t>
      </w:r>
    </w:p>
    <w:p w:rsidRPr="00B14C29" w:rsidR="00E8435E" w14:paraId="01D3CFE7" w14:textId="1F8C4250">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Reclamantul</w:t>
      </w:r>
      <w:r w:rsidRPr="00B14C29" w:rsidR="00220795">
        <w:rPr>
          <w:rStyle w:val="Fontdeparagrafimplicit"/>
          <w:rFonts w:ascii="Bookman Old Style" w:hAnsi="Bookman Old Style"/>
          <w:lang w:val="pt-PT"/>
        </w:rPr>
        <w:t xml:space="preserve"> a solicitat prin acţiune restituirea sumei reţinute şi virate cu titlu de impozit din suma acordată de pârâta angajator cu ocazia concedierii ca indemnizaţie de concediere.</w:t>
      </w:r>
    </w:p>
    <w:p w:rsidRPr="00B14C29" w:rsidR="00E8435E" w14:paraId="35DB8EC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constatat că </w:t>
      </w:r>
      <w:r w:rsidRPr="00B14C29">
        <w:rPr>
          <w:rStyle w:val="Fontdeparagrafimplicit"/>
          <w:rFonts w:ascii="Bookman Old Style" w:hAnsi="Bookman Old Style"/>
          <w:i/>
          <w:lang w:val="pt-PT"/>
        </w:rPr>
        <w:t>instanţa de recurs a calificat litigiul dedus judecăţii ca fiind unul de muncă prin decizia de casare</w:t>
      </w:r>
      <w:r w:rsidRPr="00B14C29">
        <w:rPr>
          <w:rStyle w:val="Fontdeparagrafimplicit"/>
          <w:rFonts w:ascii="Bookman Old Style" w:hAnsi="Bookman Old Style"/>
          <w:lang w:val="pt-PT"/>
        </w:rPr>
        <w:t>, iar aceste dezlegări de drept au fost obligatorii pentru instanţa de rejudecare, în condiţiile art.315 alin.1 Cod procedură civilă.</w:t>
      </w:r>
    </w:p>
    <w:p w:rsidRPr="00B14C29" w:rsidR="00E8435E" w14:paraId="43027664"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Aşa fiind, tribunalul a arătat că în cauză au fost aplicabile prevederile art.283 alin.1 lit. c Codul muncii în forma anterioară existentă la data sesizării instanţei, în prezent art.268 alin.1 lit. c Codul muncii republicat, ce prevede că </w:t>
      </w:r>
      <w:r w:rsidRPr="00B14C29">
        <w:rPr>
          <w:rStyle w:val="Fontdeparagrafimplicit"/>
          <w:rFonts w:ascii="Bookman Old Style" w:hAnsi="Bookman Old Style"/>
          <w:i/>
          <w:lang w:val="pt-PT"/>
        </w:rPr>
        <w:t>cererile în vederea soluţionării unui conflict de muncă pot fi formulate în termen de 3 ani de la data naşterii dreptului la acţiune</w:t>
      </w:r>
      <w:r w:rsidRPr="00B14C29">
        <w:rPr>
          <w:rStyle w:val="Fontdeparagrafimplicit"/>
          <w:rFonts w:ascii="Bookman Old Style" w:hAnsi="Bookman Old Style"/>
          <w:lang w:val="pt-PT"/>
        </w:rPr>
        <w:t>, în situaţia în care obiectul conflictului individual de muncă constă în plata unor drepturi salariale neacordate sau despăgubiri către salariat.</w:t>
      </w:r>
    </w:p>
    <w:p w:rsidRPr="00B14C29" w:rsidR="00E8435E" w14:paraId="5084A6FB" w14:textId="2411C911">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faţă de obiectul acţiunii precizate, ce are natura juridică a plăţii unor drepturi salariale neacordate integral ca urmare a reţinerii impozitului pe venit de către angajator, în mod nelegal în opinia reclamantei, a arătat că termenul de prescripţie de 3 ani pentru drepturile băneşti solicitate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curge de la data comunicării deciziei de încetare a raporturilor de muncă, iar în speţă aceasta a fost realizată la data 07 ianuarie 2009</w:t>
      </w:r>
      <w:r w:rsidRPr="00B14C29">
        <w:rPr>
          <w:rStyle w:val="Fontdeparagrafimplicit"/>
          <w:rFonts w:ascii="Bookman Old Style" w:hAnsi="Bookman Old Style"/>
          <w:i/>
          <w:lang w:val="pt-PT"/>
        </w:rPr>
        <w:t xml:space="preserve">, </w:t>
      </w:r>
      <w:r w:rsidRPr="00B14C29">
        <w:rPr>
          <w:rStyle w:val="Fontdeparagrafimplicit"/>
          <w:rFonts w:ascii="Bookman Old Style" w:hAnsi="Bookman Old Style"/>
          <w:lang w:val="pt-PT"/>
        </w:rPr>
        <w:t xml:space="preserve">decizia fiind semnată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f.14.</w:t>
      </w:r>
    </w:p>
    <w:p w:rsidRPr="00B14C29" w:rsidR="00E8435E" w14:paraId="0C06BE0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Tribunalul a constatat că acţiunea civilă a fost depusă şi înregistrată în data de 08 aprilie 2010.</w:t>
      </w:r>
    </w:p>
    <w:p w:rsidRPr="00B14C29" w:rsidR="00E8435E" w14:paraId="79B5F4E0" w14:textId="203CCB9F">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Trebuie subliniat că în cauză nu a fost aplicabil termenul de prescripţie de 5 ani de la data încheierii anului financiar, aşa cum s-a susţinut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 xml:space="preserve">în răspunsul la întâmpinare, deoarece fiind calificat litigiul ca fiind unul de muncă de către instanţa de recurs, tribunalul a arătat că în acest gen de litigii sunt aplicabile prevederile din legislaţia muncii inclusiv în ce priveşte termenul de prescripţie, iar nu dispoziţiile din Codul de procedură fiscală, acest termen de prescripţie ar fi fost incident dacă era soluţionată cauza de instanţa de contencios fiscal. Nu a fost aplicabil nici termenul de prescripţie de 6 luni, conform art. 283 alin. 1 lit. e) Codul muncii, aşa cum a susţinut pârâta angajator, fiindcă faţă de obiectul concret al pretenţiilor deduse judecăţii, tribunalul a arătat că nu a fost vorba în speţă de neexecutarea unor clauze din contractul colectiv de muncă, ci de restituirea unor sume reţinute şi virate de angajator cu titlu de impozit din indemnizaţia de concediere acordată, iar aceste pretenţii au natura juridică a unor drepturi salariale neacordate integral, fiind incidente prevederile art. art.283 alin.1 lit. c Codul muncii, în forma anterioară existentă la data sesizării instanţei. </w:t>
      </w:r>
    </w:p>
    <w:p w:rsidRPr="00B14C29" w:rsidR="00E8435E" w14:paraId="548034C1" w14:textId="2D4CBF38">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Având în vedere această situaţie, tribunalul a constatat că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a respectat termenul de prescripţie de 3 ani impus imperativ de lege, motiv pentru care s-a respins excepţia prescripţiei dreptului la acţiune invocată de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w:t>
      </w:r>
    </w:p>
    <w:p w:rsidRPr="00B14C29" w:rsidR="00E8435E" w14:paraId="5574A1DC" w14:textId="69CEFB85">
      <w:pPr>
        <w:ind w:firstLine="720"/>
        <w:jc w:val="both"/>
        <w:rPr>
          <w:rStyle w:val="Fontdeparagrafimplicit"/>
          <w:rFonts w:ascii="Bookman Old Style" w:hAnsi="Bookman Old Style"/>
          <w:lang w:val="pt-PT"/>
        </w:rPr>
      </w:pPr>
      <w:r w:rsidRPr="00B14C29">
        <w:rPr>
          <w:rStyle w:val="Fontdeparagrafimplicit"/>
          <w:rFonts w:ascii="Bookman Old Style" w:hAnsi="Bookman Old Style"/>
          <w:b/>
          <w:i/>
          <w:lang w:val="pt-PT"/>
        </w:rPr>
        <w:t xml:space="preserve">Pe fond </w:t>
      </w:r>
      <w:r w:rsidRPr="00B14C29">
        <w:rPr>
          <w:rStyle w:val="Fontdeparagrafimplicit"/>
          <w:rFonts w:ascii="Bookman Old Style" w:hAnsi="Bookman Old Style"/>
          <w:lang w:val="pt-PT"/>
        </w:rPr>
        <w:t>tribunalul a reţinut că</w:t>
      </w:r>
      <w:r w:rsidRPr="00B14C29">
        <w:t xml:space="preserve"> </w:t>
      </w:r>
      <w:r w:rsidRPr="00B14C29">
        <w:rPr>
          <w:rStyle w:val="Fontdeparagrafimplicit"/>
          <w:rFonts w:ascii="Bookman Old Style" w:hAnsi="Bookman Old Style"/>
          <w:lang w:val="pt-PT"/>
        </w:rPr>
        <w:t xml:space="preserve">în cadrul procesului de reorganizare a activităţii Zonei </w:t>
      </w:r>
      <w:r w:rsidRPr="00B14C29" w:rsidR="006A402A">
        <w:rPr>
          <w:rStyle w:val="Fontdeparagrafimplicit"/>
          <w:rFonts w:ascii="Bookman Old Style" w:hAnsi="Bookman Old Style"/>
          <w:lang w:val="pt-PT"/>
        </w:rPr>
        <w:t>3</w:t>
      </w:r>
      <w:r w:rsidRPr="00B14C29">
        <w:rPr>
          <w:rStyle w:val="Fontdeparagrafimplicit"/>
          <w:rFonts w:ascii="Bookman Old Style" w:hAnsi="Bookman Old Style"/>
          <w:lang w:val="pt-PT"/>
        </w:rPr>
        <w:t xml:space="preserve">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conform Programului de reorganizare a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aprobat prin Hotărârile Consiliului de Administraţie al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din data de 07.06.2005 şi respectiv 09.08.2005, în temeiul prevederilor art. 65-67 şi art. 73-75 din Legea nr. 53/2003 - Codul muncii, a fost emisă Decizia nr. </w:t>
      </w:r>
      <w:r w:rsidRPr="00B14C29" w:rsidR="006A402A">
        <w:rPr>
          <w:rStyle w:val="Fontdeparagrafimplicit"/>
          <w:rFonts w:ascii="Bookman Old Style" w:hAnsi="Bookman Old Style"/>
          <w:lang w:val="pt-PT"/>
        </w:rPr>
        <w:t>4</w:t>
      </w:r>
      <w:r w:rsidRPr="00B14C29">
        <w:rPr>
          <w:rStyle w:val="Fontdeparagrafimplicit"/>
          <w:rFonts w:ascii="Bookman Old Style" w:hAnsi="Bookman Old Style"/>
          <w:lang w:val="pt-PT"/>
        </w:rPr>
        <w:t xml:space="preserve">/07.01.2009 privind încetarea contractului individual de muncă al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ulterior modificată f.12-16.</w:t>
      </w:r>
    </w:p>
    <w:p w:rsidRPr="00B14C29" w:rsidR="00E8435E" w14:paraId="76725547" w14:textId="429BAFCD">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Potrivit art.6 al ultimei decizii, valoarea netă a indemnizaţiei de concediere acordată salariatului cu respectarea prevederilor art. 50 din contractul colectiv de muncă, completate cu prevederile Planului Social, ţinând cont de vechimea acestuia în </w:t>
      </w:r>
      <w:r w:rsidRPr="00B14C29" w:rsidR="006A402A">
        <w:rPr>
          <w:rStyle w:val="Fontdeparagrafimplicit"/>
          <w:rFonts w:ascii="Bookman Old Style" w:hAnsi="Bookman Old Style"/>
          <w:lang w:val="pt-PT"/>
        </w:rPr>
        <w:t>1</w:t>
      </w:r>
      <w:r w:rsidRPr="00B14C29">
        <w:rPr>
          <w:rStyle w:val="Fontdeparagrafimplicit"/>
          <w:rFonts w:ascii="Bookman Old Style" w:hAnsi="Bookman Old Style"/>
          <w:lang w:val="pt-PT"/>
        </w:rPr>
        <w:t>, este de 30832 lei</w:t>
      </w:r>
      <w:r w:rsidRPr="00B14C29">
        <w:t xml:space="preserve"> </w:t>
      </w:r>
      <w:r w:rsidRPr="00B14C29">
        <w:rPr>
          <w:rStyle w:val="Fontdeparagrafimplicit"/>
          <w:rFonts w:ascii="Bookman Old Style" w:hAnsi="Bookman Old Style"/>
          <w:lang w:val="pt-PT"/>
        </w:rPr>
        <w:t>(RON).</w:t>
      </w:r>
    </w:p>
    <w:p w:rsidRPr="00B14C29" w:rsidR="00E8435E" w14:paraId="1B3E7543"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Raportat la precizările efectuate în notele de şedinţă depuse la dosar de pârâta angajatoare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şi în cuprinsul cărora a menţionat, defalcat, reţinerile efectuate asupra indemnizaţiei de concediere (f. 147 – 153), a rezultat că din cuantumul brut al acestei indemnizaţii, s-a reţinut şi virat de către pârâta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bugetului general consolidat administrat de pârâta Agenţia Naţională de Administrare Fiscală, suma de </w:t>
      </w:r>
      <w:r w:rsidRPr="00B14C29">
        <w:rPr>
          <w:rStyle w:val="Fontdeparagrafimplicit"/>
          <w:rFonts w:ascii="Bookman Old Style" w:hAnsi="Bookman Old Style"/>
          <w:i/>
          <w:lang w:val="pt-PT"/>
        </w:rPr>
        <w:t>5873 lei</w:t>
      </w:r>
      <w:r w:rsidRPr="00B14C29">
        <w:t xml:space="preserve"> </w:t>
      </w:r>
      <w:r w:rsidRPr="00B14C29">
        <w:rPr>
          <w:rStyle w:val="Fontdeparagrafimplicit"/>
          <w:rFonts w:ascii="Bookman Old Style" w:hAnsi="Bookman Old Style"/>
          <w:lang w:val="pt-PT"/>
        </w:rPr>
        <w:t>cu titlu de impozit pe venit în procent de 16%.</w:t>
      </w:r>
    </w:p>
    <w:p w:rsidRPr="00B14C29" w:rsidR="00E8435E" w14:paraId="4625578B"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Potrivit art.40 alin.2 lit. f Codul muncii, angajatorul are obligaţia de a plăti toate contribuţiile şi impozitele aflate în sarcina sa, precum şi de a </w:t>
      </w:r>
      <w:r w:rsidRPr="00B14C29">
        <w:rPr>
          <w:rStyle w:val="Fontdeparagrafimplicit"/>
          <w:rFonts w:ascii="Bookman Old Style" w:hAnsi="Bookman Old Style"/>
          <w:i/>
          <w:lang w:val="pt-PT"/>
        </w:rPr>
        <w:t>reţine şi vira contribuţiile şi impozitele datorate de salariaţi în condiţiile legii</w:t>
      </w:r>
      <w:r w:rsidRPr="00B14C29">
        <w:rPr>
          <w:rStyle w:val="Fontdeparagrafimplicit"/>
          <w:rFonts w:ascii="Bookman Old Style" w:hAnsi="Bookman Old Style"/>
          <w:lang w:val="pt-PT"/>
        </w:rPr>
        <w:t xml:space="preserve">. </w:t>
      </w:r>
    </w:p>
    <w:p w:rsidRPr="00B14C29" w:rsidR="00E8435E" w14:paraId="219C3EEC" w14:textId="00153650">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ceea ce priveşte impozitul reţinut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conform art. 55 alin. 4 lit. j din Codul fiscal (Legea nr. 571/2003), în forma în vigoare la momentul plăţii, </w:t>
      </w:r>
      <w:r w:rsidRPr="00B14C29">
        <w:rPr>
          <w:rStyle w:val="Fontdeparagrafimplicit"/>
          <w:rFonts w:ascii="Bookman Old Style" w:hAnsi="Bookman Old Style"/>
          <w:i/>
          <w:lang w:val="pt-PT"/>
        </w:rPr>
        <w:t>nu sunt incluse în veniturile salariale şi nu sunt impozabile, în înţelesul impozitului pe venit</w:t>
      </w:r>
      <w:r w:rsidRPr="00B14C29">
        <w:rPr>
          <w:rStyle w:val="Fontdeparagrafimplicit"/>
          <w:rFonts w:ascii="Bookman Old Style" w:hAnsi="Bookman Old Style"/>
          <w:lang w:val="pt-PT"/>
        </w:rPr>
        <w:t xml:space="preserve"> sumele reprezentând plăţile compensatorii, calculate pe baza salariilor medii nete pe unitate, primite de persoanele ale căror contracte individuale de muncă au fost desfăcute ca urmare a concedierilor colective.</w:t>
      </w:r>
    </w:p>
    <w:p w:rsidRPr="00B14C29" w:rsidR="00E8435E" w14:paraId="0226ABE5"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t xml:space="preserve">Pct. 68 lit. l al Normelor metodologice de aplicare a Codului fiscal (H.G. nr. 44/2004) statuează în sensul că veniturile din salarii sau asimilate salariilor cuprind totalitatea sumelor încasate ca urmare a unei relaţii contractuale de muncă, precum şi orice sume de natură salarială primite în baza unor legi speciale, indiferent de perioada la care se referă, şi care sunt realizate din </w:t>
      </w:r>
      <w:r w:rsidRPr="00B14C29">
        <w:rPr>
          <w:rStyle w:val="Fontdeparagrafimplicit"/>
          <w:rFonts w:ascii="Bookman Old Style" w:hAnsi="Bookman Old Style"/>
          <w:i/>
          <w:lang w:val="pt-PT"/>
        </w:rPr>
        <w:t>compensaţii băneşti individuale, acordate persoanelor disponibilizate prin concedieri colective, din fondul de salarii, potrivit dispoziţiilor prevăzute în contractul de muncă</w:t>
      </w:r>
      <w:r w:rsidRPr="00B14C29">
        <w:rPr>
          <w:rStyle w:val="Fontdeparagrafimplicit"/>
          <w:rFonts w:ascii="Bookman Old Style" w:hAnsi="Bookman Old Style"/>
          <w:lang w:val="pt-PT"/>
        </w:rPr>
        <w:t>, însă acestea nu au în vedere plăţile compensatorii ci alte compensaţii băneşti, şi oricum o prevedere cuprinsă într-un act normativ (Hotărâre a Guvernului) adoptat în executarea unei legi nu poate contraveni legii, act normativ cu forţă juridică superioară, care poate fi modificat numai printr-un act de aceeaşi forţă juridică.</w:t>
      </w:r>
    </w:p>
    <w:p w:rsidRPr="00B14C29" w:rsidR="00E8435E" w14:paraId="209D2099"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t>Ca atare, s-a impus a se acorda prioritate dispoziţiilor art. 55 alin. 4 lit. j cuprinse în Legea nr. 571/2003, act normativ cu o forţă juridică superioară. În acest sens trebuie reliefat că potrivit art. 4 (3) din Legea nr.24/2000, actele normative date în executarea legilor, ordonanţelor sau a hotărârilor Guvernului se emit în limitele şi potrivit normelor care le ordonă. Relevante în sensul că dispoziţiile legale edictate cu titlu de norme de aplicare a unui act normativ reprezentat de o lege nu pot modifica însăşi prevederile legale ce fac obiectul aplicării, sunt şi prevederile art. 75 din Legea nr. 24/2000 privind normele de tehnică legislativă pentru elaborarea actelor normative, republicată, potrivit cu care „ordinele cu caracter normativ, instrucţiunile şi alte asemenea acte ale conducătorilor ministerelor şi ai celorlalte organe ale administraţiei publice centrale de specialitate sau ale autorităţilor administrative autonome se emit numai pe baza şi în executarea legilor, a hotărârilor şi a ordonanţelor Guvernului”.</w:t>
      </w:r>
    </w:p>
    <w:p w:rsidRPr="00B14C29" w:rsidR="00E8435E" w14:paraId="46F84E19"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t>Totodată, potrivit art. 76 din acelaşi act normativ, „ordinele, instrucţiunile şi alte asemenea acte trebuie să se limiteze strict la cadrul stabilit de actele pe baza şi în executarea cărora au fost emise şi nu pot conţine soluţii care să contravină prevederilor acestora”.</w:t>
      </w:r>
    </w:p>
    <w:p w:rsidRPr="00B14C29" w:rsidR="00E8435E" w14:paraId="3ED8EE9F" w14:textId="499E06F6">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constatat că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a primit suma de la pârâta angajator cu ocazia încetării raporturilor de muncă ca urmare a procesului de concediere colectivă, că suma încasată denumită indemnizaţie de concediere are natura juridică a unor plăţi compensatori în sensul legii, iar nu a unei compensaţii băneşti individuale, situaţie în care ţinând cont de faptul că plăţile compensatorii sunt exceptate expres de la plata impozitului, textul prevăzând expres că aceste sume </w:t>
      </w:r>
      <w:r w:rsidRPr="00B14C29">
        <w:rPr>
          <w:rStyle w:val="Fontdeparagrafimplicit"/>
          <w:rFonts w:ascii="Bookman Old Style" w:hAnsi="Bookman Old Style"/>
          <w:i/>
          <w:lang w:val="pt-PT"/>
        </w:rPr>
        <w:t>„nu sunt impozabile”</w:t>
      </w:r>
      <w:r w:rsidRPr="00B14C29">
        <w:rPr>
          <w:rStyle w:val="Fontdeparagrafimplicit"/>
          <w:rFonts w:ascii="Bookman Old Style" w:hAnsi="Bookman Old Style"/>
          <w:lang w:val="pt-PT"/>
        </w:rPr>
        <w:t xml:space="preserve">, tribunalul a constatat că în mod nelegal pârâta angajator a reţinut şi virat la bugetul de stat impozitul aferent sumei de care a beneficiat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w:t>
      </w:r>
    </w:p>
    <w:p w:rsidRPr="00B14C29" w:rsidR="00E8435E" w14:paraId="234725ED" w14:textId="74509B09">
      <w:pPr>
        <w:ind w:firstLine="708"/>
        <w:jc w:val="both"/>
        <w:rPr>
          <w:rStyle w:val="Fontdeparagrafimplicit"/>
          <w:rFonts w:ascii="Bookman Old Style" w:hAnsi="Bookman Old Style"/>
          <w:lang w:val="pt-PT"/>
        </w:rPr>
      </w:pPr>
      <w:r w:rsidRPr="00B14C29">
        <w:rPr>
          <w:rStyle w:val="FontStyle30"/>
          <w:rFonts w:ascii="Bookman Old Style" w:hAnsi="Bookman Old Style"/>
        </w:rPr>
        <w:t>În sensul celor conchise, instanţa a subliniat faptul că t</w:t>
      </w:r>
      <w:r w:rsidRPr="00B14C29">
        <w:rPr>
          <w:rStyle w:val="FontStyle22"/>
          <w:rFonts w:ascii="Bookman Old Style" w:hAnsi="Bookman Old Style"/>
          <w:sz w:val="24"/>
        </w:rPr>
        <w:t>oate drepturile băneşti indiferent de modul în care sunt denumite</w:t>
      </w:r>
      <w:r w:rsidRPr="00B14C29" w:rsidR="0073563B">
        <w:rPr>
          <w:rStyle w:val="FontStyle22"/>
          <w:rFonts w:ascii="Bookman Old Style" w:hAnsi="Bookman Old Style"/>
          <w:sz w:val="24"/>
        </w:rPr>
        <w:t xml:space="preserve"> </w:t>
      </w:r>
      <w:r w:rsidRPr="00B14C29">
        <w:rPr>
          <w:rStyle w:val="FontStyle22"/>
          <w:rFonts w:ascii="Bookman Old Style" w:hAnsi="Bookman Old Style"/>
          <w:sz w:val="24"/>
        </w:rPr>
        <w:t xml:space="preserve">(plată compensatorie, compensaţii băneşti, indemnizaţie pentru concediere) reprezintă o măsură de protecţie </w:t>
      </w:r>
      <w:r w:rsidRPr="00B14C29">
        <w:rPr>
          <w:rStyle w:val="Fontdeparagrafimplicit"/>
          <w:rFonts w:ascii="Bookman Old Style" w:hAnsi="Bookman Old Style"/>
          <w:lang w:val="pt-PT"/>
        </w:rPr>
        <w:t xml:space="preserve">socială  la care sunt îndreptăţiţi salariaţii concediaţi, pentru motive care </w:t>
      </w:r>
      <w:r w:rsidRPr="00B14C29">
        <w:rPr>
          <w:rStyle w:val="Fontdeparagrafimplicit"/>
          <w:rFonts w:ascii="Bookman Old Style" w:hAnsi="Bookman Old Style"/>
          <w:lang w:val="pt-PT"/>
        </w:rPr>
        <w:t>nu ţin de persoana lor, în vederea atenuării consecinţelor concedierii individuale sau colective, pentru motive care nu ţin de persoana salariatului.  </w:t>
      </w:r>
    </w:p>
    <w:p w:rsidRPr="00B14C29" w:rsidR="00E8435E" w14:paraId="7B86B89B"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t xml:space="preserve">Astfel art. 67 din Codul muncii instituie, în favoarea salariaţilor concediaţi din motive care nu ţin de persoana salariatului, dreptul de a beneficia de măsuri active de combatere a şomajului şi de compensaţii în condiţiile prevăzute de lege şi de contractul colectiv de muncă, angajatorului revenindu-i obligaţia corelativă de a lua măsuri de protecţie faţă de aceşti angajaţi, potrivit art. 69 lit. b) din acelaşi cod. </w:t>
      </w:r>
      <w:r w:rsidRPr="00B14C29">
        <w:rPr>
          <w:rStyle w:val="FontStyle22"/>
          <w:rFonts w:ascii="Bookman Old Style" w:hAnsi="Bookman Old Style"/>
          <w:sz w:val="24"/>
        </w:rPr>
        <w:t>Prin urmare, chiar dacă</w:t>
      </w:r>
      <w:r w:rsidRPr="00B14C29">
        <w:rPr>
          <w:rStyle w:val="FontStyle22"/>
          <w:rFonts w:ascii="Bookman Old Style" w:hAnsi="Bookman Old Style"/>
        </w:rPr>
        <w:t xml:space="preserve"> </w:t>
      </w:r>
      <w:r w:rsidRPr="00B14C29">
        <w:rPr>
          <w:rStyle w:val="Fontdeparagrafimplicit"/>
          <w:rFonts w:ascii="Bookman Old Style" w:hAnsi="Bookman Old Style"/>
          <w:lang w:val="pt-PT"/>
        </w:rPr>
        <w:t>această măsură de protecţie a fost prevăzută şi în contractul colectiv de muncă, ea nu a avut caracterul unei clauze, rezultat al negocierii părţilor contractante, întrucât obligaţia angajatorului a fost una izvorâtă din lege, prin contractele colective de muncă, încheiate anual ori pe alte perioade de timp, la nivel de ramură şi nivel de unitate, părţile contractante negociind numai condiţiile şi cuantumurile acestora</w:t>
      </w:r>
      <w:r w:rsidRPr="00B14C29">
        <w:rPr>
          <w:rStyle w:val="Fontdeparagrafimplicit"/>
          <w:rFonts w:ascii="Bookman Old Style" w:hAnsi="Bookman Old Style"/>
          <w:i/>
          <w:lang w:val="pt-PT"/>
        </w:rPr>
        <w:t xml:space="preserve">, </w:t>
      </w:r>
      <w:r w:rsidRPr="00B14C29">
        <w:rPr>
          <w:rStyle w:val="Fontdeparagrafimplicit"/>
          <w:rFonts w:ascii="Bookman Old Style" w:hAnsi="Bookman Old Style"/>
          <w:lang w:val="pt-PT"/>
        </w:rPr>
        <w:t>scopul fundamental al unor astfel de clauze fiind acela de a stipula  drepturi la un nivel superior faţă de cel prevăzut în normele legale, pentru a fi atenuate consecinţele concedierilor individuale sau colective pentru motive care nu ţin de persoana salariatului.</w:t>
      </w:r>
    </w:p>
    <w:p w:rsidRPr="00B14C29" w:rsidR="00E8435E" w14:paraId="7A650565"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În consecinţă, plăţile compensatorii au fost acordate în temeiul legii, indiferent de faptul că au fost acordate efectiv din fondul de salarii, de către angajator sau au fost acordate salariaţilor prin acte normative şi suportate de stat.</w:t>
      </w:r>
    </w:p>
    <w:p w:rsidRPr="00B14C29" w:rsidR="00E8435E" w14:paraId="108CF3E6" w14:textId="0EA84E2A">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Pentru considerentele expuse, tribunalul a admis acţiunea civilă precizată formulată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împotriva pârâtei angajator ca fiind întemeiată şi în consecinţă a obligat pârâta să plătească reclamantei suma de 5873 lei reprezentând impozit pe venit reţinut nelegal.</w:t>
      </w:r>
    </w:p>
    <w:p w:rsidRPr="00B14C29" w:rsidR="00E8435E" w14:paraId="0A7569F1" w14:textId="199A3DA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privinţa cererii de acordare a dobânzii legale, cerere formulată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 xml:space="preserve">prin precizarea ulterioară de acţiune, aceasta s-a impus a se acorda acesteia în temeiul prevederilor OG nr. 9/2000 - în perioada de aplicabilitate a acestui act normativ – iar ulterior în baza OG nr. 13/2011 şi respectiv a Noului Cod civil, întrucât numai astfel se poate concepe o justă reparaţie a prejudiciului suferit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prin acţiunea pârâtei angajator de a reţine nelegal din indemnizaţia de concediere impozitul pe venit, motiv pentru care a fost obligată pârâta angajator să plătească şi dobânda legală de la data reţinerii şi până la data restituirii integrale.</w:t>
      </w:r>
    </w:p>
    <w:p w:rsidRPr="00B14C29" w:rsidR="00E8435E" w14:paraId="556DFC8B" w14:textId="4F6E692B">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temeiul art.274 Cod procedură civilă, tribunalul a constatat că pârâta angajator se află în culpă procesuală raportat la admiterea acţiunii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motiv pentru care a fost obligat/ă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să plătească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suma de 1500 lei cu titlu de cheltuieli de judecată reprezentând onorariu avocaţial achitat de </w:t>
      </w:r>
      <w:r w:rsidRPr="00B14C29" w:rsidR="0073563B">
        <w:rPr>
          <w:rStyle w:val="Fontdeparagrafimplicit"/>
          <w:rFonts w:ascii="Bookman Old Style" w:hAnsi="Bookman Old Style"/>
          <w:lang w:val="pt-PT"/>
        </w:rPr>
        <w:t xml:space="preserve">reclamant </w:t>
      </w:r>
      <w:r w:rsidRPr="00B14C29">
        <w:rPr>
          <w:rStyle w:val="Fontdeparagrafimplicit"/>
          <w:rFonts w:ascii="Bookman Old Style" w:hAnsi="Bookman Old Style"/>
          <w:lang w:val="pt-PT"/>
        </w:rPr>
        <w:t>în toate fazele procesuale, potrivit înscrisurilor justificative depuse la dosar</w:t>
      </w:r>
      <w:r w:rsidRPr="00B14C29">
        <w:t xml:space="preserve">, </w:t>
      </w:r>
      <w:r w:rsidRPr="00B14C29">
        <w:rPr>
          <w:rStyle w:val="Fontdeparagrafimplicit"/>
          <w:rFonts w:ascii="Bookman Old Style" w:hAnsi="Bookman Old Style"/>
          <w:lang w:val="pt-PT"/>
        </w:rPr>
        <w:t>respectiv primă instanţă f.172, recurs, rejudecare f.14.</w:t>
      </w:r>
    </w:p>
    <w:p w:rsidRPr="00B14C29" w:rsidR="00E8435E" w14:paraId="777E50F6"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b/>
          <w:i/>
          <w:lang w:val="pt-PT"/>
        </w:rPr>
        <w:t>În ce priveşte cererea de chemare în garanţie</w:t>
      </w:r>
      <w:r w:rsidRPr="00B14C29">
        <w:rPr>
          <w:rStyle w:val="Fontdeparagrafimplicit"/>
          <w:rFonts w:ascii="Bookman Old Style" w:hAnsi="Bookman Old Style"/>
          <w:lang w:val="pt-PT"/>
        </w:rPr>
        <w:t xml:space="preserve"> formulată de pârâta angajator, tribunalul a apreciat că aceasta a fost întemeiată împotriva chematei în garanţie Agenţia Naţională de Administrare Fiscală - Direcţia Generală de Administrare a Marilor Contribuabili potrivit următoarele considerente.</w:t>
      </w:r>
    </w:p>
    <w:p w:rsidRPr="00B14C29" w:rsidR="00E8435E" w14:paraId="43F4DFDC"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Tribunalul a reţinut că art. 60 alin.1 din Codul de procedură civilă instituie pentru pârât posibilitatea de a chema în garanţie persoana împotriva căreia s-ar putea îndrepta cu o cerere proprie în garanţie sau despăgubire în cazul în care ar cădea în pretenţii, însă limitat la obiectul cererii introductive.</w:t>
      </w:r>
    </w:p>
    <w:p w:rsidRPr="00B14C29" w:rsidR="00E8435E" w14:paraId="243CC361"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Scopul cererii de chemare în garanţie fiind acela de a rezolva, în cadrul aceluiaşi proces, şi pretenţiile pe care partea căzută în pretenţii le are faţă de cel chemat în garanţie ce are obligaţia legală de a răspunde în considerarea raporturilor stabilite între ei, soluţia pe care o poate pronunţa instanţa asupra cererii de chemare în garanţie a fost dependentă de caracterul incidental al </w:t>
      </w:r>
      <w:r w:rsidRPr="00B14C29">
        <w:rPr>
          <w:rStyle w:val="Fontdeparagrafimplicit"/>
          <w:rFonts w:ascii="Bookman Old Style" w:hAnsi="Bookman Old Style"/>
          <w:lang w:val="pt-PT"/>
        </w:rPr>
        <w:t>acesteia faţă de acţiunea principală. Aceasta a fost şi limita în care operează prorogarea de competenţă a instanţei investite cu soluţionarea acţiunii principale.</w:t>
      </w:r>
    </w:p>
    <w:p w:rsidRPr="00B14C29" w:rsidR="00E8435E" w14:paraId="4A202C84" w14:textId="09552F91">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constatat că angajatorul a reţinut şi virat impozitul pe venit, calculat asupra indemnizaţiei de concediere acordată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a fost reţinut de către angajatorul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 aflat în administrarea Direcţiei Generale de Administrare a Marilor Contribuabili, reorganizată în cadrul ANAF începând cu data de 01.10.2007 (potrivit art. III din HG nr. 1171/2007) şi cum, pe de altă parte, sumele reţinute au fost virate de către pârâtă bugetului general consolidat, conform art.114 alin.2/1 din OG nr.93/2003 privind Codul de procedură fiscală, administrat de ANAF.</w:t>
      </w:r>
    </w:p>
    <w:p w:rsidRPr="00B14C29" w:rsidR="00E8435E" w14:paraId="4F589A58" w14:textId="7BCC5F63">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Având în vedere această situaţie, reţinând că pârâta angajator a căzut în pretenţii cu privire la suma pe care a reţinut-o şi virat-o în contul bugetului de stat, cu toate că nu se impunea acest lucru, suma cuvenită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nefiind impozabilă după cum s-a explicat, că sumele reţinute au fost virate de către pârâtă bugetului general consolidat, administrat de chemata în garanţie ANAF, tribunalul a arătat că în această situaţie chematul în garanţie ANAF a avut obligaţia de despăgubire cu privire la suma pe care pârâta a fost obligată să o plătească </w:t>
      </w:r>
      <w:r w:rsidRPr="00B14C29" w:rsidR="0073563B">
        <w:rPr>
          <w:rStyle w:val="Fontdeparagrafimplicit"/>
          <w:rFonts w:ascii="Bookman Old Style" w:hAnsi="Bookman Old Style"/>
          <w:lang w:val="pt-PT"/>
        </w:rPr>
        <w:t>reclamantului</w:t>
      </w:r>
      <w:r w:rsidRPr="00B14C29">
        <w:rPr>
          <w:rStyle w:val="Fontdeparagrafimplicit"/>
          <w:rFonts w:ascii="Bookman Old Style" w:hAnsi="Bookman Old Style"/>
          <w:lang w:val="pt-PT"/>
        </w:rPr>
        <w:t xml:space="preserve">, motiv pentru care tribunalul a admis cererea de chemare în garanţie formulată de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împotriva chematei în garanţie Agenţia Naţională de Administrare Fiscală - Direcţia Generală de Administrare a Marilor Contribuabili şi-n consecinţă a obligat chemata în garanţie să plătească pârâtei suma la plata căreia pârâta a fost obligată în favoarea reclamantei cu titlu de impozit pe venit, dobândă legală şi cheltuieli de judecată anterior indicate.</w:t>
      </w:r>
    </w:p>
    <w:p w:rsidRPr="00B14C29" w:rsidR="00E8435E" w14:paraId="15260C5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respins cererea de chemare în garanţie formulată de pârâtă împotriva DGFP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şi AFP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 ca fiind introdusă împotriva unor persoane fără calitate procesuală pasivă, fiindcă nu se poate reţine în speţă pentru nici una dintre cele două entităţi menţionate legitimitate procesuală pasivă, întrucât nu acestora le-a fost virată suma reţinută de angajator cu titlu de impozit, caz în care nu au vreo obligaţie de garanţie sau despăgubire a pârâtei căzute în pretenţii. </w:t>
      </w:r>
    </w:p>
    <w:p w:rsidRPr="00B14C29" w:rsidR="00E8435E" w14:paraId="6FB5494A"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temeiul art.274 Cod procedură civilă, tribunalul a constatat că partea chemata în garanţie ANAF s-a aflat în culpă procesuală raportat la admiterea cererii de chemare în garanţie, motiv pentru care a fost obligată chemata în garanţie ANAF să plătească pârâtei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suma de 522,51</w:t>
      </w:r>
      <w:r w:rsidRPr="00B14C29">
        <w:t xml:space="preserve"> </w:t>
      </w:r>
      <w:r w:rsidRPr="00B14C29">
        <w:rPr>
          <w:rStyle w:val="Fontdeparagrafimplicit"/>
          <w:rFonts w:ascii="Bookman Old Style" w:hAnsi="Bookman Old Style"/>
          <w:lang w:val="pt-PT"/>
        </w:rPr>
        <w:t>lei cheltuieli de judecată, reprezentând o parte din onorariu avocaţial achitat de pârâtă în toate fazele procesuale, respectiv jumătate, potrivit înscrisurilor justificative depuse la dosar, respectiv primă instanţă, recurs şi rejudecare. La stabilirea acestei soluţii, tribunalul a apreciat că pârâta angajator a efectuat apărări atât privind acţiunea civilă, cât şi cererea de chemare în garanţie, situaţie în care o parte din cheltuielile efectuate de aceasta au vizat acţiunea civilă ce a fost admisă, caz în care aceste cheltuieli au trebuit suportate de pârâtă, tribunalul acordând o sumă stabilită global raportat la poziţia pârâtei în proces.</w:t>
      </w:r>
    </w:p>
    <w:p w:rsidRPr="00B14C29" w:rsidR="00E8435E" w14:paraId="18C97F3E"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i/>
          <w:lang w:val="pt-PT"/>
        </w:rPr>
        <w:t xml:space="preserve">Împotriva acestei hotărâri a declarat recurs pârâta SC </w:t>
      </w:r>
      <w:r w:rsidRPr="00B14C29" w:rsidR="006A402A">
        <w:rPr>
          <w:rStyle w:val="Fontdeparagrafimplicit"/>
          <w:rFonts w:ascii="Bookman Old Style" w:hAnsi="Bookman Old Style"/>
          <w:i/>
          <w:lang w:val="pt-PT"/>
        </w:rPr>
        <w:t xml:space="preserve">1 </w:t>
      </w:r>
      <w:r w:rsidRPr="00B14C29">
        <w:rPr>
          <w:rStyle w:val="Fontdeparagrafimplicit"/>
          <w:rFonts w:ascii="Bookman Old Style" w:hAnsi="Bookman Old Style"/>
          <w:i/>
          <w:lang w:val="pt-PT"/>
        </w:rPr>
        <w:t>S.A</w:t>
      </w:r>
      <w:r w:rsidRPr="00B14C29">
        <w:rPr>
          <w:rStyle w:val="Fontdeparagrafimplicit"/>
          <w:rFonts w:ascii="Bookman Old Style" w:hAnsi="Bookman Old Style"/>
          <w:lang w:val="pt-PT"/>
        </w:rPr>
        <w:t xml:space="preserve">., solicitând, în principal, modificarea sentinţei în sensul respingerii acţiunii, iar în subsidiar, modificarea în sensul reducerii cuantumului cheltuielilor de judecata. </w:t>
      </w:r>
    </w:p>
    <w:p w:rsidRPr="00B14C29" w:rsidR="00E8435E" w14:paraId="05231B9C"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În motivarea s-a arătat că sentinţa este netemeinică şi nelegală.</w:t>
      </w:r>
    </w:p>
    <w:p w:rsidRPr="00B14C29" w:rsidR="00E8435E" w14:paraId="2EE6D7FC"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ce priveşte excepţia tardivităţii, arată că prin decizia de încetare a contractului individual de muncă, fiecărui salariat care a făcut parte din procesul de restructurare i s-a comunicat suma netă acordată ca plată compensatorie şi avea posibilitatea să o conteste în termen de 30 de zile, potrivit art. 8 din decizie. </w:t>
      </w:r>
    </w:p>
    <w:p w:rsidRPr="00B14C29" w:rsidR="00E8435E" w14:paraId="68F8ADBE"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Textul articolului nu face diferenţiere între diversele tipuri de contestaţii care pot fi formulate şi nici nu prevede ca termenul de 30 de zile este aplicabil doar dacă se contestă măsura concedierii, astfel că în mod nelegal, tribunalul a </w:t>
      </w:r>
      <w:r w:rsidRPr="00B14C29">
        <w:rPr>
          <w:rStyle w:val="Fontdeparagrafimplicit"/>
          <w:rFonts w:ascii="Bookman Old Style" w:hAnsi="Bookman Old Style"/>
          <w:lang w:val="pt-PT"/>
        </w:rPr>
        <w:t xml:space="preserve">modificat implicit dispoziţia de încetare a contractului de muncă, fără ca partea să o solicite în termenul legal. </w:t>
      </w:r>
    </w:p>
    <w:p w:rsidRPr="00B14C29" w:rsidR="00E8435E" w14:paraId="272E5201"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Nelegala şi netemeinică este şi soluţia pronunţata de instanţa de fond de admitere a acţiunii precizate formulate de reclamant. </w:t>
      </w:r>
    </w:p>
    <w:p w:rsidRPr="00B14C29" w:rsidR="00E8435E" w14:paraId="370CAD22"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Aşa cum corect reţine instanţa de fond, potrivit deciziei civile pronunţate de Curtea de Apel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 Secţia </w:t>
      </w:r>
      <w:r w:rsidRPr="00B14C29" w:rsidR="006A402A">
        <w:rPr>
          <w:rStyle w:val="Fontdeparagrafimplicit"/>
          <w:rFonts w:ascii="Bookman Old Style" w:hAnsi="Bookman Old Style"/>
          <w:lang w:val="pt-PT"/>
        </w:rPr>
        <w:t xml:space="preserve">................ </w:t>
      </w:r>
      <w:r w:rsidRPr="00B14C29">
        <w:rPr>
          <w:rStyle w:val="Fontdeparagrafimplicit"/>
          <w:rFonts w:ascii="Bookman Old Style" w:hAnsi="Bookman Old Style"/>
          <w:lang w:val="pt-PT"/>
        </w:rPr>
        <w:t xml:space="preserve">, litigiul promovat de reclamant este unul de dreptul muncii. Ca urmare, trebuia să se analizeze dacă recurenta a respectat normele fiscale incidente, şi mai ales dispoziţiile art. 40 alin. 2 lit. f Codul muncii, potrivit cărora angajatorul are obligaţia de a plăti toate contribuţiile şi impozitele aflate în sarcina sa, precum şi de a retine şi vira contribuţiile şi impozitele datorate de salariaţi în condiţiile legii. </w:t>
      </w:r>
    </w:p>
    <w:p w:rsidRPr="00B14C29" w:rsidR="00E8435E" w14:paraId="7C5AB0BD"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Potrivit înţelegerii părţilor, a codului muncii şi a codului fiscal, s-a efectuat reţinerea de către angajator a impozitului aferent indemnizaţiei de concediere. </w:t>
      </w:r>
    </w:p>
    <w:p w:rsidRPr="00B14C29" w:rsidR="00E8435E" w14:paraId="3E3B3620"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Obligaţiile fiscale se datorează de către salariat în calitate de „beneficiar” al venitului, care este „subiect” al impozitului,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având obligaţia de a calcula, reţine şi vira către bugetul de stat impozitul aferent. </w:t>
      </w:r>
    </w:p>
    <w:p w:rsidRPr="00B14C29" w:rsidR="00E8435E" w14:paraId="00984006"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Plăţile compensatorii au fost acordate în temeiul Planului Social, care reprezintă legea părţilor, iar acesta prevede că impozitul pe venit se va suporta de către angajatul 1 , debitorul obligaţiei fiscale, prevederile contractuale fiind o concretizare a legislaţiei în vigoare la data concedierii, anume, art. 55 alin. 4 lit. j Codul fiscal şi pct. 68 lit. din Normele metodologice de aplicare a Codului Fiscal. </w:t>
      </w:r>
    </w:p>
    <w:p w:rsidRPr="00B14C29" w:rsidR="00E8435E" w14:paraId="6BDCC3D9"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Potrivit Adresei ANAF nr. </w:t>
      </w:r>
      <w:r w:rsidRPr="00B14C29" w:rsidR="006A402A">
        <w:rPr>
          <w:rStyle w:val="Fontdeparagrafimplicit"/>
          <w:rFonts w:ascii="Bookman Old Style" w:hAnsi="Bookman Old Style"/>
          <w:lang w:val="pt-PT"/>
        </w:rPr>
        <w:t>5</w:t>
      </w:r>
      <w:r w:rsidRPr="00B14C29">
        <w:rPr>
          <w:rStyle w:val="Fontdeparagrafimplicit"/>
          <w:rFonts w:ascii="Bookman Old Style" w:hAnsi="Bookman Old Style"/>
          <w:lang w:val="pt-PT"/>
        </w:rPr>
        <w:t xml:space="preserve">/26.10.2007, sunt supuse impozitării ,,(...) compensaţiile băneşti individuale acordate persoanelor disponibilizate prin concedieri colective (...) sunt venituri asimilate salariilor. Astfel veniturile obţinute în condiţiile mai sus-menţionate sunt venituri impozabile, iar determinarea impozitului se face în conformitate cu prevederile art. 57 alin. 2 lit. b) din Legea nr. 571/2003 privind Codul Fiscal, cu modificările şi completările ulterioare. Plătitorii de salarii şi venituri asimilate salariilor au obligaţia de a calcula şi retine impozitul aferent veniturilor fiecărei luni la data efectuării plăţii acestor venituri, precum şi de a-l vira la bugetul de stat (...)”. </w:t>
      </w:r>
    </w:p>
    <w:p w:rsidRPr="00B14C29" w:rsidR="00E8435E" w14:paraId="0F525957" w14:textId="210C7251">
      <w:pPr>
        <w:ind w:firstLine="720"/>
        <w:jc w:val="both"/>
        <w:rPr>
          <w:rStyle w:val="Fontdeparagrafimplicit"/>
          <w:rFonts w:ascii="Bookman Old Style" w:hAnsi="Bookman Old Style"/>
          <w:lang w:val="en-US"/>
        </w:rPr>
      </w:pPr>
      <w:r w:rsidRPr="00B14C29">
        <w:rPr>
          <w:rStyle w:val="Fontdeparagrafimplicit"/>
          <w:rFonts w:ascii="Bookman Old Style" w:hAnsi="Bookman Old Style"/>
          <w:lang w:val="pt-PT"/>
        </w:rPr>
        <w:t xml:space="preserve">În urma cererii companiei de clarificare a acestor dispoziţii legale, Ministerul Finanţelor Publice - Direcţia Generala Juridică, conform adresei nr. </w:t>
      </w:r>
      <w:r w:rsidRPr="00B14C29" w:rsidR="006A402A">
        <w:rPr>
          <w:rStyle w:val="Fontdeparagrafimplicit"/>
          <w:rFonts w:ascii="Bookman Old Style" w:hAnsi="Bookman Old Style"/>
          <w:lang w:val="pt-PT"/>
        </w:rPr>
        <w:t>6</w:t>
      </w:r>
      <w:r w:rsidRPr="00B14C29">
        <w:rPr>
          <w:rStyle w:val="Fontdeparagrafimplicit"/>
          <w:rFonts w:ascii="Bookman Old Style" w:hAnsi="Bookman Old Style"/>
          <w:lang w:val="pt-PT"/>
        </w:rPr>
        <w:t xml:space="preserve">/31.10.2006, consideră că prevederile din Codul fiscal şi cele din Normele Metodologice reglementează situaţii distincte, respectiv cele din Codul Fiscal tratează numai cazul în care plata indemnizaţiilor de concediere este reglementată de acte normative, iar cele din Normele Metodologice celelalte situaţii, astfel că aceste venituri sunt supuse impozitării ca orice venit salarial. : „(…) Dispoziţiile normative menţionate anterior (n.r. art.55 alin.4 lit. j) din Codul Fiscal) sunt incidente în situaţiile în care acordarea plăţilor compensatorii este reglementată prin acte normative. De exemplu, plăţile compensatorii acordate în temeiul O.U.G. nr. 8/2003 cu modificările şi completările ulterioare salariaţilor concediaţi colectiv se încadrează din punct de vedere fiscal în dispoziţiile art. 55 alin. 4 lit. j) din Codul Fiscal, asupra lor necalculându-se impozit pe venit. (...) Veniturilor realizate sub forma de compensaţii băneşti, acordate de compania d-voastră (n.r.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cu ocazia concedierii colective în baza contractului colectiv de munca şi nu în temeiul unei legi, le sunt aplicabile dispoziţiile art. 55 alin. 2lit. k din Codul fiscal şi pct. 68 lit. l) referitor la art. 55 din Codul fiscal, din Normele metodologice de aplicare a Legii nr. 571/2003 privind Codul Fiscal, aprobate prin HG nr. 44/2004. </w:t>
      </w:r>
      <w:r w:rsidRPr="00B14C29" w:rsidR="0073563B">
        <w:rPr>
          <w:rStyle w:val="Fontdeparagrafimplicit"/>
          <w:rFonts w:ascii="Bookman Old Style" w:hAnsi="Bookman Old Style"/>
          <w:lang w:val="en-US"/>
        </w:rPr>
        <w:t>A</w:t>
      </w:r>
      <w:r w:rsidRPr="00B14C29">
        <w:rPr>
          <w:rStyle w:val="Fontdeparagrafimplicit"/>
          <w:rFonts w:ascii="Bookman Old Style" w:hAnsi="Bookman Old Style"/>
          <w:lang w:val="en-US"/>
        </w:rPr>
        <w:t>stfel</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încât</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acestea</w:t>
      </w:r>
      <w:r w:rsidRPr="00B14C29">
        <w:rPr>
          <w:rStyle w:val="Fontdeparagrafimplicit"/>
          <w:rFonts w:ascii="Bookman Old Style" w:hAnsi="Bookman Old Style"/>
          <w:lang w:val="en-US"/>
        </w:rPr>
        <w:t xml:space="preserve"> se </w:t>
      </w:r>
      <w:r w:rsidRPr="00B14C29">
        <w:rPr>
          <w:rStyle w:val="Fontdeparagrafimplicit"/>
          <w:rFonts w:ascii="Bookman Old Style" w:hAnsi="Bookman Old Style"/>
          <w:lang w:val="en-US"/>
        </w:rPr>
        <w:t>supun</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impunerii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în</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condiţiile</w:t>
      </w:r>
      <w:r w:rsidRPr="00B14C29">
        <w:rPr>
          <w:rStyle w:val="Fontdeparagrafimplicit"/>
          <w:rFonts w:ascii="Bookman Old Style" w:hAnsi="Bookman Old Style"/>
          <w:lang w:val="en-US"/>
        </w:rPr>
        <w:t xml:space="preserve"> art.57 </w:t>
      </w:r>
      <w:r w:rsidRPr="00B14C29">
        <w:rPr>
          <w:rStyle w:val="Fontdeparagrafimplicit"/>
          <w:rFonts w:ascii="Bookman Old Style" w:hAnsi="Bookman Old Style"/>
          <w:lang w:val="en-US"/>
        </w:rPr>
        <w:t>alin</w:t>
      </w:r>
      <w:r w:rsidRPr="00B14C29">
        <w:rPr>
          <w:rStyle w:val="Fontdeparagrafimplicit"/>
          <w:rFonts w:ascii="Bookman Old Style" w:hAnsi="Bookman Old Style"/>
          <w:lang w:val="en-US"/>
        </w:rPr>
        <w:t xml:space="preserve">. 2 din </w:t>
      </w:r>
      <w:r w:rsidRPr="00B14C29">
        <w:rPr>
          <w:rStyle w:val="Fontdeparagrafimplicit"/>
          <w:rFonts w:ascii="Bookman Old Style" w:hAnsi="Bookman Old Style"/>
          <w:lang w:val="en-US"/>
        </w:rPr>
        <w:t>Legea</w:t>
      </w:r>
      <w:r w:rsidRPr="00B14C29">
        <w:rPr>
          <w:rStyle w:val="Fontdeparagrafimplicit"/>
          <w:rFonts w:ascii="Bookman Old Style" w:hAnsi="Bookman Old Style"/>
          <w:lang w:val="en-US"/>
        </w:rPr>
        <w:t xml:space="preserve"> nr. 571/2003”. </w:t>
      </w:r>
    </w:p>
    <w:p w:rsidRPr="00B14C29" w:rsidR="00E8435E" w14:paraId="653A2736" w14:textId="77777777">
      <w:pPr>
        <w:ind w:firstLine="720"/>
        <w:jc w:val="both"/>
        <w:rPr>
          <w:rStyle w:val="Fontdeparagrafimplicit"/>
          <w:rFonts w:ascii="Bookman Old Style" w:hAnsi="Bookman Old Style"/>
          <w:lang w:val="en-US"/>
        </w:rPr>
      </w:pPr>
      <w:r w:rsidRPr="00B14C29">
        <w:rPr>
          <w:rStyle w:val="Fontdeparagrafimplicit"/>
          <w:rFonts w:ascii="Bookman Old Style" w:hAnsi="Bookman Old Style"/>
          <w:lang w:val="en-US"/>
        </w:rPr>
        <w:t xml:space="preserve">Prin </w:t>
      </w:r>
      <w:r w:rsidRPr="00B14C29">
        <w:rPr>
          <w:rStyle w:val="Fontdeparagrafimplicit"/>
          <w:rFonts w:ascii="Bookman Old Style" w:hAnsi="Bookman Old Style"/>
          <w:lang w:val="en-US"/>
        </w:rPr>
        <w:t>urmare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interpretarea</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gramaticală</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logică</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şi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sistematică</w:t>
      </w:r>
      <w:r w:rsidRPr="00B14C29">
        <w:rPr>
          <w:rStyle w:val="Fontdeparagrafimplicit"/>
          <w:rFonts w:ascii="Bookman Old Style" w:hAnsi="Bookman Old Style"/>
          <w:lang w:val="en-US"/>
        </w:rPr>
        <w:t xml:space="preserve"> a </w:t>
      </w:r>
      <w:r w:rsidRPr="00B14C29">
        <w:rPr>
          <w:rStyle w:val="Fontdeparagrafimplicit"/>
          <w:rFonts w:ascii="Bookman Old Style" w:hAnsi="Bookman Old Style"/>
          <w:lang w:val="en-US"/>
        </w:rPr>
        <w:t>dispoziţiilor</w:t>
      </w:r>
      <w:r w:rsidRPr="00B14C29">
        <w:rPr>
          <w:rStyle w:val="Fontdeparagrafimplicit"/>
          <w:rFonts w:ascii="Bookman Old Style" w:hAnsi="Bookman Old Style"/>
          <w:lang w:val="en-US"/>
        </w:rPr>
        <w:t xml:space="preserve"> art. 55 din </w:t>
      </w:r>
      <w:r w:rsidRPr="00B14C29">
        <w:rPr>
          <w:rStyle w:val="Fontdeparagrafimplicit"/>
          <w:rFonts w:ascii="Bookman Old Style" w:hAnsi="Bookman Old Style"/>
          <w:lang w:val="en-US"/>
        </w:rPr>
        <w:t>Codul</w:t>
      </w:r>
      <w:r w:rsidRPr="00B14C29">
        <w:rPr>
          <w:rStyle w:val="Fontdeparagrafimplicit"/>
          <w:rFonts w:ascii="Bookman Old Style" w:hAnsi="Bookman Old Style"/>
          <w:lang w:val="en-US"/>
        </w:rPr>
        <w:t xml:space="preserve"> fiscal, </w:t>
      </w:r>
      <w:r w:rsidRPr="00B14C29">
        <w:rPr>
          <w:rStyle w:val="Fontdeparagrafimplicit"/>
          <w:rFonts w:ascii="Bookman Old Style" w:hAnsi="Bookman Old Style"/>
          <w:lang w:val="en-US"/>
        </w:rPr>
        <w:t>coroborată</w:t>
      </w:r>
      <w:r w:rsidRPr="00B14C29">
        <w:rPr>
          <w:rStyle w:val="Fontdeparagrafimplicit"/>
          <w:rFonts w:ascii="Bookman Old Style" w:hAnsi="Bookman Old Style"/>
          <w:lang w:val="en-US"/>
        </w:rPr>
        <w:t xml:space="preserve"> cu </w:t>
      </w:r>
      <w:r w:rsidRPr="00B14C29">
        <w:rPr>
          <w:rStyle w:val="Fontdeparagrafimplicit"/>
          <w:rFonts w:ascii="Bookman Old Style" w:hAnsi="Bookman Old Style"/>
          <w:lang w:val="en-US"/>
        </w:rPr>
        <w:t>răspunsurile</w:t>
      </w:r>
      <w:r w:rsidRPr="00B14C29">
        <w:rPr>
          <w:rStyle w:val="Fontdeparagrafimplicit"/>
          <w:rFonts w:ascii="Bookman Old Style" w:hAnsi="Bookman Old Style"/>
          <w:lang w:val="en-US"/>
        </w:rPr>
        <w:t xml:space="preserve"> de la </w:t>
      </w:r>
      <w:r w:rsidRPr="00B14C29">
        <w:rPr>
          <w:rStyle w:val="Fontdeparagrafimplicit"/>
          <w:rFonts w:ascii="Bookman Old Style" w:hAnsi="Bookman Old Style"/>
          <w:lang w:val="en-US"/>
        </w:rPr>
        <w:t>autorităţile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statului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mai</w:t>
      </w:r>
      <w:r w:rsidRPr="00B14C29">
        <w:rPr>
          <w:rStyle w:val="Fontdeparagrafimplicit"/>
          <w:rFonts w:ascii="Bookman Old Style" w:hAnsi="Bookman Old Style"/>
          <w:lang w:val="en-US"/>
        </w:rPr>
        <w:t xml:space="preserve"> sus </w:t>
      </w:r>
      <w:r w:rsidRPr="00B14C29">
        <w:rPr>
          <w:rStyle w:val="Fontdeparagrafimplicit"/>
          <w:rFonts w:ascii="Bookman Old Style" w:hAnsi="Bookman Old Style"/>
          <w:lang w:val="en-US"/>
        </w:rPr>
        <w:t>menţionate</w:t>
      </w:r>
      <w:r w:rsidRPr="00B14C29">
        <w:rPr>
          <w:rStyle w:val="Fontdeparagrafimplicit"/>
          <w:rFonts w:ascii="Bookman Old Style" w:hAnsi="Bookman Old Style"/>
          <w:lang w:val="en-US"/>
        </w:rPr>
        <w:t xml:space="preserve">, duce la </w:t>
      </w:r>
      <w:r w:rsidRPr="00B14C29">
        <w:rPr>
          <w:rStyle w:val="Fontdeparagrafimplicit"/>
          <w:rFonts w:ascii="Bookman Old Style" w:hAnsi="Bookman Old Style"/>
          <w:lang w:val="en-US"/>
        </w:rPr>
        <w:t>concluzia</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că</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veniturile</w:t>
      </w:r>
      <w:r w:rsidRPr="00B14C29">
        <w:rPr>
          <w:rStyle w:val="Fontdeparagrafimplicit"/>
          <w:rFonts w:ascii="Bookman Old Style" w:hAnsi="Bookman Old Style"/>
          <w:lang w:val="en-US"/>
        </w:rPr>
        <w:t xml:space="preserve"> din </w:t>
      </w:r>
      <w:r w:rsidRPr="00B14C29">
        <w:rPr>
          <w:rStyle w:val="Fontdeparagrafimplicit"/>
          <w:rFonts w:ascii="Bookman Old Style" w:hAnsi="Bookman Old Style"/>
          <w:lang w:val="en-US"/>
        </w:rPr>
        <w:t>indemnizaţiile</w:t>
      </w:r>
      <w:r w:rsidRPr="00B14C29">
        <w:rPr>
          <w:rStyle w:val="Fontdeparagrafimplicit"/>
          <w:rFonts w:ascii="Bookman Old Style" w:hAnsi="Bookman Old Style"/>
          <w:lang w:val="en-US"/>
        </w:rPr>
        <w:t xml:space="preserve"> de </w:t>
      </w:r>
      <w:r w:rsidRPr="00B14C29">
        <w:rPr>
          <w:rStyle w:val="Fontdeparagrafimplicit"/>
          <w:rFonts w:ascii="Bookman Old Style" w:hAnsi="Bookman Old Style"/>
          <w:lang w:val="en-US"/>
        </w:rPr>
        <w:t>concediere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 xml:space="preserve">care </w:t>
      </w:r>
      <w:r w:rsidRPr="00B14C29">
        <w:rPr>
          <w:rStyle w:val="Fontdeparagrafimplicit"/>
          <w:rFonts w:ascii="Bookman Old Style" w:hAnsi="Bookman Old Style"/>
          <w:lang w:val="en-US"/>
        </w:rPr>
        <w:t>îndeplinesc</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cumulativ</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cele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doua</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condiţii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respectiv</w:t>
      </w:r>
      <w:r w:rsidRPr="00B14C29">
        <w:rPr>
          <w:rStyle w:val="Fontdeparagrafimplicit"/>
          <w:rFonts w:ascii="Bookman Old Style" w:hAnsi="Bookman Old Style"/>
          <w:lang w:val="en-US"/>
        </w:rPr>
        <w:t xml:space="preserve">: sunt </w:t>
      </w:r>
      <w:r w:rsidRPr="00B14C29">
        <w:rPr>
          <w:rStyle w:val="Fontdeparagrafimplicit"/>
          <w:rFonts w:ascii="Bookman Old Style" w:hAnsi="Bookman Old Style"/>
          <w:lang w:val="en-US"/>
        </w:rPr>
        <w:t>acordate</w:t>
      </w:r>
      <w:r w:rsidRPr="00B14C29">
        <w:rPr>
          <w:rStyle w:val="Fontdeparagrafimplicit"/>
          <w:rFonts w:ascii="Bookman Old Style" w:hAnsi="Bookman Old Style"/>
          <w:lang w:val="en-US"/>
        </w:rPr>
        <w:t xml:space="preserve"> din </w:t>
      </w:r>
      <w:r w:rsidRPr="00B14C29">
        <w:rPr>
          <w:rStyle w:val="Fontdeparagrafimplicit"/>
          <w:rFonts w:ascii="Bookman Old Style" w:hAnsi="Bookman Old Style"/>
          <w:lang w:val="en-US"/>
        </w:rPr>
        <w:t>fondul</w:t>
      </w:r>
      <w:r w:rsidRPr="00B14C29">
        <w:rPr>
          <w:rStyle w:val="Fontdeparagrafimplicit"/>
          <w:rFonts w:ascii="Bookman Old Style" w:hAnsi="Bookman Old Style"/>
          <w:lang w:val="en-US"/>
        </w:rPr>
        <w:t xml:space="preserve"> de </w:t>
      </w:r>
      <w:r w:rsidRPr="00B14C29">
        <w:rPr>
          <w:rStyle w:val="Fontdeparagrafimplicit"/>
          <w:rFonts w:ascii="Bookman Old Style" w:hAnsi="Bookman Old Style"/>
          <w:lang w:val="en-US"/>
        </w:rPr>
        <w:t>salarii</w:t>
      </w:r>
      <w:r w:rsidRPr="00B14C29">
        <w:rPr>
          <w:rStyle w:val="Fontdeparagrafimplicit"/>
          <w:rFonts w:ascii="Bookman Old Style" w:hAnsi="Bookman Old Style"/>
          <w:lang w:val="en-US"/>
        </w:rPr>
        <w:t xml:space="preserve"> al </w:t>
      </w:r>
      <w:r w:rsidRPr="00B14C29">
        <w:rPr>
          <w:rStyle w:val="Fontdeparagrafimplicit"/>
          <w:rFonts w:ascii="Bookman Old Style" w:hAnsi="Bookman Old Style"/>
          <w:lang w:val="en-US"/>
        </w:rPr>
        <w:t>Companiei</w:t>
      </w:r>
      <w:r w:rsidRPr="00B14C29">
        <w:rPr>
          <w:rStyle w:val="Fontdeparagrafimplicit"/>
          <w:rFonts w:ascii="Bookman Old Style" w:hAnsi="Bookman Old Style"/>
          <w:lang w:val="en-US"/>
        </w:rPr>
        <w:t xml:space="preserve">, conform </w:t>
      </w:r>
      <w:r w:rsidRPr="00B14C29">
        <w:rPr>
          <w:rStyle w:val="Fontdeparagrafimplicit"/>
          <w:rFonts w:ascii="Bookman Old Style" w:hAnsi="Bookman Old Style"/>
          <w:lang w:val="en-US"/>
        </w:rPr>
        <w:t>prevederilor</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contractuale</w:t>
      </w:r>
      <w:r w:rsidRPr="00B14C29">
        <w:rPr>
          <w:rStyle w:val="Fontdeparagrafimplicit"/>
          <w:rFonts w:ascii="Bookman Old Style" w:hAnsi="Bookman Old Style"/>
          <w:lang w:val="en-US"/>
        </w:rPr>
        <w:t xml:space="preserve"> ale CCM </w:t>
      </w:r>
      <w:r w:rsidRPr="00B14C29" w:rsidR="006A402A">
        <w:rPr>
          <w:rStyle w:val="Fontdeparagrafimplicit"/>
          <w:rFonts w:ascii="Bookman Old Style" w:hAnsi="Bookman Old Style"/>
          <w:lang w:val="en-US"/>
        </w:rPr>
        <w:t xml:space="preserve">1 </w:t>
      </w:r>
      <w:r w:rsidRPr="00B14C29">
        <w:rPr>
          <w:rStyle w:val="Fontdeparagrafimplicit"/>
          <w:rFonts w:ascii="Bookman Old Style" w:hAnsi="Bookman Old Style"/>
          <w:lang w:val="en-US"/>
        </w:rPr>
        <w:t>şi</w:t>
      </w:r>
      <w:r w:rsidRPr="00B14C29">
        <w:rPr>
          <w:rStyle w:val="Fontdeparagrafimplicit"/>
          <w:rFonts w:ascii="Bookman Old Style" w:hAnsi="Bookman Old Style"/>
          <w:lang w:val="en-US"/>
        </w:rPr>
        <w:t xml:space="preserve"> nu sunt </w:t>
      </w:r>
      <w:r w:rsidRPr="00B14C29">
        <w:rPr>
          <w:rStyle w:val="Fontdeparagrafimplicit"/>
          <w:rFonts w:ascii="Bookman Old Style" w:hAnsi="Bookman Old Style"/>
          <w:lang w:val="en-US"/>
        </w:rPr>
        <w:t>reglementate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prin</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acte</w:t>
      </w:r>
      <w:r w:rsidRPr="00B14C29">
        <w:rPr>
          <w:rStyle w:val="Fontdeparagrafimplicit"/>
          <w:rFonts w:ascii="Bookman Old Style" w:hAnsi="Bookman Old Style"/>
          <w:lang w:val="en-US"/>
        </w:rPr>
        <w:t xml:space="preserve"> normative, </w:t>
      </w:r>
      <w:r w:rsidRPr="00B14C29">
        <w:rPr>
          <w:rStyle w:val="Fontdeparagrafimplicit"/>
          <w:rFonts w:ascii="Bookman Old Style" w:hAnsi="Bookman Old Style"/>
          <w:lang w:val="en-US"/>
        </w:rPr>
        <w:t>reprezintă</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venituri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asimilate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salariilor</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şi</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în</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consecinţa</w:t>
      </w:r>
      <w:r w:rsidRPr="00B14C29">
        <w:rPr>
          <w:rStyle w:val="Fontdeparagrafimplicit"/>
          <w:rFonts w:ascii="Bookman Old Style" w:hAnsi="Bookman Old Style"/>
          <w:lang w:val="en-US"/>
        </w:rPr>
        <w:t xml:space="preserve"> sunt </w:t>
      </w:r>
      <w:r w:rsidRPr="00B14C29">
        <w:rPr>
          <w:rStyle w:val="Fontdeparagrafimplicit"/>
          <w:rFonts w:ascii="Bookman Old Style" w:hAnsi="Bookman Old Style"/>
          <w:lang w:val="en-US"/>
        </w:rPr>
        <w:t>supuse</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impozitării</w:t>
      </w:r>
      <w:r w:rsidRPr="00B14C29">
        <w:rPr>
          <w:rStyle w:val="Fontdeparagrafimplicit"/>
          <w:rFonts w:ascii="Bookman Old Style" w:hAnsi="Bookman Old Style"/>
          <w:lang w:val="en-US"/>
        </w:rPr>
        <w:t xml:space="preserve">. </w:t>
      </w:r>
    </w:p>
    <w:p w:rsidRPr="00B14C29" w:rsidR="00E8435E" w14:paraId="02FF1CD6"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O alta critica vizează data de la care a fost acordată dobânda legală, apreciind că aceasta se poate acorda doar de la data introducerii acţiunii.</w:t>
      </w:r>
    </w:p>
    <w:p w:rsidRPr="00B14C29" w:rsidR="00E8435E" w14:paraId="1001E588"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Se critică sentinţa şi cu privire la cuantumul cheltuielilor de judecată, suma la care a fost obligată, ce reprezintă 1/3 din cuantumul pretenţiilor, fiind nejustificată în raport de complexitatea redusă a cauzei.</w:t>
      </w:r>
    </w:p>
    <w:p w:rsidRPr="00B14C29" w:rsidR="00E8435E" w14:paraId="33CF5732"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Tribunalul a obligat-o pe chemata în garanţie doar la plata cheltuielilor efectuate de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nefiind obligată şi la plata cheltuielilor de judecată la care a fost obligată recurenta faţă de reclamant. </w:t>
      </w:r>
    </w:p>
    <w:p w:rsidRPr="00B14C29" w:rsidR="00E8435E" w14:paraId="3450D9E7" w14:textId="26E670CC">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Împotriva aceleiaşi sentinţe a declarat recurs pârâta – chemată în garanţie</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i/>
          <w:lang w:val="pt-PT"/>
        </w:rPr>
        <w:t xml:space="preserve">AGENŢIA NAŢIONALĂ DE ADMINISTRARE FISCALĂ - DIRECŢIA GENERALĂ ADMINISTRARE FISCALĂ A MARILOR CONTRIBUABILI </w:t>
      </w:r>
      <w:r w:rsidR="00527302">
        <w:rPr>
          <w:rStyle w:val="Fontdeparagrafimplicit"/>
          <w:rFonts w:ascii="Bookman Old Style" w:hAnsi="Bookman Old Style"/>
          <w:i/>
          <w:lang w:val="pt-PT"/>
        </w:rPr>
        <w:t>.............</w:t>
      </w:r>
      <w:r w:rsidRPr="00B14C29">
        <w:rPr>
          <w:rStyle w:val="Fontdeparagrafimplicit"/>
          <w:rFonts w:ascii="Bookman Old Style" w:hAnsi="Bookman Old Style"/>
          <w:lang w:val="pt-PT"/>
        </w:rPr>
        <w:t>, solicitând modificarea sentinţei atacate cu consecinţa respingerii acţiunii, ca neîntemeiată.</w:t>
      </w:r>
    </w:p>
    <w:p w:rsidRPr="00B14C29" w:rsidR="00E8435E" w14:paraId="1CC44A5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motivare se arată că în mod greşit tribunalul a respins excepţia lipsei calităţii procesuale pasive a recurentei, fără a motiva temeinic soluţia pronunţată. </w:t>
      </w:r>
    </w:p>
    <w:p w:rsidRPr="00B14C29" w:rsidR="00E8435E" w14:paraId="3165844A"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Potrivit art. 1 din H.G.109/2009 privind organizarea şi funcţionarea Agenţiei Naţionale de Administrare Fiscala, aceasta „se organizează şi funcţionează ca organ de specialitate al administraţiei publice centrale, instituţie publica cu personalitate juridica, în sub ordine a Ministerului Economiei şi Finanţelor, finanţata de la bugetul de stat”.</w:t>
      </w:r>
    </w:p>
    <w:p w:rsidRPr="00B14C29" w:rsidR="00E8435E" w14:paraId="1E90CEB2"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Conform Anexei 2 din Ordinul nr.753/2006 privind organizarea activităţii de administrare a marilor contribuabili, cu modificările şi completările ulterioare, parata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este mare contribuabil şi intra în administraţia Direcţiei Generale de Administrare a Marilor Contribuabili, direcţie aflata în subordinea ANAF, potrivit art. III din Hotărârea Guvernului nr.1171/2007 prin care a fost modificata Hotărârea Guvernului nr.495/2007 privind organizarea şi funcţionarea Agenţiei Naţionale de Administrare Fiscala. </w:t>
      </w:r>
    </w:p>
    <w:p w:rsidRPr="00B14C29" w:rsidR="00E8435E" w14:paraId="345644E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 invocat excepţia lipsei calităţii sale procesuale-pasive, motivat de faptul că intimata reclamantă a fost angajata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 societate comerciala care a calculat şi a reţinut impozitul pe venit şi, prin urmare, între intimata reclamantă şi recurent nu a existat nici un raport juridic, astfel ca nu exista motive pentru a se pronunţa o hotărâre în contradictoriu cu aceasta. </w:t>
      </w:r>
    </w:p>
    <w:p w:rsidRPr="00B14C29" w:rsidR="00E8435E" w14:paraId="6C9E1B45"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raport de prevederile art. 117 C.proc.fisc. şi prevederile OPANAF nr. 1899/2004, singura persoana care ar avea calitate să solicite restituirea sumelor reprezentând impozit pe venitul aferent sumelor compensatorii, este intimata pârâtă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w:t>
      </w:r>
    </w:p>
    <w:p w:rsidRPr="00B14C29" w:rsidR="00E8435E" w14:paraId="08891F9B"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Recurenta nu poate răspunde nici solidar cu intimata pârâtă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raportat la dispoziţiile art. 47 C.proc.civ., întrucât nu are aceleaşi drepturi şi obligaţii cu aceasta, în prezent nefiind născut nici un raport juridic între această societate şi organele fiscale, societatea neformulând o cerere de restituire conform art. 117 C.proc.fisc.. </w:t>
      </w:r>
    </w:p>
    <w:p w:rsidRPr="00B14C29" w:rsidR="00E8435E" w14:paraId="0F8E226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raport de prevederile Legii nr. 554/2004 nu există nici un raport juridic născut între reclamantă şi organele fiscale, având în vedere că intimata pârâtă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a calculat şi reţinut impozitul pe venit conform declaraţiilor fiscale întocmite şi depuse de către aceasta la organul fiscal competent. </w:t>
      </w:r>
    </w:p>
    <w:p w:rsidRPr="00B14C29" w:rsidR="00E8435E" w14:paraId="5ACA7985"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Având în vedere obligaţiile ce-i reveneau intimatei pârâte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atât modul de calcul cât şi sumele reţinute cu titlu de impozit aferent sumelor compensatorii îi aparţine pârâtei, deoarece această societate comercială a iniţiat procedura concedierilor colective iar sumele au fost acordate din fondul de salarii. </w:t>
      </w:r>
    </w:p>
    <w:p w:rsidRPr="00B14C29" w:rsidR="00E8435E" w14:paraId="24A4D4A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Excepţiile inadmisibilităţii acţiunii şi a cererii de chemare în garanţie invocate de recurentă au fost respinse în mod greşit de către instanţa de fond. </w:t>
      </w:r>
    </w:p>
    <w:p w:rsidRPr="00B14C29" w:rsidR="00E8435E" w14:paraId="62801098"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 invocat excepţia inadmisibilităţii atât în ce priveşte acţiunea cât şi în ce priveşte cererea de chemare în garanţie, întrucât, potrivit dispoziţiilor art.117 din O.G. nr. 92/2003, sumele plătite la bugetul de stat se restituie la cererea debitorului. Intimata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este de fapt debitorul obligaţiilor fiscale privind reţinerea şi virarea la bugetul de stat a impozitului pe venit aferent compensaţiilor băneşti acordate şi deci singura în măsura să solicite restituirea sumelor, în concordanţă cu dispoziţiile art. 7 din Legea nr. 554/2004 şi ale O.M.F.P. nr. 1899/2004 pentru aprobarea Procedurii de restituire şi de rambursare a sumelor de la buget, coroborate cu prevederile art. 33 din O.G. nr. 92/2003. </w:t>
      </w:r>
    </w:p>
    <w:p w:rsidRPr="00B14C29" w:rsidR="00E8435E" w14:paraId="66097AF2"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Intimata reclamantă nu a formulat o plângere prealabila către organul fiscal competent, în speţa către ANAF - Direcţia Generală de Administrare a Marilor Contribuabili, şi ca atare, instanţa de fond a fost în eroare când a reţinut ca reclamanta ar fi respectat aceasta procedura. </w:t>
      </w:r>
    </w:p>
    <w:p w:rsidRPr="00B14C29" w:rsidR="00E8435E" w14:paraId="14BE8D0E"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Pe fond, tribunalul a refuzat aplicarea legii în vigoare, în speţă, a dispoziţiilor art. 55 alin. 2 lit. k) din Codul fiscal coroborate cu dispoziţiile punctului 68, lit. I) din Normele Metodologice de aplicare a Legii nr. 571/2003 privind Codul fiscal, aprobate prin H.G. nr. 44/2004, cu modificările şi completările ulterioare, care prevăd că sumele acordate cu titlu de compensaţii băneşti individuale, acordate persoanelor disponibilizate prin concedieri colective, din fondul de salarii, potrivit dispoziţiilor prevăzute în contractul de muncă, sunt considerate venituri asimilate salariilor şi, în consecinţa, sunt supuse impozitării, aceste sume fiind distincte de plăţile compensatorii, astfel cum acestea sunt definite prin dispoziţiile art. 28 din OUG nr. 98/1999, şi care sunt neimpozabile potrivit art. 55 alin. 4 lit. j) din Codul fiscal. </w:t>
      </w:r>
    </w:p>
    <w:p w:rsidRPr="00B14C29" w:rsidR="00E8435E" w14:paraId="6D35FE3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Referitor la obligarea recurentei la plata dobânzii legale, de la data reţinerii impozitului şi până la data restituirii efective, soluţia este greşită în condiţiile în care reclamanta nu a formulat o astfel de cerere prin acţiunea iniţială ci doar prin întregirea cererii de chemare în judecată care a fost depusă la dosar cu încălcarea dispoziţiilor art. 132 alin. 1 şi art. 134 C.pr.civ. şi care nu a fost comunicată recurentei, fiind încălcat principiul contradictorialităţii. </w:t>
      </w:r>
    </w:p>
    <w:p w:rsidRPr="00B14C29" w:rsidR="00E8435E" w14:paraId="4B6683A8"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ce priveşte obligarea la plata cheltuielilor de judecată către pârâtă, în mod neîntemeiat s-au considerat întrunite condiţiile prevăzute de art. 274 C.pr.civ.. </w:t>
      </w:r>
    </w:p>
    <w:p w:rsidRPr="00B14C29" w:rsidR="00E8435E" w14:paraId="36D5B1A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 xml:space="preserve">Intimatul </w:t>
      </w:r>
      <w:r w:rsidRPr="00B14C29" w:rsidR="006A402A">
        <w:rPr>
          <w:rStyle w:val="Fontdeparagrafimplicit"/>
          <w:rFonts w:ascii="Bookman Old Style" w:hAnsi="Bookman Old Style"/>
          <w:i/>
          <w:lang w:val="pt-PT"/>
        </w:rPr>
        <w:t>7</w:t>
      </w:r>
      <w:r w:rsidRPr="00B14C29">
        <w:rPr>
          <w:rStyle w:val="Fontdeparagrafimplicit"/>
          <w:rFonts w:ascii="Bookman Old Style" w:hAnsi="Bookman Old Style"/>
          <w:i/>
          <w:lang w:val="pt-PT"/>
        </w:rPr>
        <w:t>, prin întâmpinare, a solicitat respingerea recursurilor cu consecinţa menţinerii ca legală şi temeinică a hotărârii atacate</w:t>
      </w:r>
      <w:r w:rsidRPr="00B14C29">
        <w:rPr>
          <w:rStyle w:val="Fontdeparagrafimplicit"/>
          <w:rFonts w:ascii="Bookman Old Style" w:hAnsi="Bookman Old Style"/>
          <w:lang w:val="pt-PT"/>
        </w:rPr>
        <w:t>.</w:t>
      </w:r>
    </w:p>
    <w:p w:rsidRPr="00B14C29" w:rsidR="00E8435E" w14:paraId="3F0D238B" w14:textId="77777777">
      <w:pPr>
        <w:ind w:firstLine="708"/>
        <w:jc w:val="both"/>
        <w:rPr>
          <w:rStyle w:val="Fontdeparagrafimplicit"/>
          <w:rFonts w:ascii="Bookman Old Style" w:hAnsi="Bookman Old Style"/>
          <w:i/>
          <w:lang w:val="pt-PT"/>
        </w:rPr>
      </w:pPr>
      <w:r w:rsidRPr="00B14C29">
        <w:rPr>
          <w:rStyle w:val="Fontdeparagrafimplicit"/>
          <w:rFonts w:ascii="Bookman Old Style" w:hAnsi="Bookman Old Style"/>
          <w:i/>
          <w:lang w:val="pt-PT"/>
        </w:rPr>
        <w:t xml:space="preserve">Examinând hotărârea atacată prin prisma motivelor invocate şi a dispoziţiilor legale incidente, Curtea reţine următoarele: </w:t>
      </w:r>
    </w:p>
    <w:p w:rsidRPr="00B14C29" w:rsidR="00E8435E" w14:paraId="76195719" w14:textId="77777777">
      <w:pPr>
        <w:ind w:firstLine="708"/>
        <w:jc w:val="both"/>
        <w:rPr>
          <w:rStyle w:val="Fontdeparagrafimplicit"/>
          <w:rFonts w:ascii="Bookman Old Style" w:hAnsi="Bookman Old Style"/>
          <w:i/>
          <w:lang w:val="pt-PT"/>
        </w:rPr>
      </w:pPr>
      <w:r w:rsidRPr="00B14C29">
        <w:rPr>
          <w:rStyle w:val="Fontdeparagrafimplicit"/>
          <w:rFonts w:ascii="Bookman Old Style" w:hAnsi="Bookman Old Style"/>
          <w:i/>
          <w:lang w:val="pt-PT"/>
        </w:rPr>
        <w:t xml:space="preserve">În ceea ce priveşte excepţiile reiterate prin motivele de recurs: </w:t>
      </w:r>
    </w:p>
    <w:p w:rsidRPr="00B14C29" w:rsidR="00E8435E" w14:paraId="452F3E7C"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În mod corect a fost respinsă excepţia tardivităţii</w:t>
      </w:r>
      <w:r w:rsidRPr="00B14C29">
        <w:rPr>
          <w:rStyle w:val="Fontdeparagrafimplicit"/>
          <w:rFonts w:ascii="Bookman Old Style" w:hAnsi="Bookman Old Style"/>
          <w:lang w:val="pt-PT"/>
        </w:rPr>
        <w:t xml:space="preserve"> cererii de chemare în judecată, invocată de către recurenta pârâtă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w:t>
      </w:r>
    </w:p>
    <w:p w:rsidRPr="00B14C29" w:rsidR="00E8435E" w14:paraId="407D042C"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Susţine recurenta că textul articolului nu prevede ca termenul de 30 de zile este aplicabil doar dacă se contestă măsura concedierii, astfel că în mod nelegal, tribunalul a modificat implicit dispoziţia de încetare a contractului de muncă, fără ca partea să o solicite în termenul legal. </w:t>
      </w:r>
    </w:p>
    <w:p w:rsidRPr="00B14C29" w:rsidR="00E8435E" w14:paraId="1715DFC2"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Este adevărat că, potrivit dispoziţiilor art. 283 alin.1 lit. a C.muncii, în forma în vigoare la data emiterii deciziei privind încetarea contractului individual de muncă al reclamantei, cererile având ca obiect soluţionarea unui conflict de muncă, referitor la încetarea contractului individual de muncă, pot fi formulate în termen de 30 de zile calendaristice de la data la care a fost comunicată decizia unilaterală a angajatorului. Reiese în mod clar din formularea textului legal </w:t>
      </w:r>
      <w:r w:rsidRPr="00B14C29">
        <w:rPr>
          <w:rStyle w:val="Fontdeparagrafimplicit"/>
          <w:rFonts w:ascii="Bookman Old Style" w:hAnsi="Bookman Old Style"/>
          <w:lang w:val="pt-PT"/>
        </w:rPr>
        <w:t>faptul că acest termen se aplică în condiţiile în care decizia vizează „încetarea contractului individual de muncă”, astfel încât interpretarea logică a acestui text de lege impune a se considera că termenul se aplică doar în ipoteza în care este contestată chiar măsura încetării contractului individual de muncă, iar nu celelalte aspecte colaterale cuprinse în decizie, cum este cazul sumelor compensatorii acordate cu acest prilej. Deşi nu o specifică textul legal invocat, faptul reiese din împrejurarea că acordarea acestor compensaţii nu este necesar a fi precizată în decizia de concediere (compensaţiile se pot acorda pur şi simplu, în temeiul Planului Social, anexă la contractul colectiv de muncă), astfel încât legiuitorul nu avea motive pentru a specifica în text o excepţie de genul celei a cărei lipsă o subliniază recurenta: nu avea de ce să arate că sunt exceptate de la aplicarea acestui termen (sau nu) litigiile având ca obiect plata sumelor compensatorii. Pentru acest gen de litigii, legiuitorul a stipulat un termen distinct, cum corect a reţinut tribunalul.</w:t>
      </w:r>
    </w:p>
    <w:p w:rsidRPr="00B14C29" w:rsidR="00E8435E" w14:paraId="3D35CBC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Referitor la excepţia lipsei calităţii procesuale pasive</w:t>
      </w: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i/>
          <w:lang w:val="pt-PT"/>
        </w:rPr>
        <w:t>invocată de recurenta ANAF,</w:t>
      </w:r>
      <w:r w:rsidRPr="00B14C29">
        <w:rPr>
          <w:rStyle w:val="Fontdeparagrafimplicit"/>
          <w:rFonts w:ascii="Bookman Old Style" w:hAnsi="Bookman Old Style"/>
          <w:lang w:val="pt-PT"/>
        </w:rPr>
        <w:t xml:space="preserve"> Curtea constată că se justifică în cauză calitatea sa procesuală pasivă. </w:t>
      </w:r>
    </w:p>
    <w:p w:rsidRPr="00B14C29" w:rsidR="00E8435E" w14:paraId="53D84566"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Astfel, potrivit art. 60 alin. 1 C.pr.civ., partea poate să cheme în garanţie o altă persoană împotriva căreia ar putea să se îndrepte, în cazul în care ar cădea în pretenţii cu o cerere în garanţie sau în despăgubire. </w:t>
      </w:r>
    </w:p>
    <w:p w:rsidRPr="00B14C29" w:rsidR="00E8435E" w14:paraId="2AEB304C"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Este ştiut faptul că cererea de chemare în garanţie este justificată pe raţiunea că cel care transmite altuia un drept este obligat să-i garanteze folosul, sub toate formele, potrivit cu natura acelui drept, garanţia putând să reiasă din lege sau dintr-un contract încheiat între părţi.</w:t>
      </w:r>
    </w:p>
    <w:p w:rsidRPr="00B14C29" w:rsidR="00E8435E" w14:paraId="1BA8B013"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Din textul art. 60 alin. 1 C.pr.civ., rezultă faptul că cererea de chemare în garanţie este admisibilă nu numai în cazul drepturilor garantate legal sau convenţional, ci şi ori de câte ori partea care ar cădea în pretenţii s-ar putea întoarce împotriva altei persoane cu o cerere în despăgubiri.</w:t>
      </w:r>
    </w:p>
    <w:p w:rsidRPr="00B14C29" w:rsidR="00E8435E" w14:paraId="317781ED"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Or, obligaţia recurentei de garanţie faţă de pârâta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derivă din lege.</w:t>
      </w:r>
    </w:p>
    <w:p w:rsidRPr="00B14C29" w:rsidR="00E8435E" w14:paraId="50C01D57"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Recunoaşte recurenta ANAF prin motivele de recurs, că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are calitatea în condiţiile art. 117 C.pr.fiscală şi ale prevederilor OMFP 1899/2004 să solicite restituirea sumelor reprezentând impozitul aferent sumelor reprezentând indemnizaţia de concediere, şi ar fi justificată o astfel de solicitare în cazul în care, în litigiu, pârâta ar cădea în pretenţii faţă de reclamant. </w:t>
      </w:r>
    </w:p>
    <w:p w:rsidRPr="00B14C29" w:rsidR="00E8435E" w14:paraId="75326DF1" w14:textId="77777777">
      <w:pPr>
        <w:ind w:firstLine="720"/>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Prin urmare, se justifică participarea recurentei în proces, având calitate procesuală pasivă în cererea de chemare în garanţie formulată de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w:t>
      </w:r>
    </w:p>
    <w:p w:rsidRPr="00B14C29" w:rsidR="00E8435E" w14:paraId="2AB0A080"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i/>
          <w:lang w:val="pt-PT"/>
        </w:rPr>
        <w:t>Excepţia inadmisibilităţii</w:t>
      </w:r>
      <w:r w:rsidRPr="00B14C29">
        <w:rPr>
          <w:rStyle w:val="Fontdeparagrafimplicit"/>
          <w:rFonts w:ascii="Bookman Old Style" w:hAnsi="Bookman Old Style"/>
          <w:lang w:val="pt-PT"/>
        </w:rPr>
        <w:t xml:space="preserve"> acţiunii şi a cererii de chemare în garanţie, invocată de recurenta ANAF, motivată de faptul neformulării unei cereri de restituire de către pârâta intimată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în conformitate cu dispoziţiile art. 117 din O.G. nr. 92/2003 şi ale O.M.F.P. nr. 1899/2004 şi art. 33 din O.G. nr. 92/2003, se impune a fi cercetată ulterior cercetării caracterului fondat al acţiunii formulate împotriva pârâtei intimate – fostul angajator al reclamantei,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în condiţiile în care doar în măsura în care se verifică temeinicia contestaţiei împotriva modului de calculare şi stabilire a impozitului de către angajator, se justifică apoi, ca un pas următor, verificarea urmării procedurii legale de recuperare faţă de autoritatea de stat care a primit în final sumele reţinute.</w:t>
      </w:r>
    </w:p>
    <w:p w:rsidRPr="00B14C29" w:rsidR="00E8435E" w14:paraId="550A2258"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r>
      <w:r w:rsidRPr="00B14C29">
        <w:rPr>
          <w:rStyle w:val="Fontdeparagrafimplicit"/>
          <w:rFonts w:ascii="Bookman Old Style" w:hAnsi="Bookman Old Style"/>
          <w:i/>
          <w:lang w:val="pt-PT"/>
        </w:rPr>
        <w:t>Pe fondul cauzei</w:t>
      </w:r>
      <w:r w:rsidRPr="00B14C29">
        <w:rPr>
          <w:rStyle w:val="Fontdeparagrafimplicit"/>
          <w:rFonts w:ascii="Bookman Old Style" w:hAnsi="Bookman Old Style"/>
          <w:lang w:val="pt-PT"/>
        </w:rPr>
        <w:t>, Curtea constată că sunt fondate criticile aduse de recurente hotărârii atacate, fiind incident motivul de nelegalitate prevăzut de art. 304 pct. 9 C.pr.civ..</w:t>
      </w:r>
    </w:p>
    <w:p w:rsidRPr="00B14C29" w:rsidR="00E8435E" w14:paraId="00D46DA1" w14:textId="77777777">
      <w:pPr>
        <w:jc w:val="both"/>
        <w:rPr>
          <w:rStyle w:val="Fontdeparagrafimplicit"/>
          <w:rFonts w:ascii="Bookman Old Style" w:hAnsi="Bookman Old Style"/>
          <w:lang w:val="pt-PT"/>
        </w:rPr>
      </w:pPr>
      <w:r w:rsidRPr="00B14C29">
        <w:rPr>
          <w:rStyle w:val="Fontdeparagrafimplicit"/>
          <w:rFonts w:ascii="Bookman Old Style" w:hAnsi="Bookman Old Style"/>
          <w:lang w:val="pt-PT"/>
        </w:rPr>
        <w:tab/>
        <w:t xml:space="preserve">Astfel, reclamantul a beneficiat cu ocazia concedierii sale de o indemnizaţie de concediere acordată în temeiul art. 50 din Contractul Colectiv de Muncă la Nivel de Unitate şi pct. 4 din Planul Social, anexă la contractul colectiv de muncă, </w:t>
      </w:r>
      <w:r w:rsidRPr="00B14C29">
        <w:rPr>
          <w:rStyle w:val="Fontdeparagrafimplicit"/>
          <w:rFonts w:ascii="Bookman Old Style" w:hAnsi="Bookman Old Style"/>
          <w:lang w:val="pt-PT"/>
        </w:rPr>
        <w:t xml:space="preserve">determinată raportat la vechimea reclamantului în cadrul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şi la salariul mediu brut pe unitate. </w:t>
      </w:r>
    </w:p>
    <w:p w:rsidRPr="00B14C29" w:rsidR="00E8435E" w14:paraId="707E5CE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Potrivit dispoziţiilor art. 55 alin. 2 lit. k din Codul fiscal coroborate cu dispoziţiile pct. 68 lit. l din Normele Metodologice de aplicare a Legii nr. 571/2003 privind Codul fiscal, aprobate prin H.G. nr. 44/2004, cu modificările şi completările ulterioare, sunt asimilate salariilor şi, prin urmare, sunt supuse impozitării, „sumele acordate cu titlu de compensaţii băneşti individuale, acordate persoanelor disponibilizate prin concedieri colective, din fondul de salarii, potrivit dispoziţiilor prevăzute în contractul de muncă”. </w:t>
      </w:r>
    </w:p>
    <w:p w:rsidRPr="00B14C29" w:rsidR="00E8435E" w14:paraId="3ABFED14"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en-US"/>
        </w:rPr>
        <w:t xml:space="preserve">Este </w:t>
      </w:r>
      <w:r w:rsidRPr="00B14C29">
        <w:rPr>
          <w:rStyle w:val="Fontdeparagrafimplicit"/>
          <w:rFonts w:ascii="Bookman Old Style" w:hAnsi="Bookman Old Style"/>
          <w:lang w:val="en-US"/>
        </w:rPr>
        <w:t>adevărat</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că</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potrivit</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en-US"/>
        </w:rPr>
        <w:t>dispoziţiilor</w:t>
      </w:r>
      <w:r w:rsidRPr="00B14C29">
        <w:rPr>
          <w:rStyle w:val="Fontdeparagrafimplicit"/>
          <w:rFonts w:ascii="Bookman Old Style" w:hAnsi="Bookman Old Style"/>
          <w:lang w:val="en-US"/>
        </w:rPr>
        <w:t xml:space="preserve"> art. 55 </w:t>
      </w:r>
      <w:r w:rsidRPr="00B14C29">
        <w:rPr>
          <w:rStyle w:val="Fontdeparagrafimplicit"/>
          <w:rFonts w:ascii="Bookman Old Style" w:hAnsi="Bookman Old Style"/>
          <w:lang w:val="en-US"/>
        </w:rPr>
        <w:t>alin</w:t>
      </w:r>
      <w:r w:rsidRPr="00B14C29">
        <w:rPr>
          <w:rStyle w:val="Fontdeparagrafimplicit"/>
          <w:rFonts w:ascii="Bookman Old Style" w:hAnsi="Bookman Old Style"/>
          <w:lang w:val="en-US"/>
        </w:rPr>
        <w:t xml:space="preserve">. </w:t>
      </w:r>
      <w:r w:rsidRPr="00B14C29">
        <w:rPr>
          <w:rStyle w:val="Fontdeparagrafimplicit"/>
          <w:rFonts w:ascii="Bookman Old Style" w:hAnsi="Bookman Old Style"/>
          <w:lang w:val="pt-PT"/>
        </w:rPr>
        <w:t>4 lit. j din Legea nr. 571/2003 privind Codul Fiscal, reţinute de prima instanţă ca temei pentru admiterea pretenţiilor reclamantei, nu sunt incluse în veniturile salariale şi nu sunt impozabile „sumele reprezentând plăţile compensatorii, calculate pe baza salariilor medii nete pe unitate, primite de persoanele ale căror contracte individuale de muncă au fost desfăcute ca urmare a concedierilor colective, precum şi sumele reprezentând plăţile compensatorii, calculate pe baza salariului mediu net pe economie, primite de personalul civil din sectorul de apărare naţională, ordine publică şi siguranţă naţională la încetarea raporturilor de muncă sau de serviciu, ca urmare a nevoilor de reducere şi de restructurare, acordate potrivit legii”, însă reclamanta nu se găseşte în ipoteza reglementată de acest text legal.</w:t>
      </w:r>
    </w:p>
    <w:p w:rsidRPr="00B14C29" w:rsidR="00E8435E" w14:paraId="6FF6FCBE" w14:textId="3E086B3F">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Astfel, prevederile art. 55 alin. 4 lit. j impun două condiţii în ceea ce priveşte exceptarea de la impozitul pe venit şi anume, plăţile compensatorii să fie acordate potrivit legii şi să fie calculate pe baza salariului mediu net pe unitate, or, reclamanta a beneficiat de o indemnizaţie de concediere în baza prevederilor Contractului Colectiv de Muncă încheiat la Nivel de </w:t>
      </w:r>
      <w:r w:rsidRPr="00B14C29" w:rsidR="006A402A">
        <w:rPr>
          <w:rStyle w:val="Fontdeparagrafimplicit"/>
          <w:rFonts w:ascii="Bookman Old Style" w:hAnsi="Bookman Old Style"/>
          <w:lang w:val="pt-PT"/>
        </w:rPr>
        <w:t>1</w:t>
      </w:r>
      <w:r w:rsidRPr="00B14C29">
        <w:rPr>
          <w:rStyle w:val="Fontdeparagrafimplicit"/>
          <w:rFonts w:ascii="Bookman Old Style" w:hAnsi="Bookman Old Style"/>
          <w:lang w:val="pt-PT"/>
        </w:rPr>
        <w:t>, din fondurile proprii ale acestei unităţi, şi nu în temeiul unei dispoziţii legale, iar această indemnizaţie a fost calculată prin raportare la salariul mediu brut pe unitate şi nicidecum în funcţie de salariul net cum se impune prin cerinţa textului legal menţionat anterior.</w:t>
      </w:r>
    </w:p>
    <w:p w:rsidRPr="00B14C29" w:rsidR="00E8435E" w14:paraId="714AF51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Se constată astfel că dispoziţiilor art. 55 alin. 2 lit. k din Codul fiscal coroborate cu dispoziţiile pct. 68 lit. l din Normele Metodologice de aplicare a Legii nr. 571/2003 privind Codul fiscal, aprobate prin H.G. nr. 44/2004, cu modificările şi completările ulterioare, şi dispoziţiile art. 55 alin. 4 lit. j) din Codul fiscal, reglementează două situaţii diferite, neputându-se considera, cum eronat s-a apreciat de către prima instanţă, că prin prevederile cuprinse la pct. 68 lit. l din Normele Metodologice se adaugă la actul normativ în baza căruia acestea au fost adoptate.</w:t>
      </w:r>
    </w:p>
    <w:p w:rsidRPr="00B14C29" w:rsidR="00E8435E" w14:paraId="63AA4F8C"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Fiind vorba de compensaţii băneşti acordate sub forma unei indemnizaţii de concediere, plătite de către pârâta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din fonduri proprii, ele sunt considerate venituri asimilate salariilor şi, prin urmare, sunt supuse impozitării, astfel că este neîntemeiată cererea privind restituirea sumelor reţinute cu titlu de impozit pe venit, impozitarea fiind în concordanţă cu prevederile legale menţionate anterior.</w:t>
      </w:r>
    </w:p>
    <w:p w:rsidRPr="00B14C29" w:rsidR="00E8435E" w14:paraId="17BA8AFF"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Aşa fiind, având în vedere considerentele expuse, în temeiul dispoziţiilor art. 312 alin. 1 şi 3 raportat la art. 304 pct. 9 C.proc.civ., Curtea va admite recursurile declarate cu consecinţa modificări în parte a sentinţei atacate în sensul respingerii, ca neîntemeiată, a acţiunii formulate de reclamant, fiind superfluu a mai cerceta celelalte motive de recurs invocate.</w:t>
      </w:r>
    </w:p>
    <w:p w:rsidRPr="00B14C29" w:rsidR="00E8435E" w14:paraId="6A732A02"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Ca urmare a respingerii acţiunii reclamantului, va fi respinsă cererea de chemare în garanţie formulată de pârâtă, urmând a fi înlăturată şi dispoziţia instanţei de obligare a pârâtei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şi a chematei în garanţie Agenţia </w:t>
      </w:r>
      <w:r w:rsidRPr="00B14C29">
        <w:rPr>
          <w:rStyle w:val="Fontdeparagrafimplicit"/>
          <w:rFonts w:ascii="Bookman Old Style" w:hAnsi="Bookman Old Style"/>
          <w:lang w:val="pt-PT"/>
        </w:rPr>
        <w:t>Naţională de Administrare Fiscală - Direcţia Generală de Administrare a Marilor Contribuabili la plata cheltuielilor de judecată la fondul cauzei.</w:t>
      </w:r>
    </w:p>
    <w:p w:rsidRPr="00B14C29" w:rsidR="00E8435E" w14:paraId="5F1F729B"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temeiul dispoziţiilor art. 274 C.pr.civ., reclamanta va fi obligat să plătească pârâtei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suma de 1.044,03 lei, cheltuieli de judecată la fondul cauzei, reprezentând onorariu avocaţial, cheltuieli calculate având în vedere toate fazele procesuale ale prezentului litigiu.</w:t>
      </w:r>
    </w:p>
    <w:p w:rsidRPr="00B14C29" w:rsidR="00E8435E" w14:paraId="547C8304"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Vor fi menţinute celelalte dispoziţii ale sentinţei care nu contravin celor dispuse în recurs, ca urmare a înlăturării unor motive de recurs, conform celor ce preced, sau a faptului nerecurării unor dispoziţii ale tribunalului.</w:t>
      </w:r>
    </w:p>
    <w:p w:rsidRPr="00B14C29" w:rsidR="00E8435E" w14:paraId="47BB2112" w14:textId="77777777">
      <w:pPr>
        <w:ind w:firstLine="708"/>
        <w:jc w:val="center"/>
        <w:rPr>
          <w:rStyle w:val="Fontdeparagrafimplicit"/>
          <w:rFonts w:ascii="Bookman Old Style" w:hAnsi="Bookman Old Style"/>
          <w:lang w:val="pt-PT"/>
        </w:rPr>
      </w:pPr>
    </w:p>
    <w:p w:rsidRPr="00B14C29" w:rsidR="00E8435E" w14:paraId="70F0899A" w14:textId="77777777">
      <w:pPr>
        <w:ind w:firstLine="708"/>
        <w:jc w:val="center"/>
        <w:rPr>
          <w:rStyle w:val="Fontdeparagrafimplicit"/>
          <w:rFonts w:ascii="Bookman Old Style" w:hAnsi="Bookman Old Style"/>
          <w:lang w:val="pt-PT"/>
        </w:rPr>
      </w:pPr>
    </w:p>
    <w:p w:rsidRPr="00B14C29" w:rsidR="00E8435E" w14:paraId="56DBBF85" w14:textId="77777777">
      <w:pPr>
        <w:ind w:firstLine="708"/>
        <w:jc w:val="center"/>
        <w:rPr>
          <w:rStyle w:val="Fontdeparagrafimplicit"/>
          <w:rFonts w:ascii="Bookman Old Style" w:hAnsi="Bookman Old Style"/>
          <w:lang w:val="pt-PT"/>
        </w:rPr>
      </w:pPr>
    </w:p>
    <w:p w:rsidRPr="00B14C29" w:rsidR="00E8435E" w14:paraId="474F44C8" w14:textId="77777777">
      <w:pPr>
        <w:ind w:firstLine="708"/>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PENTRU ACESTE MOTIVE </w:t>
      </w:r>
    </w:p>
    <w:p w:rsidRPr="00B14C29" w:rsidR="00E8435E" w14:paraId="470E82F9" w14:textId="77777777">
      <w:pPr>
        <w:ind w:firstLine="708"/>
        <w:jc w:val="center"/>
        <w:rPr>
          <w:rStyle w:val="Fontdeparagrafimplicit"/>
          <w:rFonts w:ascii="Bookman Old Style" w:hAnsi="Bookman Old Style"/>
          <w:lang w:val="pt-PT"/>
        </w:rPr>
      </w:pPr>
      <w:r w:rsidRPr="00B14C29">
        <w:rPr>
          <w:rStyle w:val="Fontdeparagrafimplicit"/>
          <w:rFonts w:ascii="Bookman Old Style" w:hAnsi="Bookman Old Style"/>
          <w:lang w:val="pt-PT"/>
        </w:rPr>
        <w:t xml:space="preserve">ÎN NUMELE LEGII </w:t>
      </w:r>
    </w:p>
    <w:p w:rsidRPr="00B14C29" w:rsidR="00E8435E" w14:paraId="12C36DE4" w14:textId="77777777">
      <w:pPr>
        <w:ind w:firstLine="708"/>
        <w:jc w:val="center"/>
        <w:rPr>
          <w:rStyle w:val="Fontdeparagrafimplicit"/>
          <w:rFonts w:ascii="Bookman Old Style" w:hAnsi="Bookman Old Style"/>
          <w:lang w:val="pt-PT"/>
        </w:rPr>
      </w:pPr>
      <w:r w:rsidRPr="00B14C29">
        <w:rPr>
          <w:rStyle w:val="Fontdeparagrafimplicit"/>
          <w:rFonts w:ascii="Bookman Old Style" w:hAnsi="Bookman Old Style"/>
          <w:lang w:val="pt-PT"/>
        </w:rPr>
        <w:t>D E C I D E:</w:t>
      </w:r>
    </w:p>
    <w:p w:rsidRPr="00B14C29" w:rsidR="00E8435E" w14:paraId="6E5B78BA" w14:textId="77777777">
      <w:pPr>
        <w:ind w:firstLine="708"/>
        <w:jc w:val="center"/>
        <w:rPr>
          <w:rStyle w:val="Fontdeparagrafimplicit"/>
          <w:rFonts w:ascii="Bookman Old Style" w:hAnsi="Bookman Old Style"/>
          <w:lang w:val="pt-PT"/>
        </w:rPr>
      </w:pPr>
    </w:p>
    <w:p w:rsidRPr="00B14C29" w:rsidR="00E8435E" w14:paraId="46335A8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Admite recursurile declarate de pârâta S.C.</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 xml:space="preserve">SA si de chemata în garanţie AGENTIA NATIONALĂ DE ADMINISTRARE FISCALĂ SA împotriva sentinţei civile nr.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din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 a Tribunalului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 xml:space="preserve">pronunţată în dosarul nr. </w:t>
      </w:r>
      <w:r w:rsidRPr="00B14C29" w:rsidR="006A402A">
        <w:rPr>
          <w:rStyle w:val="Fontdeparagrafimplicit"/>
          <w:rFonts w:ascii="Bookman Old Style" w:hAnsi="Bookman Old Style"/>
          <w:lang w:val="pt-PT"/>
        </w:rPr>
        <w:t>17</w:t>
      </w:r>
      <w:r w:rsidRPr="00B14C29">
        <w:rPr>
          <w:rStyle w:val="Fontdeparagrafimplicit"/>
          <w:rFonts w:ascii="Bookman Old Style" w:hAnsi="Bookman Old Style"/>
          <w:lang w:val="pt-PT"/>
        </w:rPr>
        <w:t xml:space="preserve">*, pe care o modifică în parte şi, în consecinţă, respinge ca nefondată acţiunea formulată de reclamantul </w:t>
      </w:r>
      <w:r w:rsidRPr="00B14C29" w:rsidR="006A402A">
        <w:rPr>
          <w:rStyle w:val="Fontdeparagrafimplicit"/>
          <w:rFonts w:ascii="Bookman Old Style" w:hAnsi="Bookman Old Style"/>
          <w:lang w:val="pt-PT"/>
        </w:rPr>
        <w:t>2</w:t>
      </w:r>
      <w:r w:rsidRPr="00B14C29">
        <w:rPr>
          <w:rStyle w:val="Fontdeparagrafimplicit"/>
          <w:rFonts w:ascii="Bookman Old Style" w:hAnsi="Bookman Old Style"/>
          <w:lang w:val="pt-PT"/>
        </w:rPr>
        <w:t xml:space="preserve"> împotriva pârâtei S.C. </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w:t>
      </w:r>
    </w:p>
    <w:p w:rsidRPr="00B14C29" w:rsidR="00E8435E" w14:paraId="3B25AB1D"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Respinge ca nefondată cererea de chemare în garanţie formulată de pârâta S.C.</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împotriva chematei în garanţie AGENTIA NATIONALĂ DE ADMINISTRARE FISCALĂ - DIRECŢIA GENERALĂ DE ADMINISTRARE A MARILOR CONTRIBUABILI.</w:t>
      </w:r>
    </w:p>
    <w:p w:rsidRPr="00B14C29" w:rsidR="00E8435E" w14:paraId="2F2253D9" w14:textId="4D8D0269">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Obligă </w:t>
      </w:r>
      <w:r w:rsidRPr="00B14C29" w:rsidR="0073563B">
        <w:rPr>
          <w:rStyle w:val="Fontdeparagrafimplicit"/>
          <w:rFonts w:ascii="Bookman Old Style" w:hAnsi="Bookman Old Style"/>
          <w:lang w:val="pt-PT"/>
        </w:rPr>
        <w:t>reclamantul</w:t>
      </w:r>
      <w:r w:rsidRPr="00B14C29">
        <w:rPr>
          <w:rStyle w:val="Fontdeparagrafimplicit"/>
          <w:rFonts w:ascii="Bookman Old Style" w:hAnsi="Bookman Old Style"/>
          <w:lang w:val="pt-PT"/>
        </w:rPr>
        <w:t xml:space="preserve"> la plata în favoarea pârâtei S.C.</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a sumei de 1.044,03 lei cu titlu de cheltuieli de judecată în primul ciclu procesual şi în rejudecare.</w:t>
      </w:r>
    </w:p>
    <w:p w:rsidRPr="00B14C29" w:rsidR="00E8435E" w14:paraId="52F77D47"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Înlătură obligaţia pârâtei S.C.</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de a plăti reclamantei suma de 1500 lei cheltuieli de judecată în primul ciclu procesual şi în rejudecare.</w:t>
      </w:r>
    </w:p>
    <w:p w:rsidRPr="00B14C29" w:rsidR="00E8435E" w14:paraId="7B8DF7A3"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Înlătură obligaţia chematei în garanţei AGENTIA NATIONALĂ DE ADMINISTRARE FISCALĂ - DIRECŢIA GENERALĂ DE ADMINISTRARE A MARILOR CONTRIBUABILI de a plăti pârâtei S.C.</w:t>
      </w:r>
      <w:r w:rsidRPr="00B14C29" w:rsidR="006A402A">
        <w:rPr>
          <w:rStyle w:val="Fontdeparagrafimplicit"/>
          <w:rFonts w:ascii="Bookman Old Style" w:hAnsi="Bookman Old Style"/>
          <w:lang w:val="pt-PT"/>
        </w:rPr>
        <w:t xml:space="preserve">1 </w:t>
      </w:r>
      <w:r w:rsidRPr="00B14C29">
        <w:rPr>
          <w:rStyle w:val="Fontdeparagrafimplicit"/>
          <w:rFonts w:ascii="Bookman Old Style" w:hAnsi="Bookman Old Style"/>
          <w:lang w:val="pt-PT"/>
        </w:rPr>
        <w:t>SA suma de 522,51 lei cu titlu de cheltuieli de judecată parţiale în primul ciclul procesual şi în rejudecare.</w:t>
      </w:r>
    </w:p>
    <w:p w:rsidRPr="00B14C29" w:rsidR="00E8435E" w14:paraId="1062292B"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Menţine restul dispoziţiilor sentinţei care nu contravin prezentei decizii.</w:t>
      </w:r>
    </w:p>
    <w:p w:rsidRPr="00B14C29" w:rsidR="00E8435E" w14:paraId="20D22154"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Decizia este irevocabilă.</w:t>
      </w:r>
    </w:p>
    <w:p w:rsidRPr="00B14C29" w:rsidR="00E8435E" w14:paraId="38554AAA" w14:textId="77777777">
      <w:pPr>
        <w:ind w:firstLine="708"/>
        <w:jc w:val="both"/>
        <w:rPr>
          <w:rStyle w:val="Fontdeparagrafimplicit"/>
          <w:rFonts w:ascii="Bookman Old Style" w:hAnsi="Bookman Old Style"/>
          <w:lang w:val="pt-PT"/>
        </w:rPr>
      </w:pPr>
      <w:r w:rsidRPr="00B14C29">
        <w:rPr>
          <w:rStyle w:val="Fontdeparagrafimplicit"/>
          <w:rFonts w:ascii="Bookman Old Style" w:hAnsi="Bookman Old Style"/>
          <w:lang w:val="pt-PT"/>
        </w:rPr>
        <w:t xml:space="preserve">Dată şi pronunţată în şedinţa publică din </w:t>
      </w:r>
      <w:r w:rsidRPr="00B14C29" w:rsidR="006A402A">
        <w:rPr>
          <w:rStyle w:val="Fontdeparagrafimplicit"/>
          <w:rFonts w:ascii="Bookman Old Style" w:hAnsi="Bookman Old Style"/>
          <w:lang w:val="pt-PT"/>
        </w:rPr>
        <w:t>.............</w:t>
      </w:r>
      <w:r w:rsidRPr="00B14C29">
        <w:rPr>
          <w:rStyle w:val="Fontdeparagrafimplicit"/>
          <w:rFonts w:ascii="Bookman Old Style" w:hAnsi="Bookman Old Style"/>
          <w:lang w:val="pt-PT"/>
        </w:rPr>
        <w:t>.</w:t>
      </w:r>
    </w:p>
    <w:p w:rsidRPr="00B14C29" w:rsidR="00E8435E" w14:paraId="3B1E299C" w14:textId="77777777">
      <w:pPr>
        <w:ind w:firstLine="708"/>
        <w:jc w:val="both"/>
        <w:rPr>
          <w:rStyle w:val="Fontdeparagrafimplicit"/>
          <w:rFonts w:ascii="Bookman Old Style" w:hAnsi="Bookman Old Style"/>
          <w:lang w:val="pt-PT"/>
        </w:rPr>
      </w:pPr>
    </w:p>
    <w:p w:rsidRPr="00B14C29" w:rsidR="00E8435E" w14:paraId="0F2F14F3" w14:textId="77777777">
      <w:pPr>
        <w:rPr>
          <w:rStyle w:val="Fontdeparagrafimplicit"/>
          <w:rFonts w:ascii="Bookman Old Style" w:hAnsi="Bookman Old Style"/>
          <w:b/>
          <w:sz w:val="22"/>
          <w:lang w:val="pt-PT"/>
        </w:rPr>
      </w:pPr>
      <w:r w:rsidRPr="00B14C29">
        <w:rPr>
          <w:rStyle w:val="Fontdeparagrafimplicit"/>
          <w:rFonts w:ascii="Bookman Old Style" w:hAnsi="Bookman Old Style"/>
          <w:lang w:val="pt-PT"/>
        </w:rPr>
        <w:t xml:space="preserve">  </w:t>
      </w:r>
      <w:r w:rsidRPr="00B14C29">
        <w:rPr>
          <w:rStyle w:val="Fontdeparagrafimplicit"/>
          <w:rFonts w:ascii="Bookman Old Style" w:hAnsi="Bookman Old Style"/>
          <w:b/>
          <w:sz w:val="22"/>
          <w:lang w:val="pt-PT"/>
        </w:rPr>
        <w:t xml:space="preserve">PREŞEDINTE                                                   JUDECĂTORI </w:t>
      </w:r>
    </w:p>
    <w:p w:rsidRPr="00B14C29" w:rsidR="00E8435E" w:rsidP="006A402A" w14:paraId="1C436880" w14:textId="77777777">
      <w:pPr>
        <w:rPr>
          <w:rStyle w:val="Fontdeparagrafimplicit"/>
          <w:rFonts w:ascii="Bookman Old Style" w:hAnsi="Bookman Old Style"/>
          <w:b/>
          <w:sz w:val="22"/>
          <w:lang w:val="pt-PT"/>
        </w:rPr>
      </w:pPr>
      <w:r w:rsidRPr="00B14C29">
        <w:rPr>
          <w:rStyle w:val="Fontdeparagrafimplicit"/>
          <w:rFonts w:ascii="Bookman Old Style" w:hAnsi="Bookman Old Style"/>
          <w:b/>
          <w:sz w:val="22"/>
          <w:lang w:val="pt-PT"/>
        </w:rPr>
        <w:t xml:space="preserve">         ............. </w:t>
      </w:r>
      <w:r w:rsidRPr="00B14C29" w:rsidR="00220795">
        <w:rPr>
          <w:rStyle w:val="Fontdeparagrafimplicit"/>
          <w:rFonts w:ascii="Bookman Old Style" w:hAnsi="Bookman Old Style"/>
          <w:b/>
          <w:sz w:val="22"/>
          <w:lang w:val="pt-PT"/>
        </w:rPr>
        <w:t xml:space="preserve">               </w:t>
      </w:r>
      <w:r w:rsidRPr="00B14C29">
        <w:rPr>
          <w:rStyle w:val="Fontdeparagrafimplicit"/>
          <w:rFonts w:ascii="Bookman Old Style" w:hAnsi="Bookman Old Style"/>
          <w:b/>
          <w:sz w:val="22"/>
          <w:lang w:val="pt-PT"/>
        </w:rPr>
        <w:t xml:space="preserve">                              </w:t>
      </w:r>
      <w:r w:rsidRPr="00B14C29" w:rsidR="00220795">
        <w:rPr>
          <w:rStyle w:val="Fontdeparagrafimplicit"/>
          <w:rFonts w:ascii="Bookman Old Style" w:hAnsi="Bookman Old Style"/>
          <w:b/>
          <w:sz w:val="22"/>
          <w:lang w:val="pt-PT"/>
        </w:rPr>
        <w:t xml:space="preserve"> </w:t>
      </w:r>
      <w:r w:rsidRPr="00B14C29">
        <w:rPr>
          <w:rStyle w:val="Fontdeparagrafimplicit"/>
          <w:rFonts w:ascii="Bookman Old Style" w:hAnsi="Bookman Old Style"/>
          <w:b/>
          <w:sz w:val="22"/>
          <w:lang w:val="pt-PT"/>
        </w:rPr>
        <w:t xml:space="preserve">............. </w:t>
      </w:r>
      <w:r w:rsidRPr="00B14C29" w:rsidR="00220795">
        <w:rPr>
          <w:rStyle w:val="Fontdeparagrafimplicit"/>
          <w:rFonts w:ascii="Bookman Old Style" w:hAnsi="Bookman Old Style"/>
          <w:b/>
          <w:sz w:val="22"/>
          <w:lang w:val="pt-PT"/>
        </w:rPr>
        <w:t xml:space="preserve">     </w:t>
      </w:r>
      <w:r w:rsidRPr="00B14C29">
        <w:rPr>
          <w:rStyle w:val="Fontdeparagrafimplicit"/>
          <w:rFonts w:ascii="Bookman Old Style" w:hAnsi="Bookman Old Style"/>
          <w:b/>
          <w:sz w:val="22"/>
          <w:lang w:val="pt-PT"/>
        </w:rPr>
        <w:t>A0019</w:t>
      </w:r>
      <w:r w:rsidRPr="00B14C29" w:rsidR="00220795">
        <w:rPr>
          <w:rStyle w:val="Fontdeparagrafimplicit"/>
          <w:rFonts w:ascii="Bookman Old Style" w:hAnsi="Bookman Old Style"/>
          <w:b/>
          <w:sz w:val="22"/>
          <w:lang w:val="pt-PT"/>
        </w:rPr>
        <w:t xml:space="preserve">    </w:t>
      </w:r>
    </w:p>
    <w:p w:rsidRPr="00B14C29" w:rsidR="00E8435E" w14:paraId="610CAF25" w14:textId="77777777">
      <w:pPr>
        <w:rPr>
          <w:rStyle w:val="Fontdeparagrafimplicit"/>
          <w:rFonts w:ascii="Bookman Old Style" w:hAnsi="Bookman Old Style"/>
          <w:b/>
          <w:sz w:val="22"/>
          <w:lang w:val="pt-PT"/>
        </w:rPr>
      </w:pPr>
    </w:p>
    <w:p w:rsidRPr="00B14C29" w:rsidR="00E8435E" w14:paraId="3EA80492" w14:textId="77777777">
      <w:pPr>
        <w:rPr>
          <w:rStyle w:val="Fontdeparagrafimplicit"/>
          <w:rFonts w:ascii="Bookman Old Style" w:hAnsi="Bookman Old Style"/>
          <w:b/>
          <w:sz w:val="22"/>
          <w:lang w:val="pt-PT"/>
        </w:rPr>
      </w:pPr>
    </w:p>
    <w:p w:rsidRPr="00B14C29" w:rsidR="00E8435E" w14:paraId="4EC41E9E" w14:textId="77777777">
      <w:pPr>
        <w:jc w:val="center"/>
        <w:rPr>
          <w:rStyle w:val="Fontdeparagrafimplicit"/>
          <w:rFonts w:ascii="Bookman Old Style" w:hAnsi="Bookman Old Style"/>
          <w:b/>
          <w:sz w:val="22"/>
          <w:lang w:val="pt-PT"/>
        </w:rPr>
      </w:pPr>
      <w:r w:rsidRPr="00B14C29">
        <w:rPr>
          <w:rStyle w:val="Fontdeparagrafimplicit"/>
          <w:rFonts w:ascii="Bookman Old Style" w:hAnsi="Bookman Old Style"/>
          <w:b/>
          <w:sz w:val="22"/>
          <w:lang w:val="pt-PT"/>
        </w:rPr>
        <w:t xml:space="preserve">                                                                                                GREFIER</w:t>
      </w:r>
    </w:p>
    <w:p w:rsidRPr="00B14C29" w:rsidR="00E8435E" w14:paraId="54D77B79" w14:textId="77777777">
      <w:pPr>
        <w:jc w:val="center"/>
        <w:rPr>
          <w:rStyle w:val="Fontdeparagrafimplicit"/>
          <w:rFonts w:ascii="Bookman Old Style" w:hAnsi="Bookman Old Style"/>
          <w:b/>
          <w:sz w:val="22"/>
          <w:lang w:val="pt-PT"/>
        </w:rPr>
      </w:pPr>
      <w:r w:rsidRPr="00B14C29">
        <w:rPr>
          <w:rStyle w:val="Fontdeparagrafimplicit"/>
          <w:rFonts w:ascii="Bookman Old Style" w:hAnsi="Bookman Old Style"/>
          <w:b/>
          <w:sz w:val="22"/>
          <w:lang w:val="pt-PT"/>
        </w:rPr>
        <w:t xml:space="preserve">                                                                                                </w:t>
      </w:r>
      <w:r w:rsidRPr="00B14C29" w:rsidR="006A402A">
        <w:rPr>
          <w:rStyle w:val="Fontdeparagrafimplicit"/>
          <w:rFonts w:ascii="Bookman Old Style" w:hAnsi="Bookman Old Style"/>
          <w:b/>
          <w:sz w:val="22"/>
          <w:lang w:val="pt-PT"/>
        </w:rPr>
        <w:t xml:space="preserve">................. </w:t>
      </w:r>
    </w:p>
    <w:p w:rsidRPr="00B14C29" w:rsidR="00E8435E" w14:paraId="69A8B642" w14:textId="77777777">
      <w:pPr>
        <w:rPr>
          <w:rStyle w:val="Fontdeparagrafimplicit"/>
          <w:rFonts w:ascii="Bookman Old Style" w:hAnsi="Bookman Old Style"/>
          <w:b/>
          <w:lang w:val="pt-PT"/>
        </w:rPr>
      </w:pPr>
    </w:p>
    <w:p w:rsidRPr="00B14C29" w:rsidR="00E8435E" w14:paraId="0864F200" w14:textId="77777777">
      <w:pPr>
        <w:rPr>
          <w:rStyle w:val="Fontdeparagrafimplicit"/>
          <w:rFonts w:ascii="Bookman Old Style" w:hAnsi="Bookman Old Style"/>
          <w:b/>
          <w:sz w:val="22"/>
          <w:lang w:val="pt-PT"/>
        </w:rPr>
      </w:pPr>
    </w:p>
    <w:p w:rsidRPr="00B14C29" w:rsidR="00E8435E" w14:paraId="23A48C52" w14:textId="77777777">
      <w:pPr>
        <w:jc w:val="both"/>
        <w:rPr>
          <w:rStyle w:val="Fontdeparagrafimplicit"/>
          <w:rFonts w:ascii="Bookman Old Style" w:hAnsi="Bookman Old Style"/>
          <w:sz w:val="16"/>
          <w:lang w:val="pt-PT"/>
        </w:rPr>
      </w:pPr>
    </w:p>
    <w:p w:rsidRPr="00B14C29" w:rsidR="00E8435E" w14:paraId="7AA7E09B" w14:textId="77777777">
      <w:pPr>
        <w:jc w:val="both"/>
        <w:rPr>
          <w:rStyle w:val="Fontdeparagrafimplicit"/>
          <w:rFonts w:ascii="Bookman Old Style" w:hAnsi="Bookman Old Style"/>
          <w:sz w:val="16"/>
          <w:lang w:val="pt-PT"/>
        </w:rPr>
      </w:pPr>
      <w:r w:rsidRPr="00B14C29">
        <w:rPr>
          <w:rStyle w:val="Fontdeparagrafimplicit"/>
          <w:rFonts w:ascii="Bookman Old Style" w:hAnsi="Bookman Old Style"/>
          <w:sz w:val="16"/>
          <w:lang w:val="pt-PT"/>
        </w:rPr>
        <w:t>Red.</w:t>
      </w:r>
      <w:r w:rsidRPr="00B14C29" w:rsidR="006A402A">
        <w:rPr>
          <w:rStyle w:val="Fontdeparagrafimplicit"/>
          <w:rFonts w:ascii="Bookman Old Style" w:hAnsi="Bookman Old Style"/>
          <w:sz w:val="16"/>
          <w:lang w:val="pt-PT"/>
        </w:rPr>
        <w:t>A0019</w:t>
      </w:r>
      <w:r w:rsidRPr="00B14C29">
        <w:rPr>
          <w:rStyle w:val="Fontdeparagrafimplicit"/>
          <w:rFonts w:ascii="Bookman Old Style" w:hAnsi="Bookman Old Style"/>
          <w:sz w:val="16"/>
          <w:lang w:val="pt-PT"/>
        </w:rPr>
        <w:t>/dact.</w:t>
      </w:r>
      <w:r w:rsidRPr="00B14C29" w:rsidR="006A402A">
        <w:rPr>
          <w:rStyle w:val="Fontdeparagrafimplicit"/>
          <w:rFonts w:ascii="Bookman Old Style" w:hAnsi="Bookman Old Style"/>
          <w:sz w:val="16"/>
          <w:lang w:val="pt-PT"/>
        </w:rPr>
        <w:t>..........</w:t>
      </w:r>
    </w:p>
    <w:p w:rsidRPr="00B14C29" w:rsidR="00E8435E" w14:paraId="15608AB4" w14:textId="77777777">
      <w:pPr>
        <w:jc w:val="both"/>
        <w:rPr>
          <w:rStyle w:val="Fontdeparagrafimplicit"/>
          <w:rFonts w:ascii="Bookman Old Style" w:hAnsi="Bookman Old Style"/>
          <w:sz w:val="16"/>
        </w:rPr>
      </w:pPr>
      <w:r w:rsidRPr="00B14C29">
        <w:rPr>
          <w:rStyle w:val="Fontdeparagrafimplicit"/>
          <w:rFonts w:ascii="Bookman Old Style" w:hAnsi="Bookman Old Style"/>
          <w:sz w:val="16"/>
        </w:rPr>
        <w:t>2ex./</w:t>
      </w:r>
      <w:r w:rsidRPr="00B14C29" w:rsidR="006A402A">
        <w:rPr>
          <w:rStyle w:val="Fontdeparagrafimplicit"/>
          <w:rFonts w:ascii="Bookman Old Style" w:hAnsi="Bookman Old Style"/>
          <w:sz w:val="16"/>
        </w:rPr>
        <w:t>............</w:t>
      </w:r>
    </w:p>
    <w:p w:rsidRPr="00B14C29" w:rsidR="00E8435E" w14:paraId="33B5E08D" w14:textId="77777777">
      <w:pPr>
        <w:rPr>
          <w:rStyle w:val="Fontdeparagrafimplicit"/>
          <w:rFonts w:ascii="Bookman Old Style" w:hAnsi="Bookman Old Style"/>
        </w:rPr>
      </w:pPr>
      <w:r w:rsidRPr="00B14C29">
        <w:rPr>
          <w:rStyle w:val="Fontdeparagrafimplicit"/>
          <w:rFonts w:ascii="Bookman Old Style" w:hAnsi="Bookman Old Style"/>
          <w:sz w:val="16"/>
        </w:rPr>
        <w:t xml:space="preserve">Jud.fond: </w:t>
      </w:r>
      <w:r w:rsidRPr="00B14C29" w:rsidR="006A402A">
        <w:rPr>
          <w:rStyle w:val="Fontdeparagrafimplicit"/>
          <w:rFonts w:ascii="Bookman Old Style" w:hAnsi="Bookman Old Style"/>
          <w:sz w:val="16"/>
        </w:rPr>
        <w:t>...............</w:t>
      </w:r>
    </w:p>
    <w:p w:rsidRPr="00B14C29" w:rsidR="00E8435E" w14:paraId="63744DCC" w14:textId="77777777">
      <w:pPr>
        <w:ind w:firstLine="720"/>
        <w:jc w:val="both"/>
        <w:rPr>
          <w:rStyle w:val="Fontdeparagrafimplicit"/>
          <w:b/>
          <w:i/>
        </w:rPr>
      </w:pPr>
    </w:p>
    <w:p w:rsidRPr="00B14C29" w:rsidR="00E8435E" w14:paraId="7FD97D5F" w14:textId="77777777">
      <w:pPr>
        <w:rPr>
          <w:rStyle w:val="Fontdeparagrafimplicit"/>
        </w:rPr>
      </w:pPr>
    </w:p>
    <w:p w:rsidRPr="00B14C29" w:rsidR="00E8435E" w14:paraId="55ABA5CA" w14:textId="77777777">
      <w:pPr>
        <w:rPr>
          <w:rStyle w:val="Fontdeparagrafimplici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8435E" w14:paraId="4647110E"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E8435E" w14:paraId="2F662A0B"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8435E" w14:paraId="0E423A69"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noProof/>
      </w:rPr>
      <w:t>1</w:t>
    </w:r>
    <w:r>
      <w:rPr>
        <w:rStyle w:val="Numrdepagin"/>
        <w:noProof/>
      </w:rPr>
      <w:t>3</w:t>
    </w:r>
    <w:r>
      <w:rPr>
        <w:rStyle w:val="Numrdepagin"/>
      </w:rPr>
      <w:fldChar w:fldCharType="end"/>
    </w:r>
  </w:p>
  <w:p w:rsidR="00E8435E" w14:paraId="1DC797F4"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35E"/>
    <w:rsid w:val="00007DE1"/>
    <w:rsid w:val="000E707F"/>
    <w:rsid w:val="00220795"/>
    <w:rsid w:val="00407B16"/>
    <w:rsid w:val="00487778"/>
    <w:rsid w:val="00527302"/>
    <w:rsid w:val="006843A4"/>
    <w:rsid w:val="006A402A"/>
    <w:rsid w:val="0073563B"/>
    <w:rsid w:val="00A702C8"/>
    <w:rsid w:val="00A913A9"/>
    <w:rsid w:val="00AE4783"/>
    <w:rsid w:val="00B14C29"/>
    <w:rsid w:val="00B169EE"/>
    <w:rsid w:val="00D24200"/>
    <w:rsid w:val="00E8435E"/>
    <w:rsid w:val="00F25E60"/>
    <w:rsid w:val="00FB1921"/>
  </w:rsids>
  <w:docVars>
    <w:docVar w:name="url" w:val="http://bd-cjca:80/ecris_cdms/document_upload.aspx?id_document=3300000000467975&amp;id_departament=3&amp;id_sesiune=307185&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57F6CE77"/>
  <w15:docId w15:val="{75C27FF6-9CAC-489A-8D49-B9A4405F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paragraph" w:customStyle="1" w:styleId="a">
    <w:name w:val="a"/>
    <w:basedOn w:val="Normal"/>
    <w:link w:val="Fontdeparagrafimplicit"/>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w:link w:val="a"/>
    <w:rPr>
      <w:lang w:val="pl-PL"/>
    </w:rPr>
  </w:style>
  <w:style w:type="character" w:customStyle="1" w:styleId="FontStyle30">
    <w:name w:val="Font Style30"/>
    <w:rPr>
      <w:rFonts w:ascii="Times New Roman" w:hAnsi="Times New Roman"/>
      <w:sz w:val="24"/>
    </w:rPr>
  </w:style>
  <w:style w:type="character" w:customStyle="1" w:styleId="FontStyle22">
    <w:name w:val="Font Style22"/>
    <w:rPr>
      <w:rFonts w:ascii="Times New Roman" w:hAnsi="Times New Roman"/>
      <w:sz w:val="20"/>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69</ap:TotalTime>
  <ap:Pages>13</ap:Pages>
  <ap:Words>7187</ap:Words>
  <ap:Characters>40970</ap:Characters>
  <ap:Application>Microsoft Office Word</ap:Application>
  <ap:DocSecurity>0</ap:DocSecurity>
  <ap:Lines>341</ap:Lines>
  <ap:Paragraphs>96</ap:Paragraphs>
  <ap:ScaleCrop>false</ap:ScaleCrop>
  <ap:CharactersWithSpaces>48061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