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footer1.xml" ContentType="application/vnd.openxmlformats-officedocument.wordprocessingml.footer+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rPr/>
      </w:pPr>
      <w:r>
        <w:rPr/>
        <w:t>Hot. 8</w:t>
      </w:r>
    </w:p>
    <w:p>
      <w:pPr>
        <w:pStyle w:val="Normal"/>
        <w:rPr/>
      </w:pPr>
      <w:r>
        <w:rPr/>
        <w:t>Dosar nr. D1</w:t>
      </w:r>
    </w:p>
    <w:p>
      <w:pPr>
        <w:pStyle w:val="Normal"/>
        <w:jc w:val="center"/>
        <w:rPr/>
      </w:pPr>
      <w:r>
        <w:rPr/>
      </w:r>
    </w:p>
    <w:p>
      <w:pPr>
        <w:pStyle w:val="Normal"/>
        <w:jc w:val="center"/>
        <w:rPr/>
      </w:pPr>
      <w:r>
        <w:rPr/>
      </w:r>
    </w:p>
    <w:p>
      <w:pPr>
        <w:pStyle w:val="Normal"/>
        <w:jc w:val="center"/>
        <w:rPr/>
      </w:pPr>
      <w:r>
        <w:rPr/>
        <w:t>R O M Â N I A</w:t>
      </w:r>
    </w:p>
    <w:p>
      <w:pPr>
        <w:pStyle w:val="Normal"/>
        <w:jc w:val="center"/>
        <w:rPr/>
      </w:pPr>
      <w:r>
        <w:rPr/>
        <w:t>CURTEA DE APEL ...</w:t>
      </w:r>
    </w:p>
    <w:p>
      <w:pPr>
        <w:pStyle w:val="Normal"/>
        <w:jc w:val="center"/>
        <w:rPr>
          <w:lang w:val="en-US"/>
        </w:rPr>
      </w:pPr>
      <w:r>
        <w:rPr/>
        <w:t>SECŢIA ....</w:t>
      </w:r>
    </w:p>
    <w:p>
      <w:pPr>
        <w:pStyle w:val="Normal"/>
        <w:jc w:val="center"/>
        <w:rPr/>
      </w:pPr>
      <w:r>
        <w:rPr/>
        <w:t>SENTINŢA Nr. ...</w:t>
      </w:r>
    </w:p>
    <w:p>
      <w:pPr>
        <w:pStyle w:val="Normal"/>
        <w:jc w:val="center"/>
        <w:rPr/>
      </w:pPr>
      <w:r>
        <w:rPr/>
        <w:t>Şedinţa </w:t>
      </w:r>
      <w:r>
        <w:rPr/>
      </w:r>
      <w:r>
        <w:rPr/>
      </w:r>
      <w:r>
        <w:rPr/>
      </w:r>
      <w:r>
        <w:rPr/>
        <w:t>publică</w:t>
      </w:r>
      <w:r>
        <w:rPr/>
      </w:r>
      <w:r>
        <w:rPr/>
      </w:r>
      <w:r>
        <w:rPr/>
        <w:t xml:space="preserve"> de la .... </w:t>
      </w:r>
    </w:p>
    <w:p>
      <w:pPr>
        <w:pStyle w:val="Normal"/>
        <w:jc w:val="center"/>
        <w:rPr/>
      </w:pPr>
      <w:r>
        <w:rPr/>
        <w:t>Completul compus din:</w:t>
      </w:r>
    </w:p>
    <w:p>
      <w:pPr>
        <w:pStyle w:val="Normal"/>
        <w:jc w:val="center"/>
        <w:rPr/>
      </w:pPr>
      <w:r>
        <w:rPr/>
        <w:t>PREŞEDINTE: A0006</w:t>
      </w:r>
    </w:p>
    <w:p>
      <w:pPr>
        <w:pStyle w:val="Normal"/>
        <w:jc w:val="center"/>
        <w:rPr/>
      </w:pPr>
      <w:r>
        <w:rPr/>
        <w:t>Grefier: ...</w:t>
      </w:r>
    </w:p>
    <w:p>
      <w:pPr>
        <w:pStyle w:val="Normal"/>
        <w:jc w:val="center"/>
        <w:rPr/>
      </w:pPr>
      <w:r>
        <w:rPr/>
      </w:r>
    </w:p>
    <w:p>
      <w:pPr>
        <w:pStyle w:val="Normal"/>
        <w:jc w:val="center"/>
        <w:rPr/>
      </w:pPr>
      <w:r>
        <w:rPr/>
        <w:t>x.x.</w:t>
      </w:r>
    </w:p>
    <w:p>
      <w:pPr>
        <w:pStyle w:val="Normal"/>
        <w:jc w:val="center"/>
        <w:rPr/>
      </w:pPr>
      <w:r>
        <w:rPr/>
      </w:r>
    </w:p>
    <w:p>
      <w:pPr>
        <w:pStyle w:val="Normal"/>
        <w:jc w:val="both"/>
        <w:rPr/>
      </w:pPr>
      <w:r>
        <w:rPr/>
        <w:tab/>
        <w:t>Pe rol rezultatul dezbaterilor privind acțiunea formulată de reclamanta R1, prin av.Av1, cu domiciliul ales în ..., în contradictoriu cu pârâtul Ministerul Dezvoltării Regionale şi Administraţiei Publice - Prin Inspectoratul de Stat în Construcţii, cu sediul ales în ..., având ca obiect anulare act administrativ .</w:t>
      </w:r>
    </w:p>
    <w:p>
      <w:pPr>
        <w:pStyle w:val="Normal"/>
        <w:jc w:val="both"/>
        <w:rPr/>
      </w:pPr>
      <w:r>
        <w:rPr/>
        <w:tab/>
        <w:t>Mersul dezbaterilor şi concluziile părţilor au fost consemnate în încheierea de şedinţă din data de ...,încheiere care parte parte integrantă din prezenta sentinţă şi, când instanţa a amânat pronunţarea la această dată având nevoie de timp pentru a delibera şi pentru a da posibilitatea părţilor să depună Concluzii scrise.</w:t>
      </w:r>
    </w:p>
    <w:p>
      <w:pPr>
        <w:pStyle w:val="Normal"/>
        <w:jc w:val="both"/>
        <w:rPr/>
      </w:pPr>
      <w:r>
        <w:rPr/>
        <w:tab/>
        <w:t>La data de ..., părţile au depus Concluzii scrise.</w:t>
      </w:r>
    </w:p>
    <w:p>
      <w:pPr>
        <w:pStyle w:val="Normal"/>
        <w:jc w:val="center"/>
        <w:rPr/>
      </w:pPr>
      <w:r>
        <w:rPr/>
      </w:r>
    </w:p>
    <w:p>
      <w:pPr>
        <w:pStyle w:val="Normal"/>
        <w:jc w:val="center"/>
        <w:rPr/>
      </w:pPr>
      <w:r>
        <w:rPr/>
        <w:t>C U R T E A:</w:t>
      </w:r>
    </w:p>
    <w:p>
      <w:pPr>
        <w:pStyle w:val="Normal"/>
        <w:jc w:val="center"/>
        <w:rPr/>
      </w:pPr>
      <w:r>
        <w:rPr/>
      </w:r>
    </w:p>
    <w:p>
      <w:pPr>
        <w:pStyle w:val="Normal"/>
        <w:ind w:right="0" w:firstLine="708"/>
        <w:jc w:val="both"/>
        <w:rPr/>
      </w:pPr>
      <w:r>
        <w:rPr/>
      </w:r>
    </w:p>
    <w:p>
      <w:pPr>
        <w:pStyle w:val="Normal"/>
        <w:ind w:right="0" w:firstLine="708"/>
        <w:jc w:val="both"/>
        <w:rPr>
          <w:szCs w:val="26"/>
        </w:rPr>
      </w:pPr>
      <w:r>
        <w:rPr>
          <w:szCs w:val="26"/>
        </w:rPr>
        <w:t xml:space="preserve">  </w:t>
      </w:r>
      <w:r>
        <w:rPr>
          <w:szCs w:val="26"/>
        </w:rPr>
        <w:t>Asupra cauzei de față,</w:t>
      </w:r>
    </w:p>
    <w:p>
      <w:pPr>
        <w:pStyle w:val="Normal"/>
        <w:ind w:right="0" w:firstLine="708"/>
        <w:jc w:val="both"/>
        <w:rPr/>
      </w:pPr>
      <w:r>
        <w:rPr/>
        <w:t>Prin cererea adresată la data de 22 aprilie 2020  şi înregistrată pe rolul instanței sub nr. D1</w:t>
      </w:r>
      <w:r>
        <w:rPr>
          <w:b/>
        </w:rPr>
        <w:t xml:space="preserve"> </w:t>
      </w:r>
      <w:r>
        <w:rPr/>
        <w:t xml:space="preserve">reclamanta R1, cu domiciliul procesual în municipiul ..., în contradictoriu cu pârâta M.D.R.A.P-PRIN INSPECTORATUL DE STAT ÎN CONSTRUCTII, cu sediul în ..., în termen legal a formulat </w:t>
      </w:r>
      <w:r>
        <w:rPr>
          <w:b/>
        </w:rPr>
        <w:t>contestație</w:t>
      </w:r>
      <w:r>
        <w:rPr/>
        <w:t xml:space="preserve"> prin care  a solicitat ca prin hotărârea ce se va pronunța să se dispună:anularea adresei / deciziei nr. ...6/20.12.2019 de soluționare a contestației formulată pe cale administrativă;anularea Ordinului nr. .... emis de către Inspectorul General al Inspectoratului de Stat în Construcții;</w:t>
      </w:r>
      <w:r>
        <w:rPr>
          <w:szCs w:val="26"/>
        </w:rPr>
        <w:t xml:space="preserve"> </w:t>
      </w:r>
      <w:r>
        <w:rPr/>
        <w:t>anularea parțială a Proceselor-verbale de control nr. ....1/06.03.2015, nr. ....2/11.03.2015 și nr. ....3/11.03.2015, cu privire la constatările și măsurile dispuse în sarcina reclamantei;</w:t>
      </w:r>
      <w:r>
        <w:rPr>
          <w:szCs w:val="26"/>
        </w:rPr>
        <w:t xml:space="preserve"> </w:t>
      </w:r>
      <w:r>
        <w:rPr/>
        <w:t>anularea Referatelor nr. ....0/15.09.2015 și nr. ....2/03.11.2015;</w:t>
      </w:r>
      <w:r>
        <w:rPr>
          <w:szCs w:val="26"/>
        </w:rPr>
        <w:t xml:space="preserve"> </w:t>
      </w:r>
      <w:r>
        <w:rPr/>
        <w:t>obligarea pârâtei la radierea sancțiunii din Registrul Diriginților de șantier Autorizați, având în vedere următoarele</w:t>
      </w:r>
    </w:p>
    <w:p>
      <w:pPr>
        <w:pStyle w:val="NoSpacing"/>
        <w:ind w:right="0" w:firstLine="709"/>
        <w:jc w:val="both"/>
        <w:rPr/>
      </w:pPr>
      <w:r>
        <w:rPr/>
        <w:t>A arătat că a avut calitatea de diriginte de șantier, în baza autorizației de diriginte de șantier nr. ....3/20.09.2011, la lucrările de construcție la obiectivele reabilitare, modernizare și echipare Școală Gimnazială A1, județul ..." din comuna A1B, "Reabilitare, modernizare și echipare Școala A2, comuna PM, județul ...” din localitatea A2B, comuna PM, și ”Reabilitare, modernizare și echipare Școala Primară PM, județul ...” din localitatea PM, comuna PM, obiective ce au fost supuse controlului de către organele Inspectoratului de Stat în Construcții.</w:t>
      </w:r>
    </w:p>
    <w:p>
      <w:pPr>
        <w:pStyle w:val="NoSpacing"/>
        <w:jc w:val="both"/>
        <w:rPr/>
      </w:pPr>
      <w:r>
        <w:rPr/>
        <w:tab/>
        <w:t>În urma acestor controale s-au întocmit de către organele de control ale I.S.C. procese-verbale de control în etapa de execuție a lucrărilor de construcții astfel: nr. ....1/06.03.2015 pentru obiectivul ”Reabilitare, modernizare și echipare Scoală Gimnazială A1, județul ..."; nr. ....2/11.03.2015 pentru obiectivul ”Reabilitare, modernizare și echipare Școala A2, comuna PM, județul ..."; nr. ....3/11.03.2015 pentru obiectivul ”Reabilitare, modernizare și echipare Școala Primară PM, județul ...” din localitatea PM, comuna PM.</w:t>
      </w:r>
    </w:p>
    <w:p>
      <w:pPr>
        <w:pStyle w:val="NoSpacing"/>
        <w:jc w:val="both"/>
        <w:rPr/>
      </w:pPr>
      <w:r>
        <w:rPr/>
        <w:tab/>
        <w:t>Împotriva proceselor-verbale de control anterior-menționate, contestatoarea în data de 16.03.2015 a formulat obiecțiuni Ia toate cele trei procese-verbale de control, fiind înregistrate sub nr. ...7 la Inspectoratul de Stat în Construcții - I.S.C. - Inspectoratul Județean în Construcții ..., fără ca până în prezent să fie primit vreun răspuns la această cerere.</w:t>
      </w:r>
    </w:p>
    <w:p>
      <w:pPr>
        <w:pStyle w:val="Normal"/>
        <w:ind w:right="0" w:firstLine="993"/>
        <w:jc w:val="both"/>
        <w:rPr/>
      </w:pPr>
      <w:r>
        <w:rPr/>
        <w:t>Ulterior, a fost emis Ordinul I.S.C. nr. .... însoțit de adresa nr. ...4/06.10.2015 prin care i se aducea la cunoștință contestatoarei faptul că autorizația de diriginte de șantier nr. ....3/20.09.2011 a fost suspendată pe o perioadă de 6 luni, începând cu data de 28.09.2015.</w:t>
      </w:r>
    </w:p>
    <w:p>
      <w:pPr>
        <w:pStyle w:val="Normal"/>
        <w:ind w:right="0" w:firstLine="993"/>
        <w:jc w:val="both"/>
        <w:rPr/>
      </w:pPr>
      <w:r>
        <w:rPr/>
        <w:t>Potrivit art. 56 alin. 2 din Ordinul M.D.R.T. nr. 1496/2011, reclamanta a formulat contestație pe cale administrativă, în termen legal, ce a fost înregistrată la I.J.C. ... sub nr. ...9/28.10.2015 și la I.S.C. sub nr....1/29.10.2015.</w:t>
      </w:r>
    </w:p>
    <w:p>
      <w:pPr>
        <w:pStyle w:val="Normal"/>
        <w:ind w:right="0" w:firstLine="993"/>
        <w:jc w:val="both"/>
        <w:rPr/>
      </w:pPr>
      <w:r>
        <w:rPr/>
        <w:t>Ca răspuns la această contestație, în data de 06.11.2015, i s-a comunicat adresa nr. ...5/03.11.2015.</w:t>
      </w:r>
    </w:p>
    <w:p>
      <w:pPr>
        <w:pStyle w:val="Normal"/>
        <w:ind w:right="0" w:firstLine="993"/>
        <w:jc w:val="both"/>
        <w:rPr/>
      </w:pPr>
      <w:r>
        <w:rPr/>
        <w:t>I. 2. Având în vedere nelegalitatea și netemeinicia acestui răspuns, reclamanta a formulat acțiunea în anularea actelor administrative la data de 30.12.2015, formându-se dosarul nr. D2 de pe rolul Tribunalului ..., care a avut ca obiect: anularea adresei/deciziei nr. ...5/03.11.20i5 de soluționare a contestației formulată pe cale administrativă; anularea Ordinului nr. .... emise de către Inspectorul General al Inspectoratului de Stat în Construcții și adresei/deciziei nr. ...4/06.10.2015; anularea parțială a Proceselor verbale de control nr. ....1/06.03.2015, nr. ....2/11.03.2015 și nr. ....3/11.03.2015, cu privire la constatările și măsurile dispuse în sarcina reclamantei, obligarea pârâtei la radierea sancțiunii din registrul Diriginților de Șantier Autorizați.</w:t>
      </w:r>
    </w:p>
    <w:p>
      <w:pPr>
        <w:pStyle w:val="Normal"/>
        <w:ind w:right="0" w:firstLine="993"/>
        <w:jc w:val="both"/>
        <w:rPr/>
      </w:pPr>
      <w:r>
        <w:rPr/>
        <w:t>Acțiunea a fost completată la data de 01.03.2016, în sensul solicitării anulării și a Referatelor nr. ....0/15.09.2015 și ....2/03.11.2015.</w:t>
      </w:r>
    </w:p>
    <w:p>
      <w:pPr>
        <w:pStyle w:val="Normal"/>
        <w:ind w:right="0" w:firstLine="993"/>
        <w:jc w:val="both"/>
        <w:rPr/>
      </w:pPr>
      <w:r>
        <w:rPr/>
        <w:t>Considerentele expuse sunt valabile și în ceea ce privește petitul vizând anularea Referatelor nr. ....0/15.09.2015 și nr. ....2/03.11.2015 (f: 78-80), formulat cu ocazia completării acțiunii (f. 113-115), cele două referate reprezentând acte premergătoare, care au stat la baza emiterii Ordinului nr. ...  a deciziei de soluționare a contestației formulată împotriva acestuia, criticile de nelegalitate urmând să fie avute în vedere de pârât, cu ocazia pronunțării unei decizii motivate.''</w:t>
      </w:r>
    </w:p>
    <w:p>
      <w:pPr>
        <w:pStyle w:val="Normal"/>
        <w:ind w:right="0" w:firstLine="993"/>
        <w:jc w:val="both"/>
        <w:rPr/>
      </w:pPr>
      <w:r>
        <w:rPr/>
        <w:t>Învederează faptul că Sentința nr. SC1 a Curții de Apel ... a fost atacată cu recurs de către pârâta ISC, recurs ce a fost respins prin Decizia nr. DC1 pronunțată de Înalta Curte de Casație și Justiție.</w:t>
      </w:r>
    </w:p>
    <w:p>
      <w:pPr>
        <w:pStyle w:val="Normal"/>
        <w:ind w:right="0" w:firstLine="993"/>
        <w:jc w:val="both"/>
        <w:rPr/>
      </w:pPr>
      <w:r>
        <w:rPr/>
        <w:t>II. Deși adresa nr. ...5/03.11.2015 de soluționare a contestației administrativă formulată de reclamanta R1 împotriva Ordinului Inspectorului General al ISC nr. .... și împotriva proceselor-verbale de control nr. ....1/06.03.2015, nr. ....2/11.03.2015 și nr. ....3/11.03.2015 a fost anulată pentru lipsa motivării de către instanța de judecată, aceasta din urmă ghidând instituția pârâtă în motivarea deciziei de soluționare a contestației, în sensul indicării asupra căror puncte trebuie să se pronunțe pârâta și obligând-o la emiterea unei decizii motivate, ne vedem, din nou, în postura de a invoca nemotivarea adresei de soluționare a contestației nr. ...6/20.12.2019 (comunicată reclamantei la data de 20.01.2020) ca motiv de nelegalitate.</w:t>
      </w:r>
    </w:p>
    <w:p>
      <w:pPr>
        <w:pStyle w:val="Normal"/>
        <w:ind w:right="0" w:firstLine="993"/>
        <w:jc w:val="both"/>
        <w:rPr/>
      </w:pPr>
      <w:r>
        <w:rPr/>
        <w:t>Astfel, Curtea de Apel ... prin Sentința nr.SC1 a dispus obligarea pârâtei la emiterea unei decizii motivate care să cuprindă:</w:t>
      </w:r>
    </w:p>
    <w:p>
      <w:pPr>
        <w:pStyle w:val="Normal"/>
        <w:ind w:right="0" w:firstLine="993"/>
        <w:jc w:val="both"/>
        <w:rPr/>
      </w:pPr>
      <w:r>
        <w:rPr/>
        <w:t>a) Analizarea în concret a apărărilor reclamantei și emiterea unui răspuns punctual acestora cu privire la contestarea Ordinului nr.....:</w:t>
      </w:r>
    </w:p>
    <w:p>
      <w:pPr>
        <w:pStyle w:val="Normal"/>
        <w:ind w:right="0" w:firstLine="993"/>
        <w:jc w:val="both"/>
        <w:rPr/>
      </w:pPr>
      <w:r>
        <w:rPr/>
        <w:t>Ori prin contestația formulată (nr....9/28.10.2015 la IJC ... și nr. ...1/29.10.2015 la ISC) reclamanta a invocat următoarele:</w:t>
      </w:r>
    </w:p>
    <w:p>
      <w:pPr>
        <w:pStyle w:val="Normal"/>
        <w:ind w:right="0" w:firstLine="993"/>
        <w:jc w:val="both"/>
        <w:rPr/>
      </w:pPr>
      <w:r>
        <w:rPr/>
        <w:t>- La pct. 1 nelegalitatea Ordinului nr. .... ca urmare a încălcării dispozițiilor art. 52 alin. 2 și art. 56 din Ordinul MDRT nr. 1496/13.05.2011 și art.2 alin.1 din HG nr. 525/2013 — Anexa 2, în sensul existenței unor vicii de formă și a necompetenței persoanei emitente.</w:t>
      </w:r>
    </w:p>
    <w:p>
      <w:pPr>
        <w:pStyle w:val="Normal"/>
        <w:ind w:right="0" w:firstLine="993"/>
        <w:jc w:val="both"/>
        <w:rPr/>
      </w:pPr>
      <w:r>
        <w:rPr/>
        <w:t>Prin adresa nr....6/20.12.2019 pârâta a înțeles la acest punct să susțină lapidar faptul că nu pot fi reținute motivele invocate deoarece ”odată cu intrarea în vigoare a HG nr. 525/2012, prevederile Procedurii de autorizare a diriginților de șantier, aprobată prin Ordinul MDRT nr. 1496/2011, cu modificările și completările ulterioare, în ceea ce privește competențele de emitere și semnare, respectiv tipul actului administrativ, au fost modificate în mod corespunzător.".</w:t>
      </w:r>
    </w:p>
    <w:p>
      <w:pPr>
        <w:pStyle w:val="Normal"/>
        <w:ind w:right="0" w:firstLine="993"/>
        <w:jc w:val="both"/>
        <w:rPr/>
      </w:pPr>
      <w:r>
        <w:rPr/>
        <w:t>Ori, în primul rând se invocă o hotărâre de Guvern din anul 2012, deși aceasta este din 2013, iar în al doilea rând nici măcar nu se prezintă care ar fi aceste modificări, în ce constau ele sau care ai fi textul legal aplicabil. Astfel încât, din nou ne aflăm într-o evidentă lipsă de motivare, nefiind în concret soluționate problemele de nelegalitate ridicate de noi.</w:t>
      </w:r>
    </w:p>
    <w:p>
      <w:pPr>
        <w:pStyle w:val="Normal"/>
        <w:ind w:right="0" w:firstLine="993"/>
        <w:jc w:val="both"/>
        <w:rPr/>
      </w:pPr>
      <w:r>
        <w:rPr/>
        <w:t>b) Analizarea tuturor criticilor reclamantei cu privire la procesele-verbale nr. ....1/06.03.2015, nr. ....2/11.03.2015 și nr. ....3/11.03.2015 și referatelor ....0/15.09.2015 și nr. ....2/03.11.2015.</w:t>
      </w:r>
    </w:p>
    <w:p>
      <w:pPr>
        <w:pStyle w:val="Normal"/>
        <w:ind w:right="0" w:firstLine="993"/>
        <w:jc w:val="both"/>
        <w:rPr/>
      </w:pPr>
      <w:r>
        <w:rPr/>
        <w:t>La pct.2 din cadrul contestației s-a invocat netemeinicia Ordinului nr. .... prin raportare la netemeinicia proceselor-verbale nr.....1/ 06.03.2015, nr. ....2/11.03.2015 și nr. ....3/11.03.2015.</w:t>
      </w:r>
    </w:p>
    <w:p>
      <w:pPr>
        <w:pStyle w:val="Normal"/>
        <w:ind w:right="0" w:firstLine="993"/>
        <w:jc w:val="both"/>
        <w:rPr/>
      </w:pPr>
      <w:r>
        <w:rPr/>
        <w:t>În cadrul adresei de soluționare a contestației nr....6/20.12.2019 după prezentarea pe scurt a sancțiunilor aplicate s-a concluzionat faptul că ”În ceea ce privește obiecțiunile, proceselor-verbale de control le sunt aplicabile prevederile Legii contenciosului administrativ nr. 554/2004, cu modificările 'i completările ulterioare.''</w:t>
      </w:r>
    </w:p>
    <w:p>
      <w:pPr>
        <w:pStyle w:val="Normal"/>
        <w:ind w:right="0" w:firstLine="993"/>
        <w:jc w:val="both"/>
        <w:rPr/>
      </w:pPr>
      <w:r>
        <w:rPr/>
        <w:t>Ori, instanța de judecată a statuat în mod definitiv prin Sentința nr. DC1 că, prin decizia de soluționare a contestației, trebuie analizate toate criticile reclamantei cu privire atât la ordinul de suspendare a autorizației de diriginte de șantier, cât și cu privire la cele trei procese verbale de control și, inclusiv, la cele două referate în baza cărora a fost emis ordinul.</w:t>
      </w:r>
    </w:p>
    <w:p>
      <w:pPr>
        <w:pStyle w:val="Normal"/>
        <w:ind w:right="0" w:firstLine="993"/>
        <w:jc w:val="both"/>
        <w:rPr/>
      </w:pPr>
      <w:r>
        <w:rPr/>
        <w:t>Din analizarea adresei anterior-menționata reiese mai mult decât evident faptul că acea Comisie de analizare a contestației nu a realizat efectiv vreo analizare a aspectelor sesizate de către contestatoare și nici nu motivat în vreun fel soluția dată, nici cu privire la nelegalitatea și netemeinicia Ordinului, nici cu privire la netemeinicia proceselor verbale de control, referatele nr. ....0/15.09.2015 și nr. ....2/03.11.2015 nefiind nici măcar amintite.</w:t>
      </w:r>
    </w:p>
    <w:p>
      <w:pPr>
        <w:pStyle w:val="Normal"/>
        <w:ind w:right="0" w:firstLine="993"/>
        <w:jc w:val="both"/>
        <w:rPr/>
      </w:pPr>
      <w:r>
        <w:rPr/>
        <w:t>Raportat la aceste aspecte, în realitate suntem în prezența nerespectării hotărârii judecătorești și a neexecutării acesteia așa cum este ea prevăzută de art. 24 din Legea nr. 554/2004.</w:t>
      </w:r>
    </w:p>
    <w:p>
      <w:pPr>
        <w:pStyle w:val="Normal"/>
        <w:ind w:right="0" w:firstLine="993"/>
        <w:jc w:val="both"/>
        <w:rPr/>
      </w:pPr>
      <w:r>
        <w:rPr/>
        <w:t>III. În aceste condiții, cu privire la modalitatea în care trebuia soluționată contestația, a nu se confunda cu soluția ce urma să se pronunțe, cât și cu privire la invocarea de către noi a nemotivării adresei nr. ...6/20.12.2019 ca și motiv de nulitate absolută, invocă excepția puterii de lucru judecat cu privire la Sentința nr. DC1.</w:t>
      </w:r>
    </w:p>
    <w:p>
      <w:pPr>
        <w:pStyle w:val="Normal"/>
        <w:ind w:right="0" w:firstLine="993"/>
        <w:jc w:val="both"/>
        <w:rPr/>
      </w:pPr>
      <w:r>
        <w:rPr/>
        <w:t>IV. 1. Pe fondul cauzei, referitor la motivele de nelegalitate ale Ordinului nr. ...., acesta a fost emis cu încălcarea dispozițiilor legale în materie în ceea ce privește forma și condițiile de emitere ale acestuia.</w:t>
      </w:r>
    </w:p>
    <w:p>
      <w:pPr>
        <w:pStyle w:val="Normal"/>
        <w:ind w:right="0" w:firstLine="993"/>
        <w:jc w:val="both"/>
        <w:rPr/>
      </w:pPr>
      <w:r>
        <w:rPr/>
        <w:t>Astfel, ordinul anterior-menționat a fost emis cu încălcarea dispozițiilor art. 52 alin. 2 din Ordinul M.D.R.T. nr. 1496/13.05.2011 - ” Secretarul general al I.S.C., în condițiile prevăzute la alin. (l), emite decizia de suspendare sau de anulare, după caz, a autorizației de diriginte de șantier. ” în sensul că suspendarea autorizației de diriginte de șantier se putea dispune doar printr-o decizie de suspendare și nu un ordin.</w:t>
      </w:r>
    </w:p>
    <w:p>
      <w:pPr>
        <w:pStyle w:val="Normal"/>
        <w:ind w:right="0" w:firstLine="993"/>
        <w:jc w:val="both"/>
        <w:rPr/>
      </w:pPr>
      <w:r>
        <w:rPr/>
        <w:t>De asemenea, potrivit acelorași dispoziții legale coroborate cu art. 2 alin. 1 din H.G. nr. 525/2013 - Anexa 2 care prezintă Organigrama Inspectoratului de Stat în Construcții, persoana care a emis ordinul de suspendare a autorizației de diriginte de șantier nu are competența de a emite astfel de acte, mai mult decât atât, potrivit aceleiași structuri este clară diferența dintre un secretar general și un inspector general.</w:t>
      </w:r>
    </w:p>
    <w:p>
      <w:pPr>
        <w:pStyle w:val="Normal"/>
        <w:ind w:right="0" w:firstLine="993"/>
        <w:jc w:val="both"/>
        <w:rPr/>
      </w:pPr>
      <w:r>
        <w:rPr/>
        <w:t>Pe de altă parte, ordinul de suspendare a autorizației de diriginte de șantier este emis, inclusiv, cu încălcarea dispozițiilor art.51 alin.1 lit.a) din Ordinul M.D.R.T. nr. 1496/13.05.2011, ”Suspendarea autorizației de diriginte de șantier se poate dispune pe o perioadă limitată de la 6 luni la 1 an — în situația încălcării art. 45 și a încălcării repetate a prevederilor art. 42 alin. (1) și ale art. 44 constatată și sancționată cu avertisment în procesul-verbal de control și inspecție, potrivit legii, de către organele de control ale I.S.C., astfel: a) pentru 6 luni, după a doua avertizare;", raportate la art.11 din Ordinul nr.1369/2014 pentru aprobarea procedurii privind exercitarea controlului de stat al calității în construcții prin controale la factorii implicați în procesul de execuție - indicativ PCE 001 coroborat cu art. 13 din Anexa 2 - Procedura din 0l aprilie 2014 de control al statului la autoritățile administrației publice locale/județene privind respectarea prevederilor legale la emiterea autorizațiilor de construire sau desființare din Ordinul nr. 456/2014.</w:t>
      </w:r>
    </w:p>
    <w:p>
      <w:pPr>
        <w:pStyle w:val="Normal"/>
        <w:ind w:right="0" w:firstLine="993"/>
        <w:jc w:val="both"/>
        <w:rPr/>
      </w:pPr>
      <w:r>
        <w:rPr/>
        <w:t>Astfel, procesele-verbale de control mai sus precizate, la Capitolul - Măsuri dispuse - pct.7, respectiv pct.9 și respectiv pct.9, prevăd faptul că ”Pentru îndeplinirea necorespunzătoare a obligațiilor și responsabilităților ce revin diriginților de șantier menționate la pct. 7 din Capitolul Constatări/neconformități, în conformitate cu prevederile din «Procedura de autorizare a Diriginților de șantier» aprobată cu Ordinul M.D.R.T. nr. 1496/13.05.2011, cu modificările și completările ulterioare, se sancționează dirigintele de șantier - R1 cu avertisment conform art. 51 din Procedură.".</w:t>
      </w:r>
    </w:p>
    <w:p>
      <w:pPr>
        <w:pStyle w:val="Normal"/>
        <w:ind w:right="0" w:firstLine="993"/>
        <w:jc w:val="both"/>
        <w:rPr/>
      </w:pPr>
      <w:r>
        <w:rPr/>
        <w:t>Ori, între noțiunile de "măsură dispusă” și "sancțiunea aplicată" nu există identitate, astfel încât procedural trebuiau dispuse mai întâi măsuri, urmând ca pentru neîndeplinirea acestor măsuri persoanele responsabile să fie sancționate contravențional cu sancțiunea avertismentului, prin emiterea unui proces-verbal de constatare și sancționare a contravențiilor, în acest sens fiind chiar și art. 11 alin. 1 lit. b) pct. 6 din Ordinul M.D.R.T. nr. 1369/2014 "nerespectarea măsurilor și termenelor dispuse constituie contravenție și se sancționează potrivit prevederilor legale".</w:t>
      </w:r>
    </w:p>
    <w:p>
      <w:pPr>
        <w:pStyle w:val="Normal"/>
        <w:ind w:right="0" w:firstLine="993"/>
        <w:jc w:val="both"/>
        <w:rPr/>
      </w:pPr>
      <w:r>
        <w:rPr/>
        <w:t>În aceste condiții, toate aceste vicii de formă, la care se adaugă lipsa competenței persoanei care a emis actul atacat, nerespectarea dispozițiilor legale imperative în vigoare cu privire la exercitarea activității de control în etapa execuției lucrărilor, modalitatea de constatare a neconformităților și de dispunere a măsurilor și/sau de aplicare a sancțiunilor, atrag nulitatea absolută a actelor emise cu încălcarea acestor dispoziții.</w:t>
      </w:r>
    </w:p>
    <w:p>
      <w:pPr>
        <w:pStyle w:val="Normal"/>
        <w:ind w:right="0" w:firstLine="993"/>
        <w:jc w:val="both"/>
        <w:rPr/>
      </w:pPr>
      <w:r>
        <w:rPr/>
        <w:t>IV.2. Referitor la temeinicia actelor a căror anulare o solicită, pentru analizarea acesteia se impune analizarea proceselor-verbale de control în etapa de execuție a lucrărilor de construcții nr. ....1/06.03.2015, ce s-a desfășurat pentru obiectivul ”Reabilitare, modernizare și echipare Școală Gimnazială A1, județul ...” din comuna A1B, nr. ....2/11.03.2015, ce s-a desfășurat pentru obiectivul Reabilitare, modernizare și echipare Școala A2, comuna PM, județul ...” din localitatea A2B, comuna PM, și nr. ....3/11.03.2015, ce s-a desfășurat pentru obiectivul "Reabilitare, modernizare și echipare Școala Primară PM, județul ..." din localitatea PM, comuna PM.</w:t>
      </w:r>
    </w:p>
    <w:p>
      <w:pPr>
        <w:pStyle w:val="Normal"/>
        <w:ind w:right="0" w:firstLine="993"/>
        <w:jc w:val="both"/>
        <w:rPr/>
      </w:pPr>
      <w:r>
        <w:rPr/>
        <w:t>Învederează faptul că societatea al cărei angajat este reclamanta - S.C. F1 S.R.L. - a încheiat contracte de consultanță - dirigenție cu beneficiarii aferenți obiectivelor anterior-menționate, și anume U.A.T. Primăria Comunei A1B contractul nr. ...1/30.04.2015, respectiv U.A.T. PM - contractele nr. ...9/30.04.2015 și ...0/30.04.2015, ultimele două contracte încetând cu data de 06.03.2015, potrivit notificării nr. ...4/03.03.2015.</w:t>
      </w:r>
    </w:p>
    <w:p>
      <w:pPr>
        <w:pStyle w:val="Normal"/>
        <w:ind w:right="0" w:firstLine="993"/>
        <w:jc w:val="both"/>
        <w:rPr/>
      </w:pPr>
      <w:r>
        <w:rPr/>
        <w:t>Precizează faptul că obligațiile ce au fost reținute ca fiind neîndeplinite de către contestatoare, în cadrul proceselor-verbale de control în etapa de execuție a lucrărilor de construcție anterior-menționate, nu sunt în conformitate cu realitate, o parte dintre acestea au fost îndeplinite, iar altă parte nu îi reveneau contestatoarei în calitatea sa de diriginte de șantier.</w:t>
      </w:r>
    </w:p>
    <w:p>
      <w:pPr>
        <w:pStyle w:val="Normal"/>
        <w:ind w:right="0" w:firstLine="993"/>
        <w:jc w:val="both"/>
        <w:rPr/>
      </w:pPr>
      <w:r>
        <w:rPr/>
        <w:t>De asemenea, precizează faptul că nu i s-au solicitat, de către organele de control, în mod direct documente, iar proiectul D.T.A.C, P.T. și toate proiectele privitoare la aprobarea și finanțarea acestor proiecte se află la investitori, respectiv la reprezentantul acestora în desfășurarea acestor proiecte (conform legislației în vigoare) - managerul de proiect. Toată documentația, inclusiv expertizele, avizele, acordul I.S.C. se află în posesia persoanelor anterior-menționate, cât și un exemplar original la A.D.R. ... , fără de care nu ar fi putut fi aprobate și finanțate cu fonduri europene aceste proiecte.</w:t>
      </w:r>
    </w:p>
    <w:p>
      <w:pPr>
        <w:pStyle w:val="Normal"/>
        <w:ind w:right="0" w:firstLine="993"/>
        <w:jc w:val="both"/>
        <w:rPr/>
      </w:pPr>
      <w:r>
        <w:rPr/>
        <w:t>Pe de altă parte, contestatoarea a semnat aceste procese-verbale doar pentru luare la cunoștință și nu a fost informată, conform legislației în vigoare, privind modalitatea și termenul de contestare și formulare de obiecțiuni, iar, deși a formulat obiecțiuni la aceste procese-verbale de control, nici în acest moment, ca urmare a hotărârii judecătorești, instituția pârâtă nu a înțeles să soluționeze problemele ridicate de către contestatoare.</w:t>
      </w:r>
    </w:p>
    <w:p>
      <w:pPr>
        <w:pStyle w:val="Normal"/>
        <w:ind w:right="0" w:firstLine="993"/>
        <w:jc w:val="both"/>
        <w:rPr/>
      </w:pPr>
      <w:r>
        <w:rPr/>
        <w:t>IV.2.1.Astfel, referitor la procesul-verbal de control nr.....1/06.03.2015, menționăm faptul că în capitolul Constatări/Neconformități se rețin faptele care se impută dirigintelui de șantier R1, autorizat pe domeniul 2.3, fapte imputate în mod eronat, având în vedere următoarele aspecte:</w:t>
      </w:r>
    </w:p>
    <w:p>
      <w:pPr>
        <w:pStyle w:val="Normal"/>
        <w:ind w:right="0" w:firstLine="993"/>
        <w:jc w:val="both"/>
        <w:rPr/>
      </w:pPr>
      <w:r>
        <w:rPr/>
        <w:t>În cadrul acestui capitol, la pct. 1 s-a reținut faptul că Primăria Comunei A1B nu a prezentat documentația tehnică vizată spre neschimbare.</w:t>
      </w:r>
    </w:p>
    <w:p>
      <w:pPr>
        <w:pStyle w:val="Normal"/>
        <w:ind w:right="0" w:firstLine="993"/>
        <w:jc w:val="both"/>
        <w:rPr/>
      </w:pPr>
      <w:r>
        <w:rPr/>
        <w:t>Această afirmație este total nereală, având în vedere faptul că în momentul începerii execuției au fost prezentate către dirigintele de șantier aceste documente și au fost verificate, în procedura de lucru neexistând obligația întocmirii unui document cu regim special - prevăzut în cuprinsul cărții tehnice - prin care să se constate îndeplinirea acestei obligații.</w:t>
      </w:r>
    </w:p>
    <w:p>
      <w:pPr>
        <w:pStyle w:val="Normal"/>
        <w:ind w:right="0" w:firstLine="993"/>
        <w:jc w:val="both"/>
        <w:rPr/>
      </w:pPr>
      <w:r>
        <w:rPr/>
        <w:t>La pct. 2. i s-a imputat inexistența unui diriginte de specialitate pentru instalații electrice, deși, prin contractul de consultanță-dirigenție nr....1/30.04.2014, S.C. F1 S.R.L. nu s-a angajat să asigure un diriginte pentru această specialitate, în situația în care se considera necesară și această funcție, fiind responsabilitatea beneficiarului U.A.T. Primăria Comunei A1B să-și asigure un astfel de diriginte.</w:t>
      </w:r>
    </w:p>
    <w:p>
      <w:pPr>
        <w:pStyle w:val="Normal"/>
        <w:ind w:right="0" w:firstLine="993"/>
        <w:jc w:val="both"/>
        <w:rPr/>
      </w:pPr>
      <w:r>
        <w:rPr/>
        <w:t>Mai mult decât atât, în situația în care organele de control au reținut culpa în neîndeplinirea acestei obligații ca aparținând S.C. F1 S.R.L., este cert că sancțiunea trebuia aplicată persoanei juridice și în niciun caz dirigintelui de șantier.</w:t>
      </w:r>
    </w:p>
    <w:p>
      <w:pPr>
        <w:pStyle w:val="Normal"/>
        <w:ind w:right="0" w:firstLine="993"/>
        <w:jc w:val="both"/>
        <w:rPr/>
      </w:pPr>
      <w:r>
        <w:rPr/>
        <w:t>În ceea ce privește aspectele reținute la pct.3 din cadrul procesului-verbal de control, cu privire la faptul că ar exista anumite inadvertente și neconcordanțe între ceea ce privește lucrările care se impun prin raportul de expertiză tehnică, memoriile tehnice și situațiile din teren, precizează că reclamanta în calitate de diriginte de șantier, autorizat pe domeniul 2.3 - construcții civile, industriale și agricultură, a solicitat lămuriri privind lucrările suplimentare prevăzute în expertiza tehnică.</w:t>
      </w:r>
    </w:p>
    <w:p>
      <w:pPr>
        <w:pStyle w:val="Normal"/>
        <w:ind w:right="0" w:firstLine="993"/>
        <w:jc w:val="both"/>
        <w:rPr/>
      </w:pPr>
      <w:r>
        <w:rPr/>
        <w:t>Primăria Comunei A1B, managerul de proiect, proiectantul și constructorul au precizat ca această expertiză s-a întocmit în faza D.T.A.C., în baza unui referat de necesitate aprobat de A.D.R. Sud-Vest, în care sunt specificate toate aceste lucrări. De altfel, în cadrul acestui referat se menționează și faptul că, din aceste lucrări, se vor executa doar acele lucrări care se vor încadra în suma de 544.744,00 lei aprobată ca finanțare, acestea urmând a fi contractate în baza deciziei specialistului constructorului. Menționează faptul că, având în vedere că reclamanta nu a fost prezentă la efectuarea controlului, nu avem cunoștință de ce acest document nu a fost prezentat organelor de control, din moment ce există.</w:t>
      </w:r>
    </w:p>
    <w:p>
      <w:pPr>
        <w:pStyle w:val="Normal"/>
        <w:ind w:right="0" w:firstLine="993"/>
        <w:jc w:val="both"/>
        <w:rPr/>
      </w:pPr>
      <w:r>
        <w:rPr/>
        <w:t>În același timp i s-a imputat, în calitatea sa de diriginte de șantier, faptul că nu a verificat documentația proiectului și nu a sesizat că nu există sisteme pentru adaptarea clădirii la exigențele persoanelor cu handicap.</w:t>
      </w:r>
    </w:p>
    <w:p>
      <w:pPr>
        <w:pStyle w:val="Normal"/>
        <w:ind w:right="0" w:firstLine="993"/>
        <w:jc w:val="both"/>
        <w:rPr/>
      </w:pPr>
      <w:r>
        <w:rPr/>
        <w:t>Atât timp cât aspectele privind adaptarea clădirii la exigențele persoanelor cu handicap nu au fost prevăzute în referatul de necesitate, tema de proiectare și devizul de lucrări ce stau la baza proiectului, reclamanta nu avea competența de a angaja Primăria Comunei A1B la cheltuieli suplimentare, deoarece aceste sisteme nu au fost prevăzute în documentația inițială a proiectului, iar pe de altă parte, nu avea calitatea de ordonator de credite.</w:t>
      </w:r>
    </w:p>
    <w:p>
      <w:pPr>
        <w:pStyle w:val="Normal"/>
        <w:ind w:right="0" w:firstLine="993"/>
        <w:jc w:val="both"/>
        <w:rPr/>
      </w:pPr>
      <w:r>
        <w:rPr/>
        <w:t>La solicitarea organelor de control privind vizele și verificările suplimentare, reprezentanții legali în implementarea proiectului au specificat faptul că există acordul I.S.C. și nu s-au solicitat de către I.J.C., în scris, aceste verificări suplimentare.</w:t>
      </w:r>
    </w:p>
    <w:p>
      <w:pPr>
        <w:pStyle w:val="Normal"/>
        <w:ind w:right="0" w:firstLine="993"/>
        <w:jc w:val="both"/>
        <w:rPr/>
      </w:pPr>
      <w:r>
        <w:rPr/>
        <w:t>Constatările de la punctul 4, în integralitatea lui, nu pot fi impuse în sarcina reclamantei deoarece: elementele de șarpantă deteriorate au fost identificate în teren de către proiectant și s-a procedat la înlocuirea acestora, ulterior încheindu-se un proces-verbal de recepție a acestei operațiuni, prin care proiectantul a confirmat executarea acesteia în totalitate.</w:t>
      </w:r>
    </w:p>
    <w:p>
      <w:pPr>
        <w:pStyle w:val="Normal"/>
        <w:ind w:right="0" w:firstLine="993"/>
        <w:jc w:val="both"/>
        <w:rPr/>
      </w:pPr>
      <w:r>
        <w:rPr/>
        <w:t>Pe de altă parte, caietele de sarcini cuprind referiri privind normativele care se respectă în desfășurarea acestor lucrări de reparații.</w:t>
      </w:r>
    </w:p>
    <w:p>
      <w:pPr>
        <w:pStyle w:val="Normal"/>
        <w:ind w:right="0" w:firstLine="993"/>
        <w:jc w:val="both"/>
        <w:rPr/>
      </w:pPr>
      <w:r>
        <w:rPr/>
        <w:t>De asemenea, referatul de verificare există în documentația aflată la investitor la data verificării de către diriginte, el existând în documentele privind implementarea proiectului, documente aflate, în original, la managerul de proiect, cât și la A.D.R. ...  dacă le-au avut la momentul inițial de începere a lucrărilor de construcții și care a fost motivul pentru care acestea nu au fost puse la dispoziția organelor de control.</w:t>
      </w:r>
    </w:p>
    <w:p>
      <w:pPr>
        <w:pStyle w:val="Normal"/>
        <w:ind w:right="0" w:firstLine="993"/>
        <w:jc w:val="both"/>
        <w:rPr/>
      </w:pPr>
      <w:r>
        <w:rPr/>
        <w:t>În baza art. 453 Cod procedură civilă solicită obligarea pârâtei la plata cheltuielilor de judecată.</w:t>
      </w:r>
    </w:p>
    <w:p>
      <w:pPr>
        <w:pStyle w:val="Normal"/>
        <w:autoSpaceDE w:val="false"/>
        <w:ind w:right="0" w:firstLine="720"/>
        <w:jc w:val="both"/>
        <w:rPr/>
      </w:pPr>
      <w:r>
        <w:rPr>
          <w:b/>
        </w:rPr>
        <w:t>La data de 30.06.2020, pârâtul Inspectoratul de Stat în Construcții  a depus ÎNTÂMPINARE</w:t>
      </w:r>
      <w:r>
        <w:rPr/>
        <w:t xml:space="preserve"> </w:t>
      </w:r>
    </w:p>
    <w:p>
      <w:pPr>
        <w:pStyle w:val="Normal"/>
        <w:autoSpaceDE w:val="false"/>
        <w:ind w:right="0" w:firstLine="720"/>
        <w:jc w:val="both"/>
        <w:rPr/>
      </w:pPr>
      <w:r>
        <w:rPr/>
        <w:t>Menționează că prin procesele verbale de control nr.....2/11.03.2015, nr. ....3/11.03.2015 şi nr.....1/06.03.2015, înregistrate la IJC ..., au fost aplicate sancțiuni cu avertisment.</w:t>
      </w:r>
    </w:p>
    <w:p>
      <w:pPr>
        <w:pStyle w:val="Normal"/>
        <w:autoSpaceDE w:val="false"/>
        <w:ind w:right="0" w:firstLine="720"/>
        <w:jc w:val="both"/>
        <w:rPr/>
      </w:pPr>
      <w:r>
        <w:rPr/>
        <w:t>Prin sentința civilă nr.SC1, pronunțată în dosarul nr.D2 de Curtea de Apel ...-Secția ...., s-a admis în parte acțiunea precizată a reclamantei şi s-a dispus anularea adresei nr....5/03.11.2015 emisă de Inspectoratul de Stat în Construcţii-ISC, fiind obligată să emită o decizie motivată în soluționarea plângerii prealabile formulate împotriva Ordinului Inspectorului general al ISC nr. .....</w:t>
      </w:r>
    </w:p>
    <w:p>
      <w:pPr>
        <w:pStyle w:val="Normal"/>
        <w:autoSpaceDE w:val="false"/>
        <w:ind w:right="0" w:firstLine="720"/>
        <w:jc w:val="both"/>
        <w:rPr/>
      </w:pPr>
      <w:r>
        <w:rPr/>
        <w:t>Cu adresa nr. ...6/20.12.2019, ca urmare a sentinței civile nr. SC2, pronunțată de Curtea de Apel ...-Secţia ... (definitivă prin decizia ICCJ nr. DC2), i s-a comunicat reclamantei că, față de concluziile menționate în cuprinsul adresei sus menţionate, comisia desemnată prin Ordinul nr....2/02.11.2015 s-a reluat activitatea conform Ordinului inspectorului general nr.....8/27.11.2019 pentru analizarea contestației înregistrată de aceasta la ISC sub nr. ...1/29.10.2015 si a propus, iar conducerea ISC a aprobat menținerea sancțiunii stabilită prin Ordinul Inspectorului general al ISC nr..... pentru suspendarea pe o perioadă de 6 luni a autorizației a cărei titulară este reclamanta.</w:t>
      </w:r>
    </w:p>
    <w:p>
      <w:pPr>
        <w:pStyle w:val="Normal"/>
        <w:autoSpaceDE w:val="false"/>
        <w:ind w:right="0" w:firstLine="720"/>
        <w:jc w:val="both"/>
        <w:rPr/>
      </w:pPr>
      <w:r>
        <w:rPr/>
        <w:t xml:space="preserve">II. a) Prin acţiunea formulată reclamanta susţine în mod neîntemeiat că s-ar afla din nou în postura de a invoca nemotivarea adresei de soluționare a contestaţiei nr. ...6/20.12.2019, ca motiv de nelegalitate. </w:t>
      </w:r>
    </w:p>
    <w:p>
      <w:pPr>
        <w:pStyle w:val="Normal"/>
        <w:autoSpaceDE w:val="false"/>
        <w:ind w:right="0" w:firstLine="720"/>
        <w:jc w:val="both"/>
        <w:rPr/>
      </w:pPr>
      <w:r>
        <w:rPr/>
        <w:t>Contrar celor susţinute de reclamantă, în vederea punerii în executare a titlutui executoriu din sentinţă, în motivarea adresei susmenţionate se arată că s-au analizat în concret apărările reclamantei şi s-a răspuns punctual acestora după cum urmează:</w:t>
      </w:r>
    </w:p>
    <w:p>
      <w:pPr>
        <w:pStyle w:val="Normal"/>
        <w:autoSpaceDE w:val="false"/>
        <w:ind w:right="0" w:firstLine="720"/>
        <w:jc w:val="both"/>
        <w:rPr/>
      </w:pPr>
      <w:r>
        <w:rPr/>
        <w:t>"Motivele expuse la pct.1 al contestației nu au putut fi reţinute deoarece, odată cu intrarea în vigoare a HG nr. 525/2012, prevederile Procedurii de autori/are a diriginţllor de şantier aprobată prin Ordinul MDRT nr.1496/2011 cu modificările şi completările ulterioare, în ceea ce priveşte competenţele de emitere şi de semnare, respectiv tipul actului administrativ, au fost modificate corespunzător.</w:t>
      </w:r>
    </w:p>
    <w:p>
      <w:pPr>
        <w:pStyle w:val="Normal"/>
        <w:autoSpaceDE w:val="false"/>
        <w:ind w:right="0" w:firstLine="720"/>
        <w:jc w:val="both"/>
        <w:rPr/>
      </w:pPr>
      <w:r>
        <w:rPr/>
        <w:t>Cu privire la aspectele precizate la punctul 2 al contestaţiei, comisia a reţinut următoarele:</w:t>
      </w:r>
    </w:p>
    <w:p>
      <w:pPr>
        <w:pStyle w:val="Normal"/>
        <w:autoSpaceDE w:val="false"/>
        <w:ind w:right="0" w:firstLine="720"/>
        <w:jc w:val="both"/>
        <w:rPr/>
      </w:pPr>
      <w:r>
        <w:rPr/>
        <w:t>- Procesele verbale de control ....2/11.03.2015 şi nr.....3/11.03.2015 au fost încheiate la două obiective ale aceluiași investitor, respectiv ,,Comuna PM".</w:t>
      </w:r>
    </w:p>
    <w:p>
      <w:pPr>
        <w:pStyle w:val="Normal"/>
        <w:autoSpaceDE w:val="false"/>
        <w:ind w:right="0" w:firstLine="720"/>
        <w:jc w:val="both"/>
        <w:rPr/>
      </w:pPr>
      <w:r>
        <w:rPr/>
        <w:t>-în procesele verbale de control nr.....1/06.03.2015 şi ....3/11.03.2015 se consemnează la capitolul Constatări/Neconformități faptul că nu a prezentat Registrul de evidență a activității de diriginte de şantier vizat la ISC pentru anul 2013, fiind încălcate prevederile art. 45 din procedură.</w:t>
      </w:r>
    </w:p>
    <w:p>
      <w:pPr>
        <w:pStyle w:val="Normal"/>
        <w:autoSpaceDE w:val="false"/>
        <w:ind w:right="0" w:firstLine="720"/>
        <w:jc w:val="both"/>
        <w:rPr/>
      </w:pPr>
      <w:r>
        <w:rPr/>
        <w:t>- Prin adresa înregistrată la IJC ... sub nr....7/16.03.2015 privind obiecțiunile la procesele verbale sus-menţionate, reclamanta a precizat că a semnat acele procese verbale pentru luare la cunoștință nefiind informată despre modalitatea şi termenul de contestare şi formulare obiecțiuni.</w:t>
      </w:r>
    </w:p>
    <w:p>
      <w:pPr>
        <w:pStyle w:val="Normal"/>
        <w:autoSpaceDE w:val="false"/>
        <w:ind w:right="0" w:firstLine="720"/>
        <w:jc w:val="both"/>
        <w:rPr/>
      </w:pPr>
      <w:r>
        <w:rPr/>
        <w:t>- Potrivit evidențelor ISC de la data analizării contestației, prin cererea înregistrată la IRC ...  sub nr....2/02.04.2015, aceasta a depus registrul de evidență a activității de diriginte de șantier pentru vizarea pe anul 2014, în care s-a constatat lipsa celor două obiective de investiții.</w:t>
      </w:r>
    </w:p>
    <w:p>
      <w:pPr>
        <w:pStyle w:val="Normal"/>
        <w:autoSpaceDE w:val="false"/>
        <w:ind w:right="0" w:firstLine="720"/>
        <w:jc w:val="both"/>
        <w:rPr/>
      </w:pPr>
      <w:r>
        <w:rPr/>
        <w:t>Ținând cont de cele precizate mai sus, comisia a concluzionat următoarele:</w:t>
      </w:r>
    </w:p>
    <w:p>
      <w:pPr>
        <w:pStyle w:val="Normal"/>
        <w:autoSpaceDE w:val="false"/>
        <w:ind w:right="0" w:firstLine="720"/>
        <w:jc w:val="both"/>
        <w:rPr/>
      </w:pPr>
      <w:r>
        <w:rPr/>
        <w:t>- prin procesul verbal de control nr. ....1/06.03.2015 reclamanta a fost sancţionată cu avertisment;</w:t>
      </w:r>
    </w:p>
    <w:p>
      <w:pPr>
        <w:pStyle w:val="Normal"/>
        <w:autoSpaceDE w:val="false"/>
        <w:ind w:right="0" w:firstLine="720"/>
        <w:jc w:val="both"/>
        <w:rPr/>
      </w:pPr>
      <w:r>
        <w:rPr/>
        <w:t xml:space="preserve">- prin procesele verbale de control ....2/11.03.2015 şi nr.....3/11.03.2015 a fost sancţionată cu câte un averstisment, dar ca urmare a faptului că acestea au fost întocmite în aceeaşi dată, la acelaşi investitor, comisia a luat în considerare numai o sancţiune avertisment deoarece nu a fost îndeplinit criteriul de repetabilitate prevăzut de art.51 alin.(1) din procedură, respectiv aplicarea sancţiunii de avertisment pentru încălcări repetate ale art. 42 alin.(1); </w:t>
      </w:r>
    </w:p>
    <w:p>
      <w:pPr>
        <w:pStyle w:val="Normal"/>
        <w:autoSpaceDE w:val="false"/>
        <w:ind w:right="0" w:firstLine="720"/>
        <w:jc w:val="both"/>
        <w:rPr/>
      </w:pPr>
      <w:r>
        <w:rPr/>
        <w:t>Astfel, având în vedere prevederile art. 51 alin. (1) lit. a) din procedură, după a doua avertizare se poate dispune suspendarea pentru o perioadă de 6 luni a autorizaţiei.</w:t>
      </w:r>
    </w:p>
    <w:p>
      <w:pPr>
        <w:pStyle w:val="Normal"/>
        <w:autoSpaceDE w:val="false"/>
        <w:ind w:right="0" w:firstLine="720"/>
        <w:jc w:val="both"/>
        <w:rPr/>
      </w:pPr>
      <w:r>
        <w:rPr/>
        <w:t>-în procesele verbale de control nr. ....1/06.03.2015 şi ....3/11.03.2015 s-a consemnat la capitolul Constatări/Neconformităţi faptul că nu a prezentat Registrul de evidenţă a activităţii de diriginte de şantier vizat la I.S.C. pentru anul 2013 fiind încălcate şi prevederile art.45 din procedură, faptă pentru care, potrivit art. 51 alin. (1) din procedură, se poate dispune suspendarea autorizaţiei pe o perioadă limitată de timp de la 6 luni la 1 an.</w:t>
      </w:r>
    </w:p>
    <w:p>
      <w:pPr>
        <w:pStyle w:val="Normal"/>
        <w:autoSpaceDE w:val="false"/>
        <w:ind w:right="0" w:firstLine="720"/>
        <w:jc w:val="both"/>
        <w:rPr/>
      </w:pPr>
      <w:r>
        <w:rPr/>
        <w:t>-în ceea ce priveşte obiecţiunile, proceselor - verbale de control le sunt aplicabile prevederile Legii contenciosului administrativ nr. 554/2004, cu modificările şi completările ulterioare.</w:t>
      </w:r>
    </w:p>
    <w:p>
      <w:pPr>
        <w:pStyle w:val="Normal"/>
        <w:autoSpaceDE w:val="false"/>
        <w:ind w:right="0" w:firstLine="720"/>
        <w:jc w:val="both"/>
        <w:rPr/>
      </w:pPr>
      <w:r>
        <w:rPr/>
        <w:t>b) Referitor la anularea parţială a proceselor verbale de control nr.....1/06.03.2015, ....2/11.03.2015 şl nr. ....3/11.03.2015, cu privire la constatările şi măsurile dispuse în sarcina reclamantei:</w:t>
      </w:r>
    </w:p>
    <w:p>
      <w:pPr>
        <w:pStyle w:val="Normal"/>
        <w:autoSpaceDE w:val="false"/>
        <w:ind w:right="0" w:firstLine="720"/>
        <w:jc w:val="both"/>
        <w:rPr/>
      </w:pPr>
      <w:r>
        <w:rPr/>
        <w:t>Aşa cum se poate observa din conţinutul adresei de soluţionare a contestaţiei nr, ...6/20.12.2019 au fost analizate şi aspectele precizate la punctul doi al contestaţiei care priveau criticile formulate de reclamantă cu privire la cele trei procese verbale de control.</w:t>
      </w:r>
    </w:p>
    <w:p>
      <w:pPr>
        <w:pStyle w:val="Normal"/>
        <w:autoSpaceDE w:val="false"/>
        <w:ind w:right="0" w:firstLine="720"/>
        <w:jc w:val="both"/>
        <w:rPr/>
      </w:pPr>
      <w:r>
        <w:rPr/>
        <w:t>Mai mult se poate observa că împotriva celor trei procese verbale de control reclamanta nu a formulat plângere prealabilă ci „obiecțiuni,, (o formă neconsacrată de prevederile Legii contenciosului administrativ).</w:t>
      </w:r>
    </w:p>
    <w:p>
      <w:pPr>
        <w:pStyle w:val="Normal"/>
        <w:autoSpaceDE w:val="false"/>
        <w:ind w:right="0" w:firstLine="720"/>
        <w:jc w:val="both"/>
        <w:rPr/>
      </w:pPr>
      <w:r>
        <w:rPr/>
        <w:t>1. Cu privire la  motivele de nelegalitate ale adresei nr. ...6/20.12.2019 şi ale Ordinului Inspectorului general al ISC nr. ....:</w:t>
      </w:r>
    </w:p>
    <w:p>
      <w:pPr>
        <w:pStyle w:val="Normal"/>
        <w:autoSpaceDE w:val="false"/>
        <w:ind w:right="0" w:firstLine="720"/>
        <w:jc w:val="both"/>
        <w:rPr/>
      </w:pPr>
      <w:r>
        <w:rPr/>
        <w:t>Susține reclamanta că, prin contestația formulată care a fost înregistrată la ISC sub nr. ...1/29.10.2015 a invocat nelegalitatea Ordinului Inspectorului general al ISC nr. .... în sensul existenţei unor vicii de formă şi a necompetenţei persoanei emitente.</w:t>
      </w:r>
    </w:p>
    <w:p>
      <w:pPr>
        <w:pStyle w:val="Normal"/>
        <w:autoSpaceDE w:val="false"/>
        <w:ind w:right="0" w:firstLine="720"/>
        <w:jc w:val="both"/>
        <w:rPr/>
      </w:pPr>
      <w:r>
        <w:rPr/>
        <w:t>Asupra viciilor de formă, chiar reclamanta recunoaște că s-au reţinut de către Curtea de Apel ..., prin sentinţa civilă nr. SC1 pronunțată în dosarul nr. D2, cu autoritate de lucru judecat următoarele aspecte:</w:t>
      </w:r>
    </w:p>
    <w:p>
      <w:pPr>
        <w:pStyle w:val="Normal"/>
        <w:autoSpaceDE w:val="false"/>
        <w:ind w:right="0" w:firstLine="720"/>
        <w:jc w:val="both"/>
        <w:rPr/>
      </w:pPr>
      <w:r>
        <w:rPr/>
        <w:t>„</w:t>
      </w:r>
      <w:r>
        <w:rPr/>
        <w:t>Raportat la prevederile legale menționate, instanța admite că documentul prin care s-a soluţionat contestaţia reclamantei nu trebuie să îmbrace forma unei decizii....,,</w:t>
      </w:r>
    </w:p>
    <w:p>
      <w:pPr>
        <w:pStyle w:val="Normal"/>
        <w:autoSpaceDE w:val="false"/>
        <w:ind w:right="0" w:firstLine="720"/>
        <w:jc w:val="both"/>
        <w:rPr/>
      </w:pPr>
      <w:r>
        <w:rPr/>
        <w:t>Prin urmare, prin adresa de soluționare a contestației, instituția nu mai trebuia sa răspundă cu privire la acest pretins viciu de formă invocat de reclamantă, iar în ceea ce privește necompetența persoanei emitente prin adresa nr. ...6/20.12.2019 instituția pârâtă a răspuns criticilor reclamantei, cu precizarea că exisă o eroare de redactare în ceea ce privește HG nr. 525/2013.</w:t>
      </w:r>
    </w:p>
    <w:p>
      <w:pPr>
        <w:pStyle w:val="Normal"/>
        <w:autoSpaceDE w:val="false"/>
        <w:ind w:right="0" w:firstLine="720"/>
        <w:jc w:val="both"/>
        <w:rPr/>
      </w:pPr>
      <w:r>
        <w:rPr/>
        <w:t>IV. Pe fondul cauzei, reclamanta susține în mod neîntemeiat că Ordinul Inspectorului general al ISC nr..... ar fi fost emis cu încălcarea dispozițiilor legale în materie în ceea ce privește forma şi condițiile de emitere de ale acestuia.</w:t>
      </w:r>
    </w:p>
    <w:p>
      <w:pPr>
        <w:pStyle w:val="Normal"/>
        <w:autoSpaceDE w:val="false"/>
        <w:ind w:right="0" w:firstLine="720"/>
        <w:jc w:val="both"/>
        <w:rPr/>
      </w:pPr>
      <w:r>
        <w:rPr/>
        <w:t>Astfel, condițiile de emitere a ordinului sus menționat reglementate de prevederile Procedurii de autorizare a diriginților de şantier, aprobată prin Ordinul MDRT nr. 1496/2011, cu modificările şi completările ulterioare, în ceea ce privește competențele de emitere şi de semnare s-au modificat odată cu intrarea în vigoare a HG nr.525/2013.</w:t>
      </w:r>
    </w:p>
    <w:p>
      <w:pPr>
        <w:pStyle w:val="Normal"/>
        <w:autoSpaceDE w:val="false"/>
        <w:ind w:right="0" w:firstLine="720"/>
        <w:jc w:val="both"/>
        <w:rPr/>
      </w:pPr>
      <w:r>
        <w:rPr/>
        <w:t>Mai menționează că, în conformitate cu prevederile art.17 alin.(1) lit.q) din Regulamentul de organizare şi funcţionare al Inspectoratului de Stat în Construcții aprobat prin Ordinul ministrului dezvoltării regionale şi administraţiei publice nr.322/2015 (pe care îl depune în extras, în vigoare la momentul emiterii), Inspectorul general avea următoarele atribuţii şi competenţe: ,,q) dispune, conform atribuţiilor, suspendarea şi/sau anularea autorizaţiilor emise de I.S.C. pentru diriginții de şantier,..."</w:t>
      </w:r>
    </w:p>
    <w:p>
      <w:pPr>
        <w:pStyle w:val="Normal"/>
        <w:autoSpaceDE w:val="false"/>
        <w:ind w:right="0" w:firstLine="720"/>
        <w:jc w:val="both"/>
        <w:rPr/>
      </w:pPr>
      <w:r>
        <w:rPr/>
        <w:t>Ordinul de suspendare a fost emis ca urmare a referatului Direcţiei Supravegherea Pieţei Produselor pentru Construcţii, Autorizare Laboratoare şi Diriginţi de Şantier, înregistrat ta I.S.C. sub nr.....0/15.09.2015 (pe care îl anexăm), potrivit căruia Comisia de autorizare a diriginţilor de şantier a analizat raportul IRC ...-IJC ... nr....6/18.03.2015 înregistrat la ISC cu nr.....7/18.03.2015 şi documentele anexate la acesta, respectiv procesele verbale de control nr.....2/11.03.2015, nr.....3/11.03.2015 şi nr.....1/06.03.2015, prin care a fost sancţionată reclamanta cu sancţiunea „avertisment" în fiecare proces-verbal, precum si adresa reclamantei prin care a depus obiecţiunile la procesele-verbale sus menţionate.</w:t>
      </w:r>
    </w:p>
    <w:p>
      <w:pPr>
        <w:pStyle w:val="Normal"/>
        <w:autoSpaceDE w:val="false"/>
        <w:ind w:right="0" w:firstLine="720"/>
        <w:jc w:val="both"/>
        <w:rPr/>
      </w:pPr>
      <w:r>
        <w:rPr/>
        <w:t>De asemenea, din evidenţele I.S.C. s-a constatat că reclamanta prin cererea înregistrată la IRC ... cu nr. ....2/02.04.2015 (pe care o anexează) a depus pentru vizarea pe anul 2014, registrul de evidenţă a activităţii de şantier, iar Comisia de autorizare a constatat lipsa din acest registru a celor două obiective de Investiţii consemnate în procesele verbale de control nr.....2/11.03.2015 si ....3/11.03.2015, reprezentant o încălcare a responsabilităților distinctă, care se adaugă la cea reţinuta ia punctul 7 din procesele verbale de control nr. ....2/11.03.2015 şi nr.....3/11.03.2015 încheiate de IJC ....</w:t>
      </w:r>
    </w:p>
    <w:p>
      <w:pPr>
        <w:pStyle w:val="Normal"/>
        <w:autoSpaceDE w:val="false"/>
        <w:ind w:right="0" w:firstLine="720"/>
        <w:jc w:val="both"/>
        <w:rPr/>
      </w:pPr>
      <w:r>
        <w:rPr/>
        <w:t>IV.2.1.-2.3. În ceea ce privește temeinicia proceselor verbale de control nr. ....2/11.03.2015, nr.....3/11.03.2015 şi nr.....1/06.03.2015, a cărora anulare o solicită, să se observe că din probatoriu administrat în cauză reclamanta nu a dovedit nelegalitatea şi netemeinicia proceselor verbale de control sus menționate», documente care au evidențiat neîndeplinirea obligaţiilor sale de diriginte de şantier la cele trei obiective de construcţii verificate de reprezentanţii IJC ....</w:t>
      </w:r>
    </w:p>
    <w:p>
      <w:pPr>
        <w:pStyle w:val="Normal"/>
        <w:autoSpaceDE w:val="false"/>
        <w:ind w:right="0" w:firstLine="720"/>
        <w:jc w:val="both"/>
        <w:rPr/>
      </w:pPr>
      <w:r>
        <w:rPr/>
        <w:t>Conform prevederilor art.13 alin.(3) din Legea nr.10/1995-actul normativ aplicabil la momentul încheierii proceselor verbale de control contestate, „Verificarea calităţii execuţiei construcțiilor este obligatorie şă se efectuează prin diriginți de specialitate sau prin agenţi economici de consultanță specializată".</w:t>
      </w:r>
    </w:p>
    <w:p>
      <w:pPr>
        <w:pStyle w:val="Normal"/>
        <w:autoSpaceDE w:val="false"/>
        <w:ind w:right="0" w:firstLine="720"/>
        <w:jc w:val="both"/>
        <w:rPr/>
      </w:pPr>
      <w:r>
        <w:rPr/>
        <w:t>Conform prevederilor art.44 din Procedura aprobată prin Ordinul MDRT nr.1496/2011, reclamanta în calitate de diriginte de şantier avea următoarele obligaţii şi răspunderi:</w:t>
      </w:r>
    </w:p>
    <w:p>
      <w:pPr>
        <w:pStyle w:val="Normal"/>
        <w:autoSpaceDE w:val="false"/>
        <w:ind w:right="0" w:firstLine="720"/>
        <w:jc w:val="both"/>
        <w:rPr/>
      </w:pPr>
      <w:r>
        <w:rPr/>
        <w:t>A. în etapa de pregătire a investiţiei;</w:t>
      </w:r>
    </w:p>
    <w:p>
      <w:pPr>
        <w:pStyle w:val="Normal"/>
        <w:autoSpaceDE w:val="false"/>
        <w:ind w:right="0" w:firstLine="720"/>
        <w:jc w:val="both"/>
        <w:rPr/>
      </w:pPr>
      <w:r>
        <w:rPr/>
        <w:t>- studiază proiectul, caietele de sarcini, tehnologiile şi procedurile prevăzute pentru realizarea construcţiilor;</w:t>
      </w:r>
    </w:p>
    <w:p>
      <w:pPr>
        <w:pStyle w:val="Normal"/>
        <w:autoSpaceDE w:val="false"/>
        <w:ind w:right="0" w:firstLine="720"/>
        <w:jc w:val="both"/>
        <w:rPr/>
      </w:pPr>
      <w:r>
        <w:rPr/>
        <w:t xml:space="preserve">- verifică existenţa tuturor pieselor scrise şi desenate din proiect, inclusiv existenţa studiilor solicitate prin certificatul de urbanism sau prin avize şi concordanţa dintre prevederile acestora; </w:t>
      </w:r>
    </w:p>
    <w:p>
      <w:pPr>
        <w:pStyle w:val="Normal"/>
        <w:autoSpaceDE w:val="false"/>
        <w:ind w:right="0" w:firstLine="720"/>
        <w:jc w:val="both"/>
        <w:rPr/>
      </w:pPr>
      <w:r>
        <w:rPr/>
        <w:t>- verifică respectarea reglementărilor cu privire la verificarea proiectelor de către verificatori de proiecte atestaţi şi însuşirea acestora de către expertul tehnic atestat, acolo unde este cazul;</w:t>
      </w:r>
    </w:p>
    <w:p>
      <w:pPr>
        <w:pStyle w:val="Normal"/>
        <w:autoSpaceDE w:val="false"/>
        <w:ind w:right="0" w:firstLine="720"/>
        <w:jc w:val="both"/>
        <w:rPr/>
      </w:pPr>
      <w:r>
        <w:rPr/>
        <w:t>B. în perioada execuţiei lucrărilor:</w:t>
      </w:r>
    </w:p>
    <w:p>
      <w:pPr>
        <w:pStyle w:val="Normal"/>
        <w:autoSpaceDE w:val="false"/>
        <w:ind w:right="0" w:firstLine="720"/>
        <w:jc w:val="both"/>
        <w:rPr/>
      </w:pPr>
      <w:r>
        <w:rPr/>
        <w:t>- urmăresc realizarea construcţiei în conformitate cu prevederile autorizaţiei de construire, ale proiectelor, caietelor de sarcini şi ale reglementărilor tehnice în vigoare."</w:t>
      </w:r>
    </w:p>
    <w:p>
      <w:pPr>
        <w:pStyle w:val="Normal"/>
        <w:autoSpaceDE w:val="false"/>
        <w:ind w:right="0" w:firstLine="720"/>
        <w:jc w:val="both"/>
        <w:rPr/>
      </w:pPr>
      <w:r>
        <w:rPr/>
        <w:t>- verifică existenţa documentelor de certificare a calităţii produselor pentru construcţii, respectiv corespondenţa calităţii acestora cu prevederile cuprinse în proiecte;</w:t>
      </w:r>
    </w:p>
    <w:p>
      <w:pPr>
        <w:pStyle w:val="Normal"/>
        <w:autoSpaceDE w:val="false"/>
        <w:ind w:right="0" w:firstLine="720"/>
        <w:jc w:val="both"/>
        <w:rPr/>
      </w:pPr>
      <w:r>
        <w:rPr/>
        <w:t>- interzic utilizarea de procedee şl echipamente noi, neagrementate tehnic sau cu agremente tehnice la care avizul tehnic a expirat.</w:t>
      </w:r>
    </w:p>
    <w:p>
      <w:pPr>
        <w:pStyle w:val="Normal"/>
        <w:autoSpaceDE w:val="false"/>
        <w:ind w:right="0" w:firstLine="720"/>
        <w:jc w:val="both"/>
        <w:rPr/>
      </w:pPr>
      <w:r>
        <w:rPr/>
        <w:t>De asemenea, conform prevederilor art. 48 din Procedura aprobată prin Ordinul MDRT nr. 1496/2011 „Obligaţiile prevăzute la art.44 nu sunt limitate, dirigintele de şantier putând participa, în calitate de reprezentant al investitorului, la toate fazele privind realizarea construcţiilor, în limitele atribuţiilor stabilite prin reglementările tehnice în construcţii aplicabile, în vigoare."</w:t>
      </w:r>
    </w:p>
    <w:p>
      <w:pPr>
        <w:pStyle w:val="Normal"/>
        <w:autoSpaceDE w:val="false"/>
        <w:ind w:right="0" w:firstLine="720"/>
        <w:jc w:val="both"/>
        <w:rPr/>
      </w:pPr>
      <w:r>
        <w:rPr/>
        <w:t>Conform prevederilor art.49 din Procedură „Diriginţii de şantier răspund, potrivit legii, în cazul neîndeplinirii obligaţiilor prevăzute la art.44, precum şi în cazul neasfgurării din culpa lor a realizării nivelului calitativ al lucrărilor prevăzut în proiecte, caiete de sarcini şl în reglementările tehnice în construcţii".</w:t>
      </w:r>
    </w:p>
    <w:p>
      <w:pPr>
        <w:pStyle w:val="Normal"/>
        <w:autoSpaceDE w:val="false"/>
        <w:ind w:right="0" w:firstLine="720"/>
        <w:jc w:val="both"/>
        <w:rPr/>
      </w:pPr>
      <w:r>
        <w:rPr/>
        <w:t>Deci, contrar celor arătate de reclamantă obligaţiile ce au fost reţinute ca fiind neîndeplinite de către aceasta prin procesele verbale de control nr.....2/11.03.2015, nr.....3/11.03.2015 şi nr,....1/06.03.2015 încheiate de IJC ... sunt conforme cu realitatea, nefiind parţial îndeplinite cum se susţine şi revenind în totalitate reclamantei.</w:t>
      </w:r>
    </w:p>
    <w:p>
      <w:pPr>
        <w:pStyle w:val="Normal"/>
        <w:autoSpaceDE w:val="false"/>
        <w:ind w:right="0" w:firstLine="720"/>
        <w:jc w:val="both"/>
        <w:rPr/>
      </w:pPr>
      <w:r>
        <w:rPr/>
        <w:t>Referitor la procesul-verbal de control nr.....1/06.03.2015, învederăm Onoratei Instanţe că, s-a încheiat ca urmare a controlului curent efectuat în perioada 26.02-06.03.2015 de către reprezentantul IJC ... la obiectivul „Reabilitare, Modernizare şi Echipare Şcoala Gimnazială A1, Județul ...".</w:t>
      </w:r>
    </w:p>
    <w:p>
      <w:pPr>
        <w:pStyle w:val="Normal"/>
        <w:autoSpaceDE w:val="false"/>
        <w:ind w:right="0" w:firstLine="720"/>
        <w:jc w:val="both"/>
        <w:rPr/>
      </w:pPr>
      <w:r>
        <w:rPr/>
        <w:t>La capitolul Constatări/Neconformități, punctul 7 s-a reţinut de către reprezentantul IJC ... că, în condiţiile neconformităților consemnate la pct.1,2,3 şl 4, dirigintele de şantier-dna. R1 a încălcat prevederile art.44 din Procedura de autorizare a diriginţilor de şantier, aprobată prin Ordinul MDRT nr.14%/2011, cu modificările şi completările ulterioare, referitoare la obligaţiile ş1 responsabilităţile cei reveneau. De asemenea, nu a prezentat Registrul de evidenţă a activităţii de diriginte de şantier vizat la I.S.C. pentru anul 2013 fiind încălcate şi prevederile art.45 din Procedura mai suş menţionată.</w:t>
      </w:r>
    </w:p>
    <w:p>
      <w:pPr>
        <w:pStyle w:val="Normal"/>
        <w:autoSpaceDE w:val="false"/>
        <w:ind w:right="0" w:firstLine="720"/>
        <w:jc w:val="both"/>
        <w:rPr/>
      </w:pPr>
      <w:r>
        <w:rPr/>
        <w:t>Supune instanţei o enumerare a neconformităţilor consemnate la pct.1,2,3 şi 4, după cum urmează:</w:t>
      </w:r>
    </w:p>
    <w:p>
      <w:pPr>
        <w:pStyle w:val="Normal"/>
        <w:autoSpaceDE w:val="false"/>
        <w:ind w:right="0" w:firstLine="720"/>
        <w:jc w:val="both"/>
        <w:rPr/>
      </w:pPr>
      <w:r>
        <w:rPr/>
        <w:t>1. nu s-a prezentat organului de control documentaţia tehnică spre neschimbare, anexă la autorizaţia de construire -DTAC, toate avizele legale, dovada înregistrării documentaţiei la OAR, auditul energetic şi certificatul energetic iniţial</w:t>
      </w:r>
    </w:p>
    <w:p>
      <w:pPr>
        <w:pStyle w:val="Normal"/>
        <w:autoSpaceDE w:val="false"/>
        <w:ind w:right="0" w:firstLine="720"/>
        <w:jc w:val="both"/>
        <w:rPr/>
      </w:pPr>
      <w:r>
        <w:rPr/>
        <w:t>2. consultanţa nu asigură verificarea execuţiei corecte a lucrărilor de construcţii pentru specialitatea instalaţii electrice</w:t>
      </w:r>
    </w:p>
    <w:p>
      <w:pPr>
        <w:pStyle w:val="Normal"/>
        <w:autoSpaceDE w:val="false"/>
        <w:ind w:right="0" w:firstLine="720"/>
        <w:jc w:val="both"/>
        <w:rPr/>
      </w:pPr>
      <w:r>
        <w:rPr/>
        <w:t>3. în conţinutul documentaţiilor prezentate există unele neconcordanţe şi inarvertenţe în ceea ce priveşte lucrările Impuse prin raportul de expertiză tehnic, memoriile tehnice şi situaţia din teren;</w:t>
      </w:r>
    </w:p>
    <w:p>
      <w:pPr>
        <w:pStyle w:val="Normal"/>
        <w:autoSpaceDE w:val="false"/>
        <w:ind w:right="0" w:firstLine="720"/>
        <w:jc w:val="both"/>
        <w:rPr/>
      </w:pPr>
      <w:r>
        <w:rPr/>
        <w:t>- documentaţia tehnică este constituită din memorii tehnice .caiete de sarcini, unele piese desenate fără detalierea lucrărilor şi soluţiilor tehnice propuse;</w:t>
      </w:r>
    </w:p>
    <w:p>
      <w:pPr>
        <w:pStyle w:val="Normal"/>
        <w:autoSpaceDE w:val="false"/>
        <w:ind w:right="0" w:firstLine="720"/>
        <w:jc w:val="both"/>
        <w:rPr/>
      </w:pPr>
      <w:r>
        <w:rPr/>
        <w:t>- documentaţia nu cuprinde precizări referitoare la adaptarea clădirii la exigențele persoanelor cu handicap;</w:t>
      </w:r>
    </w:p>
    <w:p>
      <w:pPr>
        <w:pStyle w:val="Normal"/>
        <w:autoSpaceDE w:val="false"/>
        <w:ind w:right="0" w:firstLine="720"/>
        <w:jc w:val="both"/>
        <w:rPr/>
      </w:pPr>
      <w:r>
        <w:rPr/>
        <w:t>- în conţinutul documentaţiei nu există specificaţii tehnice privind produse pentru construcţii, caracteristici esenţiale, niveluri şi clase de performanţă</w:t>
      </w:r>
    </w:p>
    <w:p>
      <w:pPr>
        <w:pStyle w:val="Normal"/>
        <w:autoSpaceDE w:val="false"/>
        <w:ind w:right="0" w:firstLine="720"/>
        <w:jc w:val="both"/>
        <w:rPr/>
      </w:pPr>
      <w:r>
        <w:rPr/>
        <w:t>- caietele de sarcini pentru specialităţile arhitectură şi rezistenţă sunt cu caracter general;</w:t>
      </w:r>
    </w:p>
    <w:p>
      <w:pPr>
        <w:pStyle w:val="Normal"/>
        <w:autoSpaceDE w:val="false"/>
        <w:ind w:right="0" w:firstLine="720"/>
        <w:jc w:val="both"/>
        <w:rPr/>
      </w:pPr>
      <w:r>
        <w:rPr/>
        <w:t>- în conţinutul documentaţiei nu există caiete de sarcini privind exploatarea, întreținerea, reparaţiile şi urmărirea comportării în timp a construcţiilor;</w:t>
      </w:r>
    </w:p>
    <w:p>
      <w:pPr>
        <w:pStyle w:val="Normal"/>
        <w:autoSpaceDE w:val="false"/>
        <w:ind w:right="0" w:firstLine="720"/>
        <w:jc w:val="both"/>
        <w:rPr/>
      </w:pPr>
      <w:r>
        <w:rPr/>
        <w:t>- în piesele scrise din documentaţia tehnică nu există precizări referitoare la stabilirea cerinţelor esenţiale la care este necesară verificarea proiectului;</w:t>
      </w:r>
    </w:p>
    <w:p>
      <w:pPr>
        <w:pStyle w:val="Normal"/>
        <w:autoSpaceDE w:val="false"/>
        <w:ind w:right="0" w:firstLine="720"/>
        <w:jc w:val="both"/>
        <w:rPr/>
      </w:pPr>
      <w:r>
        <w:rPr/>
        <w:t>4. referitor la execuţia lucrărilor şi la documentele ce atestă calitatea lucrărilor şi produselor puse în operă:</w:t>
      </w:r>
    </w:p>
    <w:p>
      <w:pPr>
        <w:pStyle w:val="Normal"/>
        <w:autoSpaceDE w:val="false"/>
        <w:ind w:right="0" w:firstLine="720"/>
        <w:jc w:val="both"/>
        <w:rPr/>
      </w:pPr>
      <w:r>
        <w:rPr/>
        <w:t>- în condiţiile neconformităţilor consemnate la pct.3, lucrările executate conform stadiului fizic la faza PT neverificată de specialişti atestaţi, incompletă şi conţinând neconcordanţe între diferitele secţiuni ale acesteia, cu excepţia lucrărilor executate'la Instalaţiile electrice exterioare de protecţie împotriva trăsnetului</w:t>
      </w:r>
    </w:p>
    <w:p>
      <w:pPr>
        <w:pStyle w:val="Normal"/>
        <w:autoSpaceDE w:val="false"/>
        <w:ind w:right="0" w:firstLine="720"/>
        <w:jc w:val="both"/>
        <w:rPr/>
      </w:pPr>
      <w:r>
        <w:rPr/>
        <w:t>- lucrările de reparaţii la şarpantă au fost executate în baza constatării şi consemnării în proces verbal de recepţie calitativă, fără ca acestea să fi fost indicate prin documentaţia de execuţie la faza PT;</w:t>
      </w:r>
    </w:p>
    <w:p>
      <w:pPr>
        <w:pStyle w:val="Normal"/>
        <w:autoSpaceDE w:val="false"/>
        <w:ind w:right="0" w:firstLine="720"/>
        <w:jc w:val="both"/>
        <w:rPr/>
      </w:pPr>
      <w:r>
        <w:rPr/>
        <w:t>- în condiţiile în care la data controlului lucrările la şarpantă, înlocuire învelitoare pe astereală continuă ş1 gleturl nu erau executate în totalitate, în procesele verbale de recepţie calitativă a lucrărilor prezentate nu erau specificate suficiente date de identificare a elementelor şi categoriilor de lucrări verificate(şarpantă, astereală, învelitoare, coşuri, glet);</w:t>
      </w:r>
    </w:p>
    <w:p>
      <w:pPr>
        <w:pStyle w:val="Normal"/>
        <w:autoSpaceDE w:val="false"/>
        <w:ind w:right="0" w:firstLine="720"/>
        <w:jc w:val="both"/>
        <w:rPr/>
      </w:pPr>
      <w:r>
        <w:rPr/>
        <w:t>- nu au fost prezentate documentele pentru atestarea calităţii tuturor produselor puse în operă, Incomplete declaraţiile de conformitate/performanţă nefiind însoţite de certificatele de constanţă a performanţei/certificatele de control al procesului de fabricaţie emise de organismele certificate sau, după caz, de agrementele şi avizele tehnice,</w:t>
      </w:r>
    </w:p>
    <w:p>
      <w:pPr>
        <w:pStyle w:val="Normal"/>
        <w:autoSpaceDE w:val="false"/>
        <w:ind w:right="0" w:firstLine="720"/>
        <w:jc w:val="both"/>
        <w:rPr/>
      </w:pPr>
      <w:r>
        <w:rPr/>
        <w:t>Prin procesul verbal de control sus menţionat, pentru neîndeplinirea corespunzătoare a obligaţiilor ce revin diriginţilor de şantier menţionate la pct.7 din Cap. Constatări/Neconformităţi, în conformitate cu prevederile art.51 din Procedura aprobată prin Ordinul MDRT nr.1496/2011, reclamanta a fost sancţionată cu avertisment.</w:t>
      </w:r>
    </w:p>
    <w:p>
      <w:pPr>
        <w:pStyle w:val="Normal"/>
        <w:autoSpaceDE w:val="false"/>
        <w:ind w:right="0" w:firstLine="720"/>
        <w:jc w:val="both"/>
        <w:rPr/>
      </w:pPr>
      <w:r>
        <w:rPr/>
        <w:t>Referitor la procesul verbal de control nr.....2/11.03.2015 încheiat urmare a controlului curent efectuat de reprezentanţii IJC ... în perioada 03-11.03.2015 la obiectivul „Reabilitare, Modernizare şi Echipare Școala A2, Comuna PM, Judeţul ...".</w:t>
      </w:r>
    </w:p>
    <w:p>
      <w:pPr>
        <w:pStyle w:val="Normal"/>
        <w:autoSpaceDE w:val="false"/>
        <w:ind w:right="0" w:firstLine="720"/>
        <w:jc w:val="both"/>
        <w:rPr/>
      </w:pPr>
      <w:r>
        <w:rPr/>
        <w:t>Constatările/neconformitățile consemnate de organul de control au fost similare cu cele menţionate în procesul verbal de control anterior, verificările fiind efectuate la investitorul UAT Primăria Comunei A1B care încheiase cu reclamanta contractul de consultanţă-dirigenţie nr. ...1/30.04.2014 având ca obiect asigurarea către beneficiar de consultanţă şi urmărirea execuţiei pentru obiectivul mai sus menţionat, contractul derulându-se începând cu data ordinului de începere a lucrărilor.</w:t>
      </w:r>
    </w:p>
    <w:p>
      <w:pPr>
        <w:pStyle w:val="Normal"/>
        <w:autoSpaceDE w:val="false"/>
        <w:ind w:right="0" w:firstLine="720"/>
        <w:jc w:val="both"/>
        <w:rPr/>
      </w:pPr>
      <w:r>
        <w:rPr/>
        <w:t>Referitor la procesul verbal de control nr. ....3/11.03.2015, încheiat urmare a controlului curent efectuat de reprezentanţii IJC ... în perioada 03-11.03.2015 la obiectivul „Reabilitare, Echipare Şcoală Primară PM, Judeţul ...", învederează că, aşa cum se poate observa, redă stadiul fizic al lucrărilor la data controlului, aspect care se regăseşte în toate cele trei procese verbale de control.</w:t>
      </w:r>
    </w:p>
    <w:p>
      <w:pPr>
        <w:pStyle w:val="Normal"/>
        <w:autoSpaceDE w:val="false"/>
        <w:ind w:right="0" w:firstLine="720"/>
        <w:jc w:val="both"/>
        <w:rPr/>
      </w:pPr>
      <w:r>
        <w:rPr/>
        <w:t>Contrar celor susţinute de reclamantă, la toate cele trei obiective controlate în perioada efectuării verificărilor se aflau în execuţie lucrări de finisaje la pereţii interiori, iar recepţia în conformitate cu prevederile HG nr.273/1994 cu modificările şi completările ulterioare se efectuează la terminarea lucrărilor neexistând posibilitatea încheierii unor procese verbale pe categorii de lucrări (finisaje) la momentul finalizării acestora, cum eronat se susţine.</w:t>
      </w:r>
    </w:p>
    <w:p>
      <w:pPr>
        <w:pStyle w:val="Normal"/>
        <w:autoSpaceDE w:val="false"/>
        <w:ind w:right="0" w:firstLine="720"/>
        <w:jc w:val="both"/>
        <w:rPr/>
      </w:pPr>
      <w:r>
        <w:rPr/>
        <w:t>De asemenea, obiectivele de investiţii verificate, conform celor trei procese verbale de control nu cad sub incidenţa prevederilor art.2 alin.(2) din Legea nr.10/1995-forma în vigoare la data controlului, întrucât construcţiile în cauză sunt unităţi de învățământ situate în mediul rural şi nu clădiri pentru locuinţe cu parter, pentru a fi exceptate de la aplicarea prevederilor Legii nr.10/1995, cum nelegal şi neîntemeiat se afirmă de către reclamantă.</w:t>
      </w:r>
    </w:p>
    <w:p>
      <w:pPr>
        <w:pStyle w:val="Normal"/>
        <w:autoSpaceDE w:val="false"/>
        <w:ind w:right="0" w:firstLine="720"/>
        <w:jc w:val="both"/>
        <w:rPr/>
      </w:pPr>
      <w:r>
        <w:rPr/>
        <w:t>Mai menționează că atât investitorul-UAT Comuna PM cât şi executantul-F2 au comunicat IJC ... cu adresele nr. ...6/20.04.2015 respectiv nr....8/20.04.2015 (pe care le anexează) modul de rezolvare a măsurilor dispuse prin procesul verbal de control nr. ....3/11.03.2015.</w:t>
      </w:r>
    </w:p>
    <w:p>
      <w:pPr>
        <w:pStyle w:val="Normal"/>
        <w:autoSpaceDE w:val="false"/>
        <w:ind w:right="0" w:firstLine="720"/>
        <w:jc w:val="both"/>
        <w:rPr/>
      </w:pPr>
      <w:r>
        <w:rPr/>
        <w:t>În ceea ce privește modul de rezolvare a măsurilor dispuse prin procesul verbal de control nr. ....1/06.03.2015, investitorul-UAT Comuna PM a comunicat IJC ... adresa nr. ...7/20.03.2015.</w:t>
      </w:r>
    </w:p>
    <w:p>
      <w:pPr>
        <w:pStyle w:val="Normal"/>
        <w:autoSpaceDE w:val="false"/>
        <w:ind w:right="0" w:firstLine="720"/>
        <w:jc w:val="both"/>
        <w:rPr/>
      </w:pPr>
      <w:r>
        <w:rPr/>
        <w:t>Cu privire la gravele abateri de la lucrările cuprinse în documentația supusă evaluării (memoriul tehnic) şi la situațiile de lucrări la o serie dintre şcolile aflate in reabilitare de pe raza Judeţului ..., printre care şi cele trei şcoli menţionate în procesele verbale de control nr. ....2/11.03.2015, nr. ....3/11.03.2015 şi nr. ....1/06.03.2015, IJC ... a primit din partea Managerului de proiect pentru proiecte finanţate din fonduri europene. J1 adresa nr. ....6/17.02.2015 înregistrată la Instituţia pârâtă sub nr. ...8/19.02.2012, prin care era informată instituţia despre abaterile constatate ca urmare a controlului efectuat la faţa locului.</w:t>
      </w:r>
    </w:p>
    <w:p>
      <w:pPr>
        <w:pStyle w:val="Normal"/>
        <w:autoSpaceDE w:val="false"/>
        <w:ind w:right="0" w:firstLine="720"/>
        <w:jc w:val="both"/>
        <w:rPr/>
      </w:pPr>
      <w:r>
        <w:rPr/>
        <w:t>V. În cadrul motivelor de nelegalitate a proceselor verbale de control reclamanta a invocat aplicarea unei singure sancțiuni cu avertisment prin raportare în mod nejustificat la dispoziţiile art. 5 alin.(7) din OG nr.2/2001.</w:t>
      </w:r>
    </w:p>
    <w:p>
      <w:pPr>
        <w:pStyle w:val="Normal"/>
        <w:autoSpaceDE w:val="false"/>
        <w:ind w:right="0" w:firstLine="720"/>
        <w:jc w:val="both"/>
        <w:rPr/>
      </w:pPr>
      <w:r>
        <w:rPr/>
        <w:t>De asemenea, ca urmare a interpretării eronate a prevederilor art.51 alin.1 lit.a) din Procedura de autorizare a diriginților de şantier, aprobată prin Ordinul MDRT nr.1496/2011, şi art.11 alin.1 lit.b din Ordinul MDRAP nr.1369/2014 reclamanta consideră în mod nelegal şi neîntemeiat că sancțiunea „avertisment " trebuia aplicată printr-un proces verbal de constatare şi sancționare a contravențiilor.</w:t>
      </w:r>
    </w:p>
    <w:p>
      <w:pPr>
        <w:pStyle w:val="Normal"/>
        <w:autoSpaceDE w:val="false"/>
        <w:ind w:right="0" w:firstLine="720"/>
        <w:jc w:val="both"/>
        <w:rPr/>
      </w:pPr>
      <w:r>
        <w:rPr/>
        <w:t xml:space="preserve">Sub acest aspect, învederează că Ordinul MDRAP nr.1369/2014, invocat de reclamantă, reglementează procedura privind exercitarea controlului de stat al calității la factorii implicați în procesul de execuție (investitori, proiectanţi, executanţi, etc), în timp ce reclamanta a fost sancționată pentru încălcarea obligațiilor proprii care decurgeau din calitatea sa de diriginte de șantier, prevăzute de un act normativ distinct -Ordinul MDRT nr. 1496/2011 care a aprobat Procedura de autorizare a diriginților de şantier. </w:t>
      </w:r>
    </w:p>
    <w:p>
      <w:pPr>
        <w:pStyle w:val="Normal"/>
        <w:autoSpaceDE w:val="false"/>
        <w:ind w:right="0" w:firstLine="720"/>
        <w:jc w:val="both"/>
        <w:rPr/>
      </w:pPr>
      <w:r>
        <w:rPr/>
        <w:t>Face precizarea că reclamantei i s-au aplicat sancțiuni cu avertisment prin procesele-verbale de control şi inspecţie, care au caracter administrativ şi, neaflându-se în prezenţa comiterii unei fapte contravenţionale cum neîntemeiat consideră reclamanta, întrucât o asemenea faptă ar fi trebuit constatată printr-un proces verbal de contravenţie şi ar fi avut un regim Juridic diferit.</w:t>
      </w:r>
    </w:p>
    <w:p>
      <w:pPr>
        <w:pStyle w:val="Normal"/>
        <w:autoSpaceDE w:val="false"/>
        <w:ind w:right="0" w:firstLine="720"/>
        <w:jc w:val="both"/>
        <w:rPr/>
      </w:pPr>
      <w:r>
        <w:rPr/>
        <w:t>De asemenea, Ordinul MDRT nr.1496/2011 care a aprobat Procedura de autorizare a diriginţilor de şantier nu se completezi cu prevederile OG nr.2/2001 privind regimul juridic al contravențiilor, aprobată cu modificări şi completări prin Legea nr. 180/2002, cu modificările şi completările ulterioare şi, prin urmare, nu permite reclamantei să se raporteze la dispozițiile art. 5 alin.(7) din OG nr. 2/2001.</w:t>
      </w:r>
    </w:p>
    <w:p>
      <w:pPr>
        <w:pStyle w:val="Normal"/>
        <w:autoSpaceDE w:val="false"/>
        <w:ind w:right="0" w:firstLine="720"/>
        <w:jc w:val="both"/>
        <w:rPr/>
      </w:pPr>
      <w:r>
        <w:rPr/>
        <w:t>VI. În ceea ce privește solicitarea de anulare a referatului nr. ....2/03.11.2015 al Comisiei pentru analizarea contestaţiei reclamantei şi de anulare a referatului nr. ....0/15.09.2015 care a stat la baza emiterii Ordinului nr. .../2016, să se observe că. aşa cum s-a statuat prin sentinţa civilă nr.SC1, pronunţată în dosarul nr. D2, acestea nu sunt acte administrative, reprezentând acte premergătoare, care au stat ta baza emiterii Ordinului Inspectorului general al ISC nr. .....</w:t>
      </w:r>
    </w:p>
    <w:p>
      <w:pPr>
        <w:pStyle w:val="Normal"/>
        <w:autoSpaceDE w:val="false"/>
        <w:ind w:right="0" w:firstLine="720"/>
        <w:jc w:val="both"/>
        <w:rPr/>
      </w:pPr>
      <w:r>
        <w:rPr/>
        <w:t>Acest aspect se poate observa şi din conținutul ordinului care enumera alături de prevederile legale in baza cărora a fost emis şi referatul Direcției Supravegherea Pieței Produselor pentru Construcţii, Autorizare Laboratoare şi Diriginți de Şantier nr.....0/15.09.2015.</w:t>
      </w:r>
    </w:p>
    <w:p>
      <w:pPr>
        <w:pStyle w:val="Normal"/>
        <w:autoSpaceDE w:val="false"/>
        <w:ind w:right="0" w:firstLine="720"/>
        <w:jc w:val="both"/>
        <w:rPr/>
      </w:pPr>
      <w:r>
        <w:rPr/>
        <w:t>Acesta a fost întocmit de Comisia de autorizare a diriginților de șantier care a analizat:</w:t>
      </w:r>
    </w:p>
    <w:p>
      <w:pPr>
        <w:pStyle w:val="Normal"/>
        <w:autoSpaceDE w:val="false"/>
        <w:ind w:right="0" w:firstLine="720"/>
        <w:jc w:val="both"/>
        <w:rPr/>
      </w:pPr>
      <w:r>
        <w:rPr/>
        <w:t>- raportul IRC ...-IJC ... nr. ....6/18.03.2015 şi documentele anexate acestuia respectiv cele trei procese verbale de control încheiate de IJC ... prin care a fost aplicată sancţiunea avertisment pentru neîndeplinirea obligațiilor prevăzute la art.44 lit. A pct.3, 4, 6 şi 13 lit.B) pct.1, 2, 3, 6 şl 11 şi art.45 din Procedura de autorizare a diriginţilor de şantier, aprobată prin Ordinul 1496/2011, cu modificările şi completările ulterioare;</w:t>
      </w:r>
    </w:p>
    <w:p>
      <w:pPr>
        <w:pStyle w:val="Normal"/>
        <w:autoSpaceDE w:val="false"/>
        <w:ind w:right="0" w:firstLine="720"/>
        <w:jc w:val="both"/>
        <w:rPr/>
      </w:pPr>
      <w:r>
        <w:rPr/>
        <w:t>- adresa intimatei nr.....8/17.03.2015 prin care a depus obiecțiunile la procesele verbale de control sus menţionate;</w:t>
      </w:r>
    </w:p>
    <w:p>
      <w:pPr>
        <w:pStyle w:val="Normal"/>
        <w:autoSpaceDE w:val="false"/>
        <w:ind w:right="0" w:firstLine="720"/>
        <w:jc w:val="both"/>
        <w:rPr/>
      </w:pPr>
      <w:r>
        <w:rPr/>
        <w:t xml:space="preserve">- evidenţele ISC cu privire la registrul de evidenţă a activităţii de diriginte de şantier depus pentru vizarea pe anul 2014 din care lipseau cele două obiective de investiţii controlate procesele verbale de control sus menţionate. </w:t>
      </w:r>
    </w:p>
    <w:p>
      <w:pPr>
        <w:pStyle w:val="Normal"/>
        <w:autoSpaceDE w:val="false"/>
        <w:ind w:right="0" w:firstLine="720"/>
        <w:jc w:val="both"/>
        <w:rPr/>
      </w:pPr>
      <w:r>
        <w:rPr/>
        <w:t>De asemenea, prima adresă (...5/03.11.2015) de respingere a plângerii prealabile formulate împotriva Ordinului Inspectorului general al ISC nr..... a avut la bază referatul nr. ....2/03.11.2015 al Comisiei pentru analizarea contestației intimatei, constituită în cadrul direcției de specialitate prin care s-a motivat propunerea respectivă, adresă care a fost anulată prin sentinţa civilă nr. SC1 si prin urmare acest referat nu mai poate fi repus în analiză în cadrul prezentei cauze având legătură doar cu respectiva adresă.</w:t>
      </w:r>
    </w:p>
    <w:p>
      <w:pPr>
        <w:pStyle w:val="Normal"/>
        <w:autoSpaceDE w:val="false"/>
        <w:ind w:right="0" w:firstLine="720"/>
        <w:jc w:val="both"/>
        <w:rPr/>
      </w:pPr>
      <w:r>
        <w:rPr/>
        <w:t>Pentru considerentele sus menționate, solicită respingerea contestaţiei ca neîntemeiată şi menţinerea Ordinului Inspectorului general al ISC nr. .... care este legal şi temeinic.</w:t>
      </w:r>
    </w:p>
    <w:p>
      <w:pPr>
        <w:pStyle w:val="Normal"/>
        <w:autoSpaceDE w:val="false"/>
        <w:ind w:right="0" w:firstLine="720"/>
        <w:jc w:val="both"/>
        <w:rPr/>
      </w:pPr>
      <w:r>
        <w:rPr/>
        <w:t>In drept îşi întemeiază apărările pe  Legea nr.554/2004, Procedura de autorizare a diriginților de şantier, aprobată prin Ordinul MDRT nr. 1496/2011 .</w:t>
      </w:r>
    </w:p>
    <w:p>
      <w:pPr>
        <w:pStyle w:val="Normal"/>
        <w:autoSpaceDE w:val="false"/>
        <w:ind w:right="0" w:firstLine="720"/>
        <w:jc w:val="both"/>
        <w:rPr>
          <w:b/>
          <w:i/>
          <w:i/>
          <w:u w:val="single"/>
        </w:rPr>
      </w:pPr>
      <w:r>
        <w:rPr>
          <w:b/>
          <w:i/>
          <w:u w:val="single"/>
        </w:rPr>
        <w:t>Curtea constată:</w:t>
      </w:r>
    </w:p>
    <w:p>
      <w:pPr>
        <w:pStyle w:val="Normal"/>
        <w:autoSpaceDE w:val="false"/>
        <w:ind w:right="0" w:firstLine="720"/>
        <w:jc w:val="both"/>
        <w:rPr/>
      </w:pPr>
      <w:r>
        <w:rPr/>
        <w:t>Prin sentința civilă nr.SC1, pronunțată în dosarul nr.D2 de Curtea de Apel ....-Secția ...., s-a admis în parte acțiunea precizată a reclamantei şi s-a dispus anularea adresei nr....5/03.11.2015 emisă de Inspectoratul de Stat în Construcţii-ISC, fiind obligată să emită o decizie motivată în soluționarea plângerii prealabile formulate împotriva Ordinului Inspectorului general al ISC nr. .....</w:t>
      </w:r>
    </w:p>
    <w:p>
      <w:pPr>
        <w:pStyle w:val="Normal"/>
        <w:autoSpaceDE w:val="false"/>
        <w:ind w:right="0" w:firstLine="720"/>
        <w:jc w:val="both"/>
        <w:rPr/>
      </w:pPr>
      <w:r>
        <w:rPr/>
        <w:t>Cu adresa nr. ...6/20.12.2019, ca urmare a sentinței civile nr. SC2, definitivă prin decizia ICCJ nr. DC2, i s-a comunicat reclamantei că, față de concluziile menționate în cuprinsul adresei sus menţionate, comisia desemnată prin Ordinul nr.....2/02.11.2015 s-a reluat activitatea conform Ordinului inspectorului general nr.....8/27.11.2019 pentru analizarea contestației înregistrată de aceasta la ISC sub nr. ...1/29.10.2015 si a propus, iar conducerea ISC a aprobat menținerea sancțiunii stabilită prin Ordinul Inspectorului general al ISC nr..... pentru suspendarea pe o perioadă de 6 luni a autorizației a cărei titulară este reclamanta.</w:t>
      </w:r>
    </w:p>
    <w:p>
      <w:pPr>
        <w:pStyle w:val="Normal"/>
        <w:autoSpaceDE w:val="false"/>
        <w:ind w:right="0" w:firstLine="709"/>
        <w:jc w:val="both"/>
        <w:rPr/>
      </w:pPr>
      <w:r>
        <w:rPr/>
        <w:t xml:space="preserve">Reclamanta susţine că s-ar afla din nou în postura de a invoca nemotivarea adresei de soluționare a contestaţiei nr. ...6/20.12.2019, ca motiv de nelegalitate. </w:t>
      </w:r>
    </w:p>
    <w:p>
      <w:pPr>
        <w:pStyle w:val="Normal"/>
        <w:autoSpaceDE w:val="false"/>
        <w:ind w:right="0" w:firstLine="720"/>
        <w:jc w:val="both"/>
        <w:rPr/>
      </w:pPr>
      <w:r>
        <w:rPr/>
        <w:t>Deşi pârâta arată că , în vederea punerii în executare a titlutui executoriu din sentinţă, în motivarea adresei susmenţionate se arată că s-au analizat în concret apărările reclamantei şi s-a răspuns punctual că motivele expuse la pct.1 al contestației nu au putut fi reţinute deoarece, odată cu intrarea în vigoare a HG nr. 525/2012, prevederile Procedurii de autori/are a diriginţllor de şantier aprobată prin Ordinul MDRT nr.1496/2011 cu modificările şi completările ulterioare, în ceea ce priveşte competenţele de emitere şi de semnare, respectiv tipul actului administrativ, au fost modificate corespunzător, Curtea constată că aceste argumente nu satisfac exigenţele de motivare a actului administrativ.</w:t>
      </w:r>
    </w:p>
    <w:p>
      <w:pPr>
        <w:pStyle w:val="Normal"/>
        <w:autoSpaceDE w:val="false"/>
        <w:ind w:right="0" w:firstLine="720"/>
        <w:jc w:val="both"/>
        <w:rPr/>
      </w:pPr>
      <w:r>
        <w:rPr/>
        <w:t>Cum prin sentința civilă nr.SC1, pronunțată în dosarul nr.D2 , definitivă,  Inspectoratul de Stat în Construcţii-ISC a fost obligat să emită o decizie motivată în soluționarea plângerii prealabile formulate împotriva Ordinului Inspectorului general al ISC nr. ...., această hotărâre instituie o prezumţie absolută a motivării deciziei.</w:t>
      </w:r>
    </w:p>
    <w:p>
      <w:pPr>
        <w:pStyle w:val="Normal"/>
        <w:ind w:right="0" w:firstLine="709"/>
        <w:jc w:val="both"/>
        <w:rPr/>
      </w:pPr>
      <w:r>
        <w:rPr/>
        <w:t xml:space="preserve">Astfel, in conformitate cu </w:t>
      </w:r>
      <w:r>
        <w:rPr>
          <w:bCs/>
        </w:rPr>
        <w:t>Decizia 631/10 martie 1973 a Tribunalului Suprem</w:t>
      </w:r>
      <w:r>
        <w:rPr/>
        <w:t xml:space="preserve">, Sectia Civila </w:t>
      </w:r>
      <w:r>
        <w:rPr>
          <w:bCs/>
          <w:iCs/>
        </w:rPr>
        <w:t>“pentru ca sa existe identitate de obiect intre doua actiuni, nu este nevoie ca obiectul sa fie formulat in ambele actiuni in acelasi mod, ci este suficient ca din cuprinsul acestor actiuni sa rezulte ca scopul final urmarit de reclamant este acelasi in ambele actiuni.</w:t>
      </w:r>
    </w:p>
    <w:p>
      <w:pPr>
        <w:pStyle w:val="Normal"/>
        <w:ind w:right="0" w:firstLine="709"/>
        <w:jc w:val="both"/>
        <w:rPr/>
      </w:pPr>
      <w:r>
        <w:rPr>
          <w:color w:val="000000"/>
        </w:rPr>
        <w:t xml:space="preserve">Foarte important este faptul ca </w:t>
      </w:r>
      <w:r>
        <w:rPr>
          <w:b/>
          <w:bCs/>
          <w:color w:val="373737"/>
        </w:rPr>
        <w:t>puterea de lucru judecat</w:t>
      </w:r>
      <w:r>
        <w:rPr>
          <w:color w:val="000000"/>
        </w:rPr>
        <w:t xml:space="preserve"> nu este limitata la dispozitivul hotararii, ci ea </w:t>
      </w:r>
      <w:r>
        <w:rPr>
          <w:b/>
          <w:bCs/>
          <w:color w:val="373737"/>
        </w:rPr>
        <w:t>se intinde si asupra</w:t>
      </w:r>
      <w:r>
        <w:rPr>
          <w:color w:val="000000"/>
        </w:rPr>
        <w:t xml:space="preserve"> </w:t>
      </w:r>
      <w:r>
        <w:rPr>
          <w:b/>
          <w:bCs/>
          <w:i/>
          <w:iCs/>
          <w:color w:val="373737"/>
        </w:rPr>
        <w:t>considerentelo r</w:t>
      </w:r>
      <w:r>
        <w:rPr>
          <w:color w:val="000000"/>
        </w:rPr>
        <w:t xml:space="preserve">hotararii, care constituie sustinerea necesara a dispozitivului,  facand corp comun cu acesta. </w:t>
      </w:r>
    </w:p>
    <w:p>
      <w:pPr>
        <w:pStyle w:val="Normal"/>
        <w:ind w:right="0" w:firstLine="709"/>
        <w:jc w:val="both"/>
        <w:rPr>
          <w:color w:val="000000"/>
        </w:rPr>
      </w:pPr>
      <w:r>
        <w:rPr>
          <w:color w:val="000000"/>
        </w:rPr>
        <w:t>Jurisprudenta CEDO din ultima perioada statueaza, cu valoare de norma supraconstitutionala, imposibilitatea pronuntarii in cauze identice a unor solutii contradictorii si diametral opuse, utilizand notiuni foarte apropiate de precedentul judiciar.</w:t>
      </w:r>
    </w:p>
    <w:p>
      <w:pPr>
        <w:pStyle w:val="Normal"/>
        <w:ind w:right="0" w:firstLine="709"/>
        <w:jc w:val="both"/>
        <w:rPr/>
      </w:pPr>
      <w:r>
        <w:rPr>
          <w:color w:val="000000"/>
        </w:rPr>
        <w:t xml:space="preserve">Mai mult de atat, </w:t>
      </w:r>
      <w:r>
        <w:rPr>
          <w:b/>
          <w:bCs/>
          <w:color w:val="373737"/>
        </w:rPr>
        <w:t>in cauza Zazanis si altii contra Greciei</w:t>
      </w:r>
      <w:r>
        <w:rPr>
          <w:color w:val="000000"/>
        </w:rPr>
        <w:t xml:space="preserve">, </w:t>
      </w:r>
      <w:r>
        <w:rPr>
          <w:b/>
          <w:bCs/>
          <w:color w:val="373737"/>
        </w:rPr>
        <w:t>CEDO</w:t>
      </w:r>
      <w:r>
        <w:rPr>
          <w:color w:val="000000"/>
        </w:rPr>
        <w:t xml:space="preserve"> a statuat ca obligatia de a executa o hotarare nu se limiteaza la dispozitivul acesteia, iar autoritatile nu pot repune in discutie problema solutionata prin hotararea definitiva.</w:t>
      </w:r>
    </w:p>
    <w:p>
      <w:pPr>
        <w:pStyle w:val="Normal"/>
        <w:ind w:right="0" w:firstLine="709"/>
        <w:jc w:val="both"/>
        <w:rPr>
          <w:color w:val="000000"/>
        </w:rPr>
      </w:pPr>
      <w:r>
        <w:rPr>
          <w:color w:val="000000"/>
        </w:rPr>
        <w:t>In concluzie, CEDO a stabilit ca instantele sunt obligate sa tina cont de constatarile de fapt din procedurile judiciare anterioare, repunerea in discutie a situatiei solutionate definitiv prin alte hotarari constituind o incalcare a art. 6.1 din Conventie.</w:t>
      </w:r>
    </w:p>
    <w:p>
      <w:pPr>
        <w:pStyle w:val="Normal"/>
        <w:jc w:val="both"/>
        <w:rPr/>
      </w:pPr>
      <w:r>
        <w:rPr>
          <w:color w:val="000000"/>
        </w:rPr>
        <w:t> </w:t>
      </w:r>
      <w:r>
        <w:rPr>
          <w:color w:val="000000"/>
        </w:rPr>
        <w:tab/>
      </w:r>
      <w:r>
        <w:rPr/>
        <w:t>De altfel, este notoriu că puterea discreționară conferită unei autorități nu poate fi privită, într-un stat de drept, ca o putere absolută și fără limite, căci exercitarea dreptului de apreciere prin încălcarea drepturilor și libertăților fundamentale ale cetățenilor prevăzute de Constituție, ori de lege, constituie exces de putere, în contextul în care Constituția României prevede în art. 31 alin. 2 obligația autorităților publice de a asigura informarea corectă a cetățeanului asupra treburilor publice, dar și asupra problemelor de interes personal, prin urmare, orice decizie de natură a produce efecte privind drepturile și libertățile fundamentale trebuie motivată nu doar din perspectiva competenței de a emite acel act, ci și din perspectiva posibilității persoanei și a societății de a aprecia asupra legalității măsurii, respectiv asupra respectării granițelor dintre puterea discreționară și arbitrariu, fiindcă a accepta teza potrivit căreia autoritatea nu trebuie să-și motiveze deciziile echivalează cu golirea de conținut a esenței democrației și a statului de drept bazat pe principiul legalității.</w:t>
      </w:r>
    </w:p>
    <w:p>
      <w:pPr>
        <w:pStyle w:val="NormalWeb"/>
        <w:spacing w:before="0" w:after="0"/>
        <w:ind w:right="0" w:firstLine="708"/>
        <w:jc w:val="both"/>
        <w:rPr/>
      </w:pPr>
      <w:r>
        <w:rPr/>
        <w:t xml:space="preserve"> </w:t>
      </w:r>
      <w:r>
        <w:rPr/>
        <w:t>Cu alte cuvinte, în condițiile în care emitenţii actelor administrative sunt obligaţi să asigure informarea corectă a destinatarilor asupra împrejurărilor care au determinat emiterea actelor respective, ulterior supuse controlului judecătoresc pe calea contenciosului administrativ, nu se poate susține că este permisă absența motivării explicite a actului administrativ atacat.</w:t>
      </w:r>
    </w:p>
    <w:p>
      <w:pPr>
        <w:pStyle w:val="NormalWeb"/>
        <w:spacing w:before="0" w:after="0"/>
        <w:ind w:right="0" w:firstLine="708"/>
        <w:jc w:val="both"/>
        <w:rPr/>
      </w:pPr>
      <w:r>
        <w:rPr/>
        <w:t>Totodată, este de arătat că, în lipsa motivării explicite a actului administrativ, posibilitatea atacării în justiție a acestuia devine iluzorie, pentru că judecătorul nu poate specula asupra motivelor care au determinat emitentul să ia o anumită măsură, absența acestei motivări favorizând emiterea unor acte administrative abuzive, de vreme ce absența motivării lipsește de orice eficiență controlul judecătoresc al actelor administrative.</w:t>
      </w:r>
    </w:p>
    <w:p>
      <w:pPr>
        <w:pStyle w:val="NormalWeb"/>
        <w:spacing w:before="0" w:after="0"/>
        <w:ind w:right="0" w:firstLine="708"/>
        <w:jc w:val="both"/>
        <w:rPr/>
      </w:pPr>
      <w:r>
        <w:rPr/>
        <w:t xml:space="preserve">De altfel, este unanim recunoscut că motivarea reprezintă o obligație generală, aplicabilă oricărui act administrativ, o condiție de legalitate externă a actului, care face obiectul unei aprecieri </w:t>
      </w:r>
      <w:r>
        <w:rPr>
          <w:i/>
        </w:rPr>
        <w:t>in concreto</w:t>
      </w:r>
      <w:r>
        <w:rPr/>
        <w:t>, după natura acestuia și contextul adoptării sale, iar obiectivul său este prezentarea într-un mod clar și neechivoc a raționamentului emitentului actului, urmărind o dublă finalitate; o funcție de transparență, în profitul beneficiarilor actului, care vor putea, astfel, să verifice dacă actul este sau nu întemeiat; permite instanței să realizeze controlul său jurisdicțional, deci în cele din urmă permite reconstituirea raționamentului efectuat de autorul actului pentru a ajunge la adoptarea acestuia; desigur ea trebuie să figureze chiar în cuprinsul actului și să fie realizată de autorul său.</w:t>
      </w:r>
    </w:p>
    <w:p>
      <w:pPr>
        <w:pStyle w:val="NormalWeb"/>
        <w:spacing w:before="0" w:after="0"/>
        <w:ind w:right="0" w:firstLine="708"/>
        <w:jc w:val="both"/>
        <w:rPr/>
      </w:pPr>
      <w:r>
        <w:rPr/>
        <w:t>Mai mult în practica ICCJ şi în doctrină s-a statuat că în ceea ce priveşte actele administrative prin care se stabilesc sancţiuni sau se soluţionează contestaţii cu privire la acestea este esenţială motivarea actului.</w:t>
      </w:r>
    </w:p>
    <w:p>
      <w:pPr>
        <w:pStyle w:val="NormalWeb"/>
        <w:spacing w:before="0" w:after="0"/>
        <w:ind w:right="0" w:firstLine="708"/>
        <w:jc w:val="both"/>
        <w:rPr/>
      </w:pPr>
      <w:r>
        <w:rPr/>
        <w:t>Curtea observă că nici de această dată  documentul nr. ...6/2019 prin care s-a soluţionat contestaţia reclamantei nu a îmbrăcat  forma unei decizii insa, in ceea ce priveşte obligaţia paratului de a motiva soluţia adoptata, iar obligaţia motivării nu a fost îndeplinită în substanţa sa, întrucât nu analizează in concret apararile reclamantei si nu răspunde punctual acestora, fiind practic nemotivata</w:t>
      </w:r>
    </w:p>
    <w:p>
      <w:pPr>
        <w:pStyle w:val="Normal"/>
        <w:ind w:right="0" w:firstLine="708"/>
        <w:jc w:val="both"/>
        <w:rPr/>
      </w:pPr>
      <w:r>
        <w:rPr/>
        <w:t>In ceea ce priveşte cererea de anulare a ordinului .../2015,a  proceselor verbale de control nr. ....1/06.03.2015, nr.....2/11.03.2015 şi nr.....3/11.03.2015, Curtea  nu poate proceda la analiza pe fond a acestora, omisso medio.</w:t>
      </w:r>
    </w:p>
    <w:p>
      <w:pPr>
        <w:pStyle w:val="Normal"/>
        <w:ind w:right="0" w:firstLine="708"/>
        <w:jc w:val="both"/>
        <w:rPr/>
      </w:pPr>
      <w:r>
        <w:rPr/>
        <w:t>Pentru aceste motive, văzând si dispoziţiile art. 8 si 18 din Legea nr. 554/2004, instanţa urmeaza sa dispună admiterea in parte a acţiunii, in sensul anularii adresei nr. ...6/2019 emisă de Inspectoratul de Stat în Construcţii si obligării pârâtului la emiterea unei decizii motivate în soluţionarea plângerii prealabile formulate împotriva Ordinului nr....., urmare a efectului puterii de lucru judecat statuat prin sentinţa  Nr. SC2  acţiunea urmând sa fie respinsa in rest.</w:t>
      </w:r>
    </w:p>
    <w:p>
      <w:pPr>
        <w:pStyle w:val="Normal"/>
        <w:ind w:right="0" w:firstLine="708"/>
        <w:jc w:val="both"/>
        <w:rPr/>
      </w:pPr>
      <w:r>
        <w:rPr/>
        <w:t xml:space="preserve">Faţă de dispoziţiile art. 453 din Codul de procedură civilă, în raport de complexitatea caiuzei şi de numărul de termene acordat, va obliga paratul la 1850 lei cheltuieli de judecata, in favoarea reclamantei. </w:t>
      </w:r>
    </w:p>
    <w:p>
      <w:pPr>
        <w:pStyle w:val="Normal"/>
        <w:ind w:right="0" w:firstLine="708"/>
        <w:jc w:val="both"/>
        <w:rPr/>
      </w:pPr>
      <w:r>
        <w:rPr/>
      </w:r>
    </w:p>
    <w:p>
      <w:pPr>
        <w:pStyle w:val="Normal"/>
        <w:rPr/>
      </w:pPr>
      <w:r>
        <w:rPr/>
      </w:r>
    </w:p>
    <w:p>
      <w:pPr>
        <w:pStyle w:val="Normal"/>
        <w:jc w:val="center"/>
        <w:rPr/>
      </w:pPr>
      <w:r>
        <w:rPr/>
        <w:t>PENTRU ACESTE MOTIVE,</w:t>
        <w:br/>
        <w:t>ÎN NUMELE LEGII</w:t>
      </w:r>
    </w:p>
    <w:p>
      <w:pPr>
        <w:pStyle w:val="Normal"/>
        <w:jc w:val="center"/>
        <w:rPr/>
      </w:pPr>
      <w:r>
        <w:rPr/>
      </w:r>
      <w:r>
        <w:rPr/>
      </w:r>
      <w:r>
        <w:rPr/>
      </w:r>
      <w:r>
        <w:rPr/>
        <w:t>HOTĂRĂŞTE</w:t>
      </w:r>
      <w:r>
        <w:rPr/>
      </w:r>
      <w:r>
        <w:rPr/>
      </w:r>
      <w:r>
        <w:rPr/>
        <w:t>:</w:t>
      </w:r>
    </w:p>
    <w:p>
      <w:pPr>
        <w:pStyle w:val="Normal"/>
        <w:rPr/>
      </w:pPr>
      <w:r>
        <w:rPr/>
      </w:r>
    </w:p>
    <w:p>
      <w:pPr>
        <w:pStyle w:val="Normal"/>
        <w:jc w:val="both"/>
        <w:rPr/>
      </w:pPr>
      <w:r>
        <w:rPr/>
        <w:tab/>
        <w:t xml:space="preserve">Admite în parte acţiunea formulată de reclamanta R1 prin av.Av1, cu domiciliul ales în ..., în contradictoriu cu pârâtul </w:t>
      </w:r>
      <w:bookmarkStart w:name="_Hlk63070408" w:id="0"/>
      <w:r>
        <w:rPr/>
        <w:t>Ministerul Dezvoltării Regionale şi Administraţiei Publice - Prin Inspectoratul de Stat în Construcţii, cu sediul ales în ...</w:t>
      </w:r>
      <w:bookmarkEnd w:id="0"/>
      <w:r>
        <w:rPr/>
        <w:t>, având ca obiect anulare act administrativ .</w:t>
      </w:r>
    </w:p>
    <w:p>
      <w:pPr>
        <w:pStyle w:val="Normal"/>
        <w:jc w:val="both"/>
        <w:rPr/>
      </w:pPr>
      <w:r>
        <w:rPr/>
        <w:t xml:space="preserve"> </w:t>
      </w:r>
      <w:r>
        <w:rPr/>
        <w:tab/>
        <w:t xml:space="preserve">Dispune anularea adresei nr....6/2019, emisă de Inspectoratul de Stat în Construcţii. </w:t>
        <w:tab/>
        <w:t xml:space="preserve">Respinge în rest acţiunea. </w:t>
      </w:r>
    </w:p>
    <w:p>
      <w:pPr>
        <w:pStyle w:val="Normal"/>
        <w:jc w:val="both"/>
        <w:rPr/>
      </w:pPr>
      <w:r>
        <w:rPr/>
        <w:tab/>
        <w:t xml:space="preserve">Obliga paratul la 1850 lei cheltuieli de judecata, in favoarea reclamantei. </w:t>
      </w:r>
    </w:p>
    <w:p>
      <w:pPr>
        <w:pStyle w:val="Normal"/>
        <w:jc w:val="both"/>
        <w:rPr>
          <w:lang w:val="en-US" w:eastAsia="en-US"/>
        </w:rPr>
      </w:pPr>
      <w:r>
        <w:rPr>
          <w:lang w:val="en-US" w:eastAsia="en-US"/>
        </w:rPr>
        <w:tab/>
        <w:t xml:space="preserve">Cu recurs în termen de 15 zile de la comunicare, care se depune la sediul Curtii. </w:t>
        <w:tab/>
        <w:t xml:space="preserve">Pronunţată în şedinţa din ..., potrivit art. 402 C pr civ </w:t>
      </w:r>
      <w:r>
        <w:rPr>
          <w:lang w:val="en-US" w:eastAsia="en-US"/>
        </w:rPr>
      </w:r>
      <w:r>
        <w:rPr>
          <w:lang w:val="en-US" w:eastAsia="en-US"/>
        </w:rPr>
      </w:r>
      <w:r>
        <w:rPr>
          <w:lang w:val="en-US" w:eastAsia="en-US"/>
        </w:rPr>
      </w:r>
      <w:r>
        <w:t>  </w:t>
      </w:r>
      <w:r>
        <w:rPr>
          <w:lang w:val="en-US" w:eastAsia="en-US"/>
        </w:rPr>
      </w:r>
    </w:p>
    <w:tbl>
      <w:tblPr>
        <w:tblW w:w="9286" w:type="dxa"/>
        <w:jc w:val="center"/>
        <w:tblInd w:w="0" w:type="dxa"/>
        <w:tblLayout w:type="fixed"/>
        <w:tblCellMar>
          <w:top w:w="284" w:type="dxa"/>
          <w:left w:w="108" w:type="dxa"/>
          <w:bottom w:w="284" w:type="dxa"/>
          <w:right w:w="108" w:type="dxa"/>
        </w:tblCellMar>
      </w:tblPr>
      <w:tblGrid>
        <w:gridCol w:w="3095"/>
        <w:gridCol w:w="3096"/>
        <w:gridCol w:w="3095"/>
      </w:tblGrid>
      <w:tr>
        <w:trPr/>
        <w:tc>
          <w:tcPr>
            <w:tcW w:w="3095" w:type="dxa"/>
            <w:tcBorders>
              <w:top w:val="single" w:color="FFFFFF" w:sz="4" w:space="0"/>
              <w:left w:val="single" w:color="FFFFFF" w:sz="4" w:space="0"/>
              <w:bottom w:val="single" w:color="FFFFFF" w:sz="4" w:space="0"/>
              <w:right w:val="single" w:color="FFFFFF" w:sz="4" w:space="0"/>
            </w:tcBorders>
          </w:tcPr>
          <w:p>
            <w:pPr>
              <w:pStyle w:val="Normal"/>
              <w:snapToGrid w:val="false"/>
              <w:jc w:val="both"/>
              <w:rPr>
                <w:lang w:val="en-US" w:eastAsia="en-US"/>
              </w:rPr>
            </w:pPr>
            <w:r>
              <w:rPr>
                <w:lang w:val="en-US" w:eastAsia="en-US"/>
              </w:rPr>
            </w:r>
          </w:p>
        </w:tc>
        <w:tc>
          <w:tcPr>
            <w:tcW w:w="3096" w:type="dxa"/>
            <w:tcBorders>
              <w:top w:val="single" w:color="FFFFFF" w:sz="4" w:space="0"/>
              <w:left w:val="single" w:color="FFFFFF" w:sz="4" w:space="0"/>
              <w:bottom w:val="single" w:color="FFFFFF" w:sz="4" w:space="0"/>
              <w:right w:val="single" w:color="FFFFFF" w:sz="4" w:space="0"/>
            </w:tcBorders>
          </w:tcPr>
          <w:p>
            <w:pPr>
              <w:pStyle w:val="Normal"/>
              <w:jc w:val="both"/>
              <w:rPr>
                <w:lang w:val="en-US" w:eastAsia="en-US"/>
              </w:rPr>
            </w:pPr>
            <w:r>
              <w:rPr>
                <w:lang w:val="en-US" w:eastAsia="en-US"/>
              </w:rPr>
              <w:t>Preşedinte,</w:t>
            </w:r>
          </w:p>
          <w:p>
            <w:pPr>
              <w:pStyle w:val="Normal"/>
              <w:jc w:val="both"/>
              <w:rPr>
                <w:lang w:val="en-US" w:eastAsia="en-US"/>
              </w:rPr>
            </w:pPr>
            <w:r>
              <w:rPr>
                <w:lang w:val="en-US" w:eastAsia="en-US"/>
              </w:rPr>
              <w:t>A0006</w:t>
            </w:r>
          </w:p>
        </w:tc>
        <w:tc>
          <w:tcPr>
            <w:tcW w:w="3095" w:type="dxa"/>
            <w:tcBorders>
              <w:top w:val="single" w:color="FFFFFF" w:sz="4" w:space="0"/>
              <w:left w:val="single" w:color="FFFFFF" w:sz="4" w:space="0"/>
              <w:bottom w:val="single" w:color="FFFFFF" w:sz="4" w:space="0"/>
              <w:right w:val="single" w:color="FFFFFF" w:sz="4" w:space="0"/>
            </w:tcBorders>
          </w:tcPr>
          <w:p>
            <w:pPr>
              <w:pStyle w:val="Normal"/>
              <w:snapToGrid w:val="false"/>
              <w:jc w:val="both"/>
              <w:rPr>
                <w:lang w:val="en-US" w:eastAsia="en-US"/>
              </w:rPr>
            </w:pPr>
            <w:r>
              <w:rPr>
                <w:lang w:val="en-US" w:eastAsia="en-US"/>
              </w:rPr>
            </w:r>
          </w:p>
        </w:tc>
      </w:tr>
      <w:tr>
        <w:trPr/>
        <w:tc>
          <w:tcPr>
            <w:tcW w:w="3095" w:type="dxa"/>
            <w:tcBorders>
              <w:top w:val="single" w:color="FFFFFF" w:sz="4" w:space="0"/>
              <w:left w:val="single" w:color="FFFFFF" w:sz="4" w:space="0"/>
              <w:bottom w:val="single" w:color="FFFFFF" w:sz="4" w:space="0"/>
              <w:right w:val="single" w:color="FFFFFF" w:sz="4" w:space="0"/>
            </w:tcBorders>
          </w:tcPr>
          <w:p>
            <w:pPr>
              <w:pStyle w:val="Normal"/>
              <w:snapToGrid w:val="false"/>
              <w:jc w:val="both"/>
              <w:rPr>
                <w:lang w:val="en-US" w:eastAsia="en-US"/>
              </w:rPr>
            </w:pPr>
            <w:r>
              <w:rPr>
                <w:lang w:val="en-US" w:eastAsia="en-US"/>
              </w:rPr>
            </w:r>
          </w:p>
        </w:tc>
        <w:tc>
          <w:tcPr>
            <w:tcW w:w="3096" w:type="dxa"/>
            <w:tcBorders>
              <w:top w:val="single" w:color="FFFFFF" w:sz="4" w:space="0"/>
              <w:left w:val="single" w:color="FFFFFF" w:sz="4" w:space="0"/>
              <w:bottom w:val="single" w:color="FFFFFF" w:sz="4" w:space="0"/>
              <w:right w:val="single" w:color="FFFFFF" w:sz="4" w:space="0"/>
            </w:tcBorders>
          </w:tcPr>
          <w:p>
            <w:pPr>
              <w:pStyle w:val="Normal"/>
              <w:jc w:val="both"/>
              <w:rPr>
                <w:lang w:val="en-US" w:eastAsia="en-US"/>
              </w:rPr>
            </w:pPr>
            <w:r>
              <w:rPr>
                <w:lang w:val="en-US" w:eastAsia="en-US"/>
              </w:rPr>
              <w:t>Grefier,</w:t>
            </w:r>
          </w:p>
          <w:p>
            <w:pPr>
              <w:pStyle w:val="Normal"/>
              <w:jc w:val="both"/>
              <w:rPr>
                <w:lang w:val="en-US" w:eastAsia="en-US"/>
              </w:rPr>
            </w:pPr>
            <w:r>
              <w:rPr>
                <w:lang w:val="en-US" w:eastAsia="en-US"/>
              </w:rPr>
              <w:t>...</w:t>
            </w:r>
          </w:p>
        </w:tc>
        <w:tc>
          <w:tcPr>
            <w:tcW w:w="3095" w:type="dxa"/>
            <w:tcBorders>
              <w:top w:val="single" w:color="FFFFFF" w:sz="4" w:space="0"/>
              <w:left w:val="single" w:color="FFFFFF" w:sz="4" w:space="0"/>
              <w:bottom w:val="single" w:color="FFFFFF" w:sz="4" w:space="0"/>
              <w:right w:val="single" w:color="FFFFFF" w:sz="4" w:space="0"/>
            </w:tcBorders>
          </w:tcPr>
          <w:p>
            <w:pPr>
              <w:pStyle w:val="Normal"/>
              <w:snapToGrid w:val="false"/>
              <w:jc w:val="both"/>
              <w:rPr>
                <w:lang w:val="en-US" w:eastAsia="en-US"/>
              </w:rPr>
            </w:pPr>
            <w:r>
              <w:rPr>
                <w:lang w:val="en-US" w:eastAsia="en-US"/>
              </w:rPr>
            </w:r>
          </w:p>
        </w:tc>
      </w:tr>
    </w:tbl>
    <w:p>
      <w:pPr>
        <w:pStyle w:val="Normal"/>
        <w:jc w:val="center"/>
        <w:rPr/>
      </w:pPr>
      <w:r>
        <w:rPr>
          <w:lang w:val="en-US" w:eastAsia="en-US"/>
        </w:rPr>
        <w:t>   </w:t>
      </w:r>
      <w:r>
        <w:rPr/>
      </w:r>
      <w:r>
        <w:rPr/>
      </w:r>
    </w:p>
    <w:p>
      <w:pPr>
        <w:pStyle w:val="Normal"/>
        <w:jc w:val="center"/>
        <w:rPr/>
      </w:pPr>
      <w:r>
        <w:rPr/>
      </w:r>
    </w:p>
    <w:p>
      <w:pPr>
        <w:pStyle w:val="Normal"/>
        <w:rPr/>
      </w:pPr>
      <w:r>
        <w:rPr/>
        <w:t>Red.jud.A0006/4 ex/...</w:t>
      </w:r>
    </w:p>
    <w:p>
      <w:pPr>
        <w:pStyle w:val="Normal"/>
        <w:rPr/>
      </w:pPr>
      <w:r>
        <w:rPr/>
        <w:t>Tehnored ....</w:t>
      </w:r>
    </w:p>
    <w:sectPr>
      <w:footerReference w:type="default" r:id="rId2"/>
      <w:type w:val="nextPage"/>
      <w:pgSz w:w="11906" w:h="16838"/>
      <w:pgMar w:top="851" w:right="851" w:bottom="851" w:left="1985" w:header="0" w:footer="720" w:gutter="0"/>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Liberation Sans">
    <w:altName w:val="Arial"/>
    <w:charset w:val="00"/>
    <w:family w:val="swiss"/>
    <w:pitch w:val="variable"/>
  </w:font>
  <w:font w:name="Calibri">
    <w:charset w:val="00"/>
    <w:family w:val="swiss"/>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jc w:val="center"/>
      <w:rPr/>
    </w:pPr>
    <w:r>
      <w:rPr/>
      <w:fldChar w:fldCharType="begin"/>
    </w:r>
    <w:r>
      <w:rPr/>
      <w:instrText xml:space="preserve"> PAGE </w:instrText>
    </w:r>
    <w:r>
      <w:rPr/>
      <w:fldChar w:fldCharType="separate"/>
    </w:r>
    <w:r>
      <w:rPr/>
      <w:t>14</w:t>
    </w:r>
    <w:r>
      <w:rPr/>
      <w:fldChar w:fldCharType="end"/>
    </w:r>
  </w:p>
  <w:p>
    <w:pPr>
      <w:pStyle w:val="Footer"/>
      <w:rPr/>
    </w:pPr>
    <w:r>
      <w:rPr/>
    </w:r>
  </w:p>
</w:ft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pStyle w:val="Heading1"/>
      <w:numFmt w:val="none"/>
      <w:suff w:val="nothing"/>
      <w:lvlText w:val="%1"/>
      <w:lvlJc w:val="left"/>
      <w:pPr>
        <w:tabs>
          <w:tab w:val="num" w:pos="0"/>
        </w:tabs>
        <w:ind w:left="0" w:hanging="0"/>
      </w:pPr>
    </w:lvl>
    <w:lvl w:ilvl="1">
      <w:start w:val="1"/>
      <w:numFmt w:val="none"/>
      <w:suff w:val="nothing"/>
      <w:lvlText w:val="%2"/>
      <w:lvlJc w:val="left"/>
      <w:pPr>
        <w:tabs>
          <w:tab w:val="num" w:pos="0"/>
        </w:tabs>
        <w:ind w:left="0" w:hanging="0"/>
      </w:pPr>
    </w:lvl>
    <w:lvl w:ilvl="2">
      <w:start w:val="1"/>
      <w:numFmt w:val="none"/>
      <w:suff w:val="nothing"/>
      <w:lvlText w:val="%3"/>
      <w:lvlJc w:val="left"/>
      <w:pPr>
        <w:tabs>
          <w:tab w:val="num" w:pos="0"/>
        </w:tabs>
        <w:ind w:left="0" w:hanging="0"/>
      </w:pPr>
    </w:lvl>
    <w:lvl w:ilvl="3">
      <w:start w:val="1"/>
      <w:numFmt w:val="none"/>
      <w:suff w:val="nothing"/>
      <w:lvlText w:val="%4"/>
      <w:lvlJc w:val="left"/>
      <w:pPr>
        <w:tabs>
          <w:tab w:val="num" w:pos="0"/>
        </w:tabs>
        <w:ind w:left="0" w:hanging="0"/>
      </w:pPr>
    </w:lvl>
    <w:lvl w:ilvl="4">
      <w:start w:val="1"/>
      <w:numFmt w:val="none"/>
      <w:suff w:val="nothing"/>
      <w:lvlText w:val="%5"/>
      <w:lvlJc w:val="left"/>
      <w:pPr>
        <w:tabs>
          <w:tab w:val="num" w:pos="0"/>
        </w:tabs>
        <w:ind w:left="0" w:hanging="0"/>
      </w:pPr>
    </w:lvl>
    <w:lvl w:ilvl="5">
      <w:start w:val="1"/>
      <w:numFmt w:val="none"/>
      <w:suff w:val="nothing"/>
      <w:lvlText w:val="%6"/>
      <w:lvlJc w:val="left"/>
      <w:pPr>
        <w:tabs>
          <w:tab w:val="num" w:pos="0"/>
        </w:tabs>
        <w:ind w:left="0" w:hanging="0"/>
      </w:pPr>
    </w:lvl>
    <w:lvl w:ilvl="6">
      <w:start w:val="1"/>
      <w:numFmt w:val="none"/>
      <w:suff w:val="nothing"/>
      <w:lvlText w:val="%7"/>
      <w:lvlJc w:val="left"/>
      <w:pPr>
        <w:tabs>
          <w:tab w:val="num" w:pos="0"/>
        </w:tabs>
        <w:ind w:left="0" w:hanging="0"/>
      </w:pPr>
    </w:lvl>
    <w:lvl w:ilvl="7">
      <w:start w:val="1"/>
      <w:numFmt w:val="none"/>
      <w:suff w:val="nothing"/>
      <w:lvlText w:val="%8"/>
      <w:lvlJc w:val="left"/>
      <w:pPr>
        <w:tabs>
          <w:tab w:val="num" w:pos="0"/>
        </w:tabs>
        <w:ind w:left="0" w:hanging="0"/>
      </w:pPr>
    </w:lvl>
    <w:lvl w:ilvl="8">
      <w:start w:val="1"/>
      <w:numFmt w:val="none"/>
      <w:suff w:val="nothing"/>
      <w:lvlText w:val="%9"/>
      <w:lvlJc w:val="left"/>
      <w:pPr>
        <w:tabs>
          <w:tab w:val="num" w:pos="0"/>
        </w:tabs>
        <w:ind w:left="0" w:hanging="0"/>
      </w:pPr>
    </w:lvl>
  </w:abstractNum>
  <w:num w:numId="1">
    <w:abstractNumId w:val="1"/>
  </w:num>
</w:numbering>
</file>

<file path=word/settings.xml><?xml version="1.0" encoding="utf-8"?>
<w:settings xmlns:w="http://schemas.openxmlformats.org/wordprocessingml/2006/main">
  <w:zoom w:percent="100"/>
  <w:mirrorMargins/>
  <w:defaultTabStop w:val="709"/>
  <w:autoHyphenation w:val="true"/>
  <w:compat>
    <w:doNotBreakWrappedTables/>
    <w:compatSetting w:name="compatibilityMode" w:uri="http://schemas.microsoft.com/office/word" w:val="12"/>
  </w:compat>
  <w:docVars>
    <w:docVar w:name="url" w:val="http://server3:80/ecris_cdms/document_upload.aspx?id_document=5400000001435887&amp;id_departament=5&amp;id_sesiune=1986114&amp;id_user=364&amp;id_institutie=54&amp;actiune=modifica"/>
  </w:docVars>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erif" w:hAnsi="Liberation Serif" w:eastAsia="DejaVu Sans" w:cs="FreeSans"/>
        <w:sz w:val="24"/>
        <w:szCs w:val="24"/>
        <w:lang w:val="en-US" w:eastAsia="zh-CN" w:bidi="hi-IN"/>
      </w:rPr>
    </w:rPrDefault>
    <w:pPrDefault>
      <w:pPr>
        <w:suppressAutoHyphens w:val="true"/>
      </w:pPr>
    </w:pPrDefault>
  </w:docDefaults>
  <w:style w:type="paragraph" w:styleId="Normal">
    <w:name w:val="Normal"/>
    <w:qFormat/>
    <w:pPr>
      <w:widowControl/>
      <w:kinsoku w:val="true"/>
      <w:overflowPunct w:val="true"/>
      <w:autoSpaceDE w:val="true"/>
      <w:bidi w:val="0"/>
    </w:pPr>
    <w:rPr>
      <w:rFonts w:ascii="Times New Roman" w:hAnsi="Times New Roman" w:eastAsia="Times New Roman" w:cs="Times New Roman"/>
      <w:color w:val="auto"/>
      <w:sz w:val="24"/>
      <w:szCs w:val="24"/>
      <w:lang w:val="ro-RO" w:bidi="ar-SA" w:eastAsia="zh-CN"/>
    </w:rPr>
  </w:style>
  <w:style w:type="paragraph" w:styleId="Heading1">
    <w:name w:val="Heading 1"/>
    <w:basedOn w:val="Normal"/>
    <w:next w:val="Normal"/>
    <w:qFormat/>
    <w:pPr>
      <w:keepNext w:val="true"/>
      <w:numPr>
        <w:ilvl w:val="0"/>
        <w:numId w:val="1"/>
      </w:numPr>
      <w:jc w:val="center"/>
      <w:outlineLvl w:val="0"/>
    </w:pPr>
    <w:rPr>
      <w:b/>
      <w:bCs/>
      <w:sz w:val="28"/>
      <w:szCs w:val="15"/>
      <w:lang w:val="en-US"/>
    </w:rPr>
  </w:style>
  <w:style w:type="character" w:styleId="WW8Num1z0">
    <w:name w:val="WW8Num1z0"/>
    <w:qFormat/>
    <w:rPr/>
  </w:style>
  <w:style w:type="character" w:styleId="DefaultParagraphFont">
    <w:name w:val="Default Paragraph Font"/>
    <w:qFormat/>
    <w:rPr/>
  </w:style>
  <w:style w:type="character" w:styleId="HeaderChar">
    <w:name w:val="Header Char"/>
    <w:qFormat/>
    <w:rPr>
      <w:sz w:val="24"/>
      <w:szCs w:val="24"/>
    </w:rPr>
  </w:style>
  <w:style w:type="character" w:styleId="FooterChar">
    <w:name w:val="Footer Char"/>
    <w:qFormat/>
    <w:rPr>
      <w:sz w:val="24"/>
      <w:szCs w:val="24"/>
    </w:rPr>
  </w:style>
  <w:style w:type="paragraph" w:styleId="Heading">
    <w:name w:val="Heading"/>
    <w:basedOn w:val="Normal"/>
    <w:next w:val="BodyText"/>
    <w:qFormat/>
    <w:pPr>
      <w:keepNext w:val="true"/>
      <w:spacing w:before="240" w:after="120"/>
    </w:pPr>
    <w:rPr>
      <w:rFonts w:ascii="Liberation Sans" w:hAnsi="Liberation Sans" w:eastAsia="DejaVu Sans" w:cs="FreeSans"/>
      <w:sz w:val="28"/>
      <w:szCs w:val="28"/>
    </w:rPr>
  </w:style>
  <w:style w:type="paragraph" w:styleId="BodyText">
    <w:name w:val="Body Text"/>
    <w:basedOn w:val="Normal"/>
    <w:pPr>
      <w:spacing w:lineRule="auto" w:line="276" w:before="0" w:after="140"/>
    </w:pPr>
    <w:rPr/>
  </w:style>
  <w:style w:type="paragraph" w:styleId="List">
    <w:name w:val="List"/>
    <w:basedOn w:val="BodyText"/>
    <w:pPr/>
    <w:rPr>
      <w:rFonts w:cs="FreeSans"/>
    </w:rPr>
  </w:style>
  <w:style w:type="paragraph" w:styleId="Caption">
    <w:name w:val="Caption"/>
    <w:basedOn w:val="Normal"/>
    <w:qFormat/>
    <w:pPr>
      <w:suppressLineNumbers/>
      <w:spacing w:before="120" w:after="120"/>
    </w:pPr>
    <w:rPr>
      <w:rFonts w:cs="FreeSans"/>
      <w:i/>
      <w:iCs/>
      <w:sz w:val="24"/>
      <w:szCs w:val="24"/>
    </w:rPr>
  </w:style>
  <w:style w:type="paragraph" w:styleId="Index">
    <w:name w:val="Index"/>
    <w:basedOn w:val="Normal"/>
    <w:qFormat/>
    <w:pPr>
      <w:suppressLineNumbers/>
    </w:pPr>
    <w:rPr>
      <w:rFonts w:cs="FreeSans"/>
    </w:rPr>
  </w:style>
  <w:style w:type="paragraph" w:styleId="NormalWeb">
    <w:name w:val="Normal (Web)"/>
    <w:basedOn w:val="Normal"/>
    <w:qFormat/>
    <w:pPr>
      <w:spacing w:before="280" w:after="280"/>
    </w:pPr>
    <w:rPr/>
  </w:style>
  <w:style w:type="paragraph" w:styleId="ListParagraph">
    <w:name w:val="List Paragraph"/>
    <w:basedOn w:val="Normal"/>
    <w:qFormat/>
    <w:pPr>
      <w:spacing w:lineRule="auto" w:line="256" w:before="0" w:after="160"/>
      <w:ind w:hanging="0" w:left="720" w:right="0"/>
      <w:contextualSpacing/>
    </w:pPr>
    <w:rPr>
      <w:rFonts w:ascii="Calibri" w:hAnsi="Calibri" w:eastAsia="Calibri" w:cs="Arial"/>
      <w:sz w:val="22"/>
      <w:szCs w:val="22"/>
    </w:rPr>
  </w:style>
  <w:style w:type="paragraph" w:styleId="NoSpacing">
    <w:name w:val="No Spacing"/>
    <w:qFormat/>
    <w:pPr>
      <w:widowControl/>
      <w:kinsoku w:val="true"/>
      <w:overflowPunct w:val="true"/>
      <w:autoSpaceDE w:val="true"/>
      <w:bidi w:val="0"/>
    </w:pPr>
    <w:rPr>
      <w:rFonts w:ascii="Times New Roman" w:hAnsi="Times New Roman" w:eastAsia="Times New Roman" w:cs="Times New Roman"/>
      <w:color w:val="auto"/>
      <w:sz w:val="24"/>
      <w:szCs w:val="24"/>
      <w:lang w:val="ro-RO" w:bidi="ar-SA" w:eastAsia="zh-CN"/>
    </w:rPr>
  </w:style>
  <w:style w:type="paragraph" w:styleId="HeaderandFooter">
    <w:name w:val="Header and Footer"/>
    <w:basedOn w:val="Normal"/>
    <w:qFormat/>
    <w:pPr>
      <w:suppressLineNumbers/>
      <w:tabs>
        <w:tab w:val="clear" w:pos="709"/>
        <w:tab w:val="center" w:pos="4819" w:leader="none"/>
        <w:tab w:val="right" w:pos="9638" w:leader="none"/>
      </w:tabs>
    </w:pPr>
    <w:rPr/>
  </w:style>
  <w:style w:type="paragraph" w:styleId="Header">
    <w:name w:val="Header"/>
    <w:basedOn w:val="Normal"/>
    <w:pPr>
      <w:tabs>
        <w:tab w:val="clear" w:pos="709"/>
        <w:tab w:val="center" w:pos="4536" w:leader="none"/>
        <w:tab w:val="right" w:pos="9072" w:leader="none"/>
      </w:tabs>
    </w:pPr>
    <w:rPr/>
  </w:style>
  <w:style w:type="paragraph" w:styleId="Footer">
    <w:name w:val="Footer"/>
    <w:basedOn w:val="Normal"/>
    <w:pPr>
      <w:tabs>
        <w:tab w:val="clear" w:pos="709"/>
        <w:tab w:val="center" w:pos="4536" w:leader="none"/>
        <w:tab w:val="right" w:pos="9072" w:leader="none"/>
      </w:tabs>
    </w:pPr>
    <w:rPr/>
  </w:style>
  <w:style w:type="paragraph" w:styleId="CaracterCaracterCaracterCaracter">
    <w:name w:val=" Caracter Caracter Caracter Caracter"/>
    <w:basedOn w:val="Normal"/>
    <w:qFormat/>
    <w:pPr/>
    <w:rPr>
      <w:sz w:val="20"/>
      <w:szCs w:val="20"/>
      <w:lang w:val="pl-PL"/>
    </w:rPr>
  </w:style>
  <w:style w:type="paragraph" w:styleId="TableContents">
    <w:name w:val="Table Contents"/>
    <w:basedOn w:val="Normal"/>
    <w:qFormat/>
    <w:pPr>
      <w:widowControl w:val="false"/>
      <w:suppressLineNumbers/>
    </w:pPr>
    <w:rPr/>
  </w:style>
  <w:style w:type="paragraph" w:styleId="TableHeading">
    <w:name w:val="Table Heading"/>
    <w:basedOn w:val="TableContents"/>
    <w:qFormat/>
    <w:pPr>
      <w:suppressLineNumbers/>
      <w:jc w:val="center"/>
    </w:pPr>
    <w:rPr>
      <w:b/>
      <w:bCs/>
    </w:rPr>
  </w:style>
  <w:style w:type="numbering" w:styleId="WW8Num1">
    <w:name w:val="WW8Num1"/>
    <w:qFormat/>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oter" Target="footer1.xml"/><Relationship Id="rId3" Type="http://schemas.openxmlformats.org/officeDocument/2006/relationships/numbering" Target="numbering.xml"/><Relationship Id="rId4" Type="http://schemas.openxmlformats.org/officeDocument/2006/relationships/fontTable" Target="fontTable.xml"/><Relationship Id="rId5" Type="http://schemas.openxmlformats.org/officeDocument/2006/relationships/settings" Target="settings.xml"/><Relationship Id="rId6" Type="http://schemas.openxmlformats.org/officeDocument/2006/relationships/theme" Target="theme/theme1.xml"/>
</Relationships>
</file>

<file path=word/theme/theme1.xml><?xml version="1.0" encoding="utf-8"?>
<a:theme xmlns:a="http://schemas.openxmlformats.org/drawingml/2006/main" xmlns:r="http://schemas.openxmlformats.org/officeDocument/2006/relationships" name="Office">
  <a:themeElements>
    <a:clrScheme name="LibreOffice">
      <a:dk1>
        <a:srgbClr val="000000"/>
      </a:dk1>
      <a:lt1>
        <a:srgbClr val="ffffff"/>
      </a:lt1>
      <a:dk2>
        <a:srgbClr val="000000"/>
      </a:dk2>
      <a:lt2>
        <a:srgbClr val="ffffff"/>
      </a:lt2>
      <a:accent1>
        <a:srgbClr val="18a303"/>
      </a:accent1>
      <a:accent2>
        <a:srgbClr val="0369a3"/>
      </a:accent2>
      <a:accent3>
        <a:srgbClr val="a33e03"/>
      </a:accent3>
      <a:accent4>
        <a:srgbClr val="8e03a3"/>
      </a:accent4>
      <a:accent5>
        <a:srgbClr val="c99c00"/>
      </a:accent5>
      <a:accent6>
        <a:srgbClr val="c9211e"/>
      </a:accent6>
      <a:hlink>
        <a:srgbClr val="0000ee"/>
      </a:hlink>
      <a:folHlink>
        <a:srgbClr val="551a8b"/>
      </a:folHlink>
    </a:clrScheme>
    <a:fontScheme name="Office">
      <a:majorFont>
        <a:latin typeface="Arial" pitchFamily="0" charset="1"/>
        <a:ea typeface="DejaVu Sans" pitchFamily="0" charset="1"/>
        <a:cs typeface="DejaVu Sans" pitchFamily="0" charset="1"/>
      </a:majorFont>
      <a:minorFont>
        <a:latin typeface="Arial" pitchFamily="0" charset="1"/>
        <a:ea typeface="DejaVu Sans" pitchFamily="0" charset="1"/>
        <a:cs typeface="DejaVu Sans" pitchFamily="0" charset="1"/>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theme>
</file>

<file path=docProps/app.xml><?xml version="1.0" encoding="utf-8"?>
<ap:Properties xmlns:vt="http://schemas.openxmlformats.org/officeDocument/2006/docPropsVTypes" xmlns:ap="http://schemas.openxmlformats.org/officeDocument/2006/extended-properties">
  <ap:Template/>
  <ap:SharedDoc>false</ap:SharedDoc>
  <ap:LinksUpToDate>false</ap:LinksUpToDate>
  <ap:HyperlinkBase/>
  <ap:Manager/>
  <ap:Company/>
  <ap:TotalTime>57</ap:TotalTime>
  <ap:Application>LibreOffice/24.2.7.2$Linux_X86_64 LibreOffice_project/420$Build-2</ap:Application>
  <ap:AppVersion>15.0000</ap:AppVersion>
  <ap:Pages>14</ap:Pages>
  <ap:Words>7554</ap:Words>
  <ap:Characters>45828</ap:Characters>
  <ap:CharactersWithSpaces>53250</ap:CharactersWithSpaces>
  <ap:Paragraphs>186</ap:Paragraphs>
</ap:Properties>
</file>

<file path=docProps/core.xml><?xml version="1.0" encoding="utf-8"?>
<coreProperties xmlns:dc="http://purl.org/dc/elements/1.1/" xmlns:dcterms="http://purl.org/dc/terms/" xmlns:xsi="http://www.w3.org/2001/XMLSchema-instance" xmlns="http://schemas.openxmlformats.org/package/2006/metadata/core-properties">
  <dc:creator/>
  <dc:description/>
  <keywords/>
  <dc:language/>
  <lastModifiedBy/>
  <revision/>
  <dc:subject/>
  <dc:title/>
  <category/>
  <contentStatus/>
  <dc:identifier/>
  <version/>
</coreProperties>
</file>