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D7437D" w:rsidR="00B843F5" w:rsidP="00EF59A8">
      <w:pPr>
        <w:rPr>
          <w:b/>
          <w:bCs/>
        </w:rPr>
      </w:pPr>
      <w:r w:rsidRPr="00D7437D" w:rsidR="000978A1">
        <w:rPr>
          <w:b/>
          <w:bCs/>
        </w:rPr>
        <w:t>HOT. 17</w:t>
      </w:r>
    </w:p>
    <w:p w:rsidRPr="00EF59A8" w:rsidR="00EF59A8" w:rsidP="00EF59A8">
      <w:r w:rsidRPr="00EF59A8">
        <w:t xml:space="preserve">Dosar nr. </w:t>
      </w:r>
      <w:r w:rsidR="00B843F5">
        <w:t>...</w:t>
      </w:r>
    </w:p>
    <w:p w:rsidRPr="00EF59A8" w:rsidR="00EF59A8" w:rsidP="00EF59A8">
      <w:pPr>
        <w:jc w:val="center"/>
      </w:pPr>
    </w:p>
    <w:p w:rsidRPr="00EF59A8" w:rsidR="00EF59A8" w:rsidP="00EF59A8">
      <w:pPr>
        <w:jc w:val="center"/>
      </w:pPr>
      <w:r w:rsidRPr="00EF59A8">
        <w:t>R O M Â N I A</w:t>
      </w:r>
    </w:p>
    <w:p w:rsidRPr="00EF59A8" w:rsidR="00EF59A8" w:rsidP="00EF59A8">
      <w:pPr>
        <w:jc w:val="center"/>
      </w:pPr>
      <w:r w:rsidRPr="00EF59A8">
        <w:t xml:space="preserve">CURTEA DE APEL </w:t>
      </w:r>
      <w:r w:rsidR="00B843F5">
        <w:t>...</w:t>
      </w:r>
    </w:p>
    <w:p w:rsidRPr="00EF59A8" w:rsidR="00EF59A8" w:rsidP="00EF59A8">
      <w:pPr>
        <w:jc w:val="center"/>
      </w:pPr>
      <w:r w:rsidRPr="00EF59A8">
        <w:t xml:space="preserve">SECŢIA </w:t>
      </w:r>
      <w:r w:rsidR="00B843F5">
        <w:t>...</w:t>
      </w:r>
    </w:p>
    <w:p w:rsidRPr="00EF59A8" w:rsidR="00EF59A8" w:rsidP="00EF59A8">
      <w:pPr>
        <w:jc w:val="center"/>
        <w:rPr>
          <w:lang w:val="en-US"/>
        </w:rPr>
      </w:pPr>
    </w:p>
    <w:p w:rsidRPr="00EF59A8" w:rsidR="00EF59A8" w:rsidP="00EF59A8">
      <w:pPr>
        <w:jc w:val="center"/>
        <w:rPr>
          <w:lang w:val="en-US"/>
        </w:rPr>
      </w:pPr>
    </w:p>
    <w:p w:rsidRPr="00EF59A8" w:rsidR="00EF59A8" w:rsidP="00EF59A8">
      <w:pPr>
        <w:jc w:val="center"/>
      </w:pPr>
      <w:bookmarkStart w:name="tip_incheiere" w:id="0"/>
      <w:r w:rsidRPr="00EF59A8">
        <w:t>DECIZIE</w:t>
      </w:r>
      <w:bookmarkEnd w:id="0"/>
      <w:r w:rsidRPr="00EF59A8">
        <w:t xml:space="preserve"> Nr. </w:t>
      </w:r>
      <w:r w:rsidR="00B843F5">
        <w:t>...</w:t>
      </w:r>
    </w:p>
    <w:p w:rsidRPr="00EF59A8" w:rsidR="00EF59A8" w:rsidP="00EF59A8">
      <w:pPr>
        <w:jc w:val="center"/>
      </w:pPr>
      <w:r w:rsidRPr="00EF59A8">
        <w:t>Şedinţa </w:t>
      </w:r>
      <w:bookmarkStart w:name="tip_sedinta" w:id="1"/>
      <w:r w:rsidRPr="00EF59A8">
        <w:t>publică</w:t>
      </w:r>
      <w:bookmarkEnd w:id="1"/>
      <w:r w:rsidRPr="00EF59A8">
        <w:t xml:space="preserve"> de la </w:t>
      </w:r>
      <w:r w:rsidR="00B843F5">
        <w:t>...</w:t>
      </w:r>
    </w:p>
    <w:p w:rsidRPr="00EF59A8" w:rsidR="00EF59A8" w:rsidP="00EF59A8">
      <w:pPr>
        <w:jc w:val="center"/>
      </w:pPr>
      <w:r w:rsidRPr="00EF59A8">
        <w:t>Completul compus din:</w:t>
      </w:r>
    </w:p>
    <w:p w:rsidRPr="00EF59A8" w:rsidR="00EF59A8" w:rsidP="00B843F5">
      <w:pPr>
        <w:ind w:left="3261"/>
      </w:pPr>
      <w:r w:rsidRPr="00EF59A8">
        <w:t xml:space="preserve">PREŞEDINTE: </w:t>
      </w:r>
      <w:r w:rsidR="00B843F5">
        <w:t>A0007</w:t>
      </w:r>
    </w:p>
    <w:p w:rsidRPr="00EF59A8" w:rsidR="00EF59A8" w:rsidP="00B843F5">
      <w:pPr>
        <w:ind w:left="2977" w:firstLine="284"/>
      </w:pPr>
      <w:r w:rsidRPr="00EF59A8">
        <w:t xml:space="preserve">Judecător:  </w:t>
      </w:r>
      <w:r w:rsidR="00B843F5">
        <w:t>...</w:t>
      </w:r>
    </w:p>
    <w:p w:rsidRPr="00EF59A8" w:rsidR="00EF59A8" w:rsidP="00B843F5">
      <w:pPr>
        <w:ind w:left="2977" w:firstLine="284"/>
      </w:pPr>
      <w:r w:rsidRPr="00EF59A8">
        <w:t xml:space="preserve">Judecător:  </w:t>
      </w:r>
      <w:r w:rsidR="00B843F5">
        <w:t>...</w:t>
      </w:r>
    </w:p>
    <w:p w:rsidRPr="00EF59A8" w:rsidR="00EF59A8" w:rsidP="00B843F5">
      <w:pPr>
        <w:ind w:left="2977" w:firstLine="284"/>
      </w:pPr>
      <w:r w:rsidRPr="00EF59A8">
        <w:t xml:space="preserve">Grefier: </w:t>
      </w:r>
      <w:r w:rsidR="00B843F5">
        <w:t>...</w:t>
      </w:r>
    </w:p>
    <w:p w:rsidRPr="00EF59A8" w:rsidR="00EF59A8" w:rsidP="00EF59A8">
      <w:pPr>
        <w:ind w:left="2552"/>
        <w:jc w:val="both"/>
      </w:pPr>
    </w:p>
    <w:p w:rsidRPr="00EF59A8" w:rsidR="00EF59A8" w:rsidP="00EF59A8">
      <w:pPr>
        <w:jc w:val="center"/>
      </w:pPr>
    </w:p>
    <w:p w:rsidRPr="00EF59A8" w:rsidR="00EF59A8" w:rsidP="00EF59A8">
      <w:pPr>
        <w:jc w:val="both"/>
      </w:pPr>
      <w:r w:rsidRPr="00EF59A8">
        <w:tab/>
        <w:t xml:space="preserve">Pe rol judecarea recursului </w:t>
      </w:r>
      <w:r w:rsidRPr="00EF59A8">
        <w:t xml:space="preserve">formulat de reclamanta </w:t>
      </w:r>
      <w:r w:rsidRPr="00F76CE2" w:rsidR="00F76CE2">
        <w:rPr>
          <w:b/>
          <w:bCs/>
        </w:rPr>
        <w:t>X</w:t>
      </w:r>
      <w:r w:rsidRPr="00EF59A8">
        <w:t xml:space="preserve"> prin SINDICATUL POLIŢIŞTILOR </w:t>
      </w:r>
      <w:r w:rsidR="008B1D1E">
        <w:t>...</w:t>
      </w:r>
      <w:r w:rsidRPr="00EF59A8">
        <w:t>, împotriva sentinţei nr.</w:t>
      </w:r>
      <w:r w:rsidR="00F76CE2">
        <w:t>...</w:t>
      </w:r>
      <w:r w:rsidRPr="00EF59A8">
        <w:t xml:space="preserve"> din </w:t>
      </w:r>
      <w:r w:rsidR="00F76CE2">
        <w:t>...</w:t>
      </w:r>
      <w:r w:rsidRPr="00EF59A8">
        <w:t xml:space="preserve">, pronunţată de Tribunalul </w:t>
      </w:r>
      <w:r w:rsidR="00F76CE2">
        <w:t>...</w:t>
      </w:r>
      <w:r w:rsidRPr="00EF59A8">
        <w:t>, în dosarul nr.</w:t>
      </w:r>
      <w:r w:rsidR="00F76CE2">
        <w:t>...</w:t>
      </w:r>
      <w:r w:rsidRPr="00EF59A8">
        <w:t xml:space="preserve">, în contradictoriu cu intimatul pârât INSPECTORATUL JUDEŢEAN DE POLIŢIE </w:t>
      </w:r>
      <w:r w:rsidR="00F76CE2">
        <w:t>...</w:t>
      </w:r>
      <w:r w:rsidRPr="00EF59A8">
        <w:t xml:space="preserve">, având ca obiect litigiu privind funcţionarii publici statutari. </w:t>
      </w:r>
    </w:p>
    <w:p w:rsidRPr="00EF59A8" w:rsidR="00EF59A8" w:rsidP="00EF59A8">
      <w:pPr>
        <w:jc w:val="both"/>
      </w:pPr>
      <w:r w:rsidRPr="00EF59A8">
        <w:tab/>
        <w:t xml:space="preserve">La apelul nominal făcut în şedinţa </w:t>
      </w:r>
      <w:bookmarkStart w:name="tip_sedinta_copie_1" w:id="2"/>
      <w:r w:rsidRPr="00EF59A8">
        <w:t>publică</w:t>
      </w:r>
      <w:bookmarkEnd w:id="2"/>
      <w:r w:rsidRPr="00EF59A8">
        <w:t xml:space="preserve"> au lipsit părţile.</w:t>
      </w:r>
    </w:p>
    <w:p w:rsidRPr="00EF59A8" w:rsidR="00EF59A8" w:rsidP="00EF59A8">
      <w:pPr>
        <w:jc w:val="both"/>
      </w:pPr>
      <w:bookmarkStart w:name="prezenti" w:id="3"/>
      <w:r w:rsidRPr="00EF59A8">
        <w:rPr>
          <w:noProof/>
        </w:rPr>
        <w:t> </w:t>
      </w:r>
      <w:r w:rsidRPr="00EF59A8">
        <w:rPr>
          <w:noProof/>
        </w:rPr>
        <w:t> </w:t>
      </w:r>
      <w:r w:rsidRPr="00EF59A8">
        <w:rPr>
          <w:noProof/>
        </w:rPr>
        <w:t> </w:t>
      </w:r>
      <w:r w:rsidRPr="00EF59A8">
        <w:rPr>
          <w:noProof/>
        </w:rPr>
        <w:t> </w:t>
      </w:r>
      <w:r w:rsidRPr="00EF59A8">
        <w:rPr>
          <w:noProof/>
        </w:rPr>
        <w:t> </w:t>
      </w:r>
      <w:bookmarkEnd w:id="3"/>
      <w:r w:rsidRPr="00EF59A8">
        <w:t xml:space="preserve"> S-a făcut referatul cauzei de către grefier care învederează că recursul este declarat şi motivat în termenul legal.</w:t>
      </w:r>
    </w:p>
    <w:p w:rsidRPr="00EF59A8" w:rsidR="00EF59A8" w:rsidP="00EF59A8">
      <w:pPr>
        <w:jc w:val="both"/>
      </w:pPr>
      <w:r w:rsidRPr="00EF59A8">
        <w:tab/>
        <w:t xml:space="preserve">De asemenea </w:t>
      </w:r>
      <w:r w:rsidRPr="00EF59A8">
        <w:t>se învederează că recurenta reclamantă a solicitat judecarea cauzei în lipsă potrivit dispoziţiilor art. 411 alin. 1 pct. 2 Codul de procedură civilă.</w:t>
      </w:r>
    </w:p>
    <w:p w:rsidRPr="00EF59A8" w:rsidR="00EF59A8" w:rsidP="00EF59A8">
      <w:pPr>
        <w:jc w:val="both"/>
      </w:pPr>
      <w:r w:rsidRPr="00EF59A8">
        <w:t xml:space="preserve">     </w:t>
        <w:tab/>
        <w:t>Constatând ca nu mai sunt alte cereri din partea părţilor si ca s-a solicitat judecarea cauzei în lipsa, apreciind îndeplinite dispoziţiile art. 394(1) Noul Cod de procedura civila, retine cauza spre solu</w:t>
      </w:r>
      <w:r w:rsidRPr="00EF59A8">
        <w:t>ţionare.</w:t>
      </w:r>
    </w:p>
    <w:p w:rsidRPr="00EF59A8" w:rsidR="00EF59A8" w:rsidP="00EF59A8">
      <w:pPr>
        <w:jc w:val="both"/>
      </w:pPr>
    </w:p>
    <w:p w:rsidRPr="00EF59A8" w:rsidR="00EF59A8" w:rsidP="00EF59A8">
      <w:pPr>
        <w:jc w:val="center"/>
      </w:pPr>
      <w:r w:rsidRPr="00EF59A8">
        <w:t>C U R T E A:</w:t>
      </w:r>
    </w:p>
    <w:p w:rsidRPr="00EF59A8" w:rsidR="00EF59A8" w:rsidP="00EF59A8">
      <w:pPr>
        <w:jc w:val="center"/>
      </w:pPr>
    </w:p>
    <w:p w:rsidRPr="00EF59A8" w:rsidR="00EF59A8" w:rsidP="00EF59A8">
      <w:pPr>
        <w:jc w:val="both"/>
      </w:pPr>
      <w:r w:rsidRPr="00EF59A8">
        <w:tab/>
        <w:t>Asupra recursului de faţă;</w:t>
      </w:r>
    </w:p>
    <w:p w:rsidRPr="00EF59A8" w:rsidR="00EF59A8" w:rsidP="00EF59A8">
      <w:pPr>
        <w:ind w:firstLine="709"/>
        <w:jc w:val="both"/>
        <w:rPr>
          <w:rFonts w:eastAsia="Calibri"/>
          <w:lang w:eastAsia="en-US"/>
        </w:rPr>
      </w:pPr>
      <w:r w:rsidRPr="00EF59A8">
        <w:rPr>
          <w:rFonts w:eastAsia="Calibri"/>
          <w:lang w:eastAsia="en-US"/>
        </w:rPr>
        <w:t xml:space="preserve">Prin sentinţa nr. </w:t>
      </w:r>
      <w:r w:rsidR="004F47F2">
        <w:rPr>
          <w:rFonts w:eastAsia="Calibri"/>
          <w:lang w:eastAsia="en-US"/>
        </w:rPr>
        <w:t>...</w:t>
      </w:r>
      <w:r w:rsidRPr="00EF59A8">
        <w:rPr>
          <w:rFonts w:eastAsia="Calibri"/>
          <w:lang w:eastAsia="en-US"/>
        </w:rPr>
        <w:t xml:space="preserve"> pronuntata de Tribunalul </w:t>
      </w:r>
      <w:r w:rsidR="00F76CE2">
        <w:rPr>
          <w:rFonts w:eastAsia="Calibri"/>
          <w:lang w:eastAsia="en-US"/>
        </w:rPr>
        <w:t>...</w:t>
      </w:r>
      <w:r w:rsidRPr="00EF59A8">
        <w:rPr>
          <w:rFonts w:eastAsia="Calibri"/>
          <w:lang w:eastAsia="en-US"/>
        </w:rPr>
        <w:t xml:space="preserve"> în dosarul nr. </w:t>
      </w:r>
      <w:r w:rsidR="004F47F2">
        <w:rPr>
          <w:rFonts w:eastAsia="Calibri"/>
          <w:lang w:eastAsia="en-US"/>
        </w:rPr>
        <w:t>...</w:t>
      </w:r>
      <w:r w:rsidRPr="00EF59A8">
        <w:rPr>
          <w:rFonts w:eastAsia="Calibri"/>
          <w:lang w:eastAsia="en-US"/>
        </w:rPr>
        <w:t xml:space="preserve"> a fost respinsă excepţia inad</w:t>
      </w:r>
      <w:r w:rsidRPr="00EF59A8">
        <w:rPr>
          <w:rFonts w:eastAsia="Calibri"/>
          <w:lang w:eastAsia="en-US"/>
        </w:rPr>
        <w:t>misibilității cererii de chemare în judecată, ca neîntemeiată.</w:t>
      </w:r>
    </w:p>
    <w:p w:rsidRPr="00EF59A8" w:rsidR="00EF59A8" w:rsidP="00EF59A8">
      <w:pPr>
        <w:ind w:firstLine="709"/>
        <w:jc w:val="both"/>
      </w:pPr>
      <w:r w:rsidRPr="00EF59A8">
        <w:t xml:space="preserve">A fost respinsă  cererea de chemare în judecată formulată de reclamanta </w:t>
      </w:r>
      <w:r w:rsidRPr="00F76CE2" w:rsidR="00F76CE2">
        <w:rPr>
          <w:b/>
          <w:bCs/>
        </w:rPr>
        <w:t>X</w:t>
      </w:r>
      <w:r w:rsidRPr="00EF59A8">
        <w:t xml:space="preserve">, PRIN SINDICATUL POLIŢIŞTILOR </w:t>
      </w:r>
      <w:r w:rsidR="008B1D1E">
        <w:t>...</w:t>
      </w:r>
      <w:r w:rsidRPr="00EF59A8">
        <w:t xml:space="preserve">, cu sediul procesual ales la SCA </w:t>
      </w:r>
      <w:r w:rsidR="00F76CE2">
        <w:t>...</w:t>
      </w:r>
      <w:r w:rsidRPr="00EF59A8">
        <w:t xml:space="preserve">, în mun. </w:t>
      </w:r>
      <w:r w:rsidR="00F76CE2">
        <w:t>...</w:t>
      </w:r>
      <w:r w:rsidRPr="00EF59A8">
        <w:t xml:space="preserve">, str. </w:t>
      </w:r>
      <w:r w:rsidR="00F76CE2">
        <w:t>...</w:t>
      </w:r>
      <w:r w:rsidRPr="00EF59A8">
        <w:t xml:space="preserve"> nr. </w:t>
      </w:r>
      <w:r w:rsidR="00F76CE2">
        <w:t>...</w:t>
      </w:r>
      <w:r w:rsidRPr="00EF59A8">
        <w:t xml:space="preserve">, sc. </w:t>
      </w:r>
      <w:r w:rsidR="00F76CE2">
        <w:t>...</w:t>
      </w:r>
      <w:r w:rsidRPr="00EF59A8">
        <w:t xml:space="preserve">, ap. </w:t>
      </w:r>
      <w:r w:rsidR="00F76CE2">
        <w:t>...</w:t>
      </w:r>
      <w:r w:rsidRPr="00EF59A8">
        <w:t xml:space="preserve">, jud. </w:t>
      </w:r>
      <w:r w:rsidR="00F76CE2">
        <w:t>...</w:t>
      </w:r>
      <w:r w:rsidRPr="00EF59A8">
        <w:t xml:space="preserve">, în contradictoriu cu pârâtul INSPECTORATUL DE POLIŢIE JUDEŢEAN </w:t>
      </w:r>
      <w:r w:rsidR="00F76CE2">
        <w:t>...</w:t>
      </w:r>
      <w:r w:rsidRPr="00EF59A8">
        <w:t xml:space="preserve">, cu sediul în mun. </w:t>
      </w:r>
      <w:r w:rsidR="00F76CE2">
        <w:t>...</w:t>
      </w:r>
      <w:r w:rsidRPr="00EF59A8">
        <w:t xml:space="preserve">, str. </w:t>
      </w:r>
      <w:r w:rsidR="00F76CE2">
        <w:t>...</w:t>
      </w:r>
      <w:r w:rsidRPr="00EF59A8">
        <w:t xml:space="preserve"> nr. </w:t>
      </w:r>
      <w:r w:rsidR="00F76CE2">
        <w:t>...</w:t>
      </w:r>
      <w:r w:rsidRPr="00EF59A8">
        <w:t xml:space="preserve">, jud. </w:t>
      </w:r>
      <w:r w:rsidR="00F76CE2">
        <w:t>...</w:t>
      </w:r>
      <w:r w:rsidRPr="00EF59A8">
        <w:t>, ca neîntemeiată.</w:t>
      </w:r>
    </w:p>
    <w:p w:rsidRPr="00EF59A8" w:rsidR="00EF59A8" w:rsidP="00EF59A8">
      <w:pPr>
        <w:ind w:firstLine="630"/>
        <w:jc w:val="both"/>
        <w:rPr>
          <w:rFonts w:eastAsia="Calibri"/>
          <w:lang w:eastAsia="en-US"/>
        </w:rPr>
      </w:pPr>
      <w:r w:rsidRPr="00EF59A8">
        <w:rPr>
          <w:rFonts w:eastAsia="Calibri"/>
          <w:lang w:eastAsia="en-US"/>
        </w:rPr>
        <w:t xml:space="preserve">Împotriva acestei sentinţe a formulat </w:t>
      </w:r>
      <w:r w:rsidRPr="00EF59A8">
        <w:rPr>
          <w:rFonts w:eastAsia="Calibri"/>
          <w:b/>
          <w:lang w:eastAsia="en-US"/>
        </w:rPr>
        <w:t>recurs</w:t>
      </w:r>
      <w:r w:rsidRPr="00EF59A8">
        <w:rPr>
          <w:rFonts w:eastAsia="Calibri"/>
          <w:lang w:eastAsia="en-US"/>
        </w:rPr>
        <w:t xml:space="preserve"> reclamanta </w:t>
      </w:r>
      <w:r w:rsidRPr="00F76CE2" w:rsidR="00F76CE2">
        <w:rPr>
          <w:rFonts w:eastAsia="Calibri"/>
          <w:b/>
          <w:bCs/>
          <w:lang w:eastAsia="en-US"/>
        </w:rPr>
        <w:t>X</w:t>
      </w:r>
      <w:r w:rsidRPr="00EF59A8">
        <w:rPr>
          <w:rFonts w:eastAsia="Calibri"/>
          <w:lang w:eastAsia="en-US"/>
        </w:rPr>
        <w:t xml:space="preserve"> prin SINDICATUL POLITISTILOR - </w:t>
      </w:r>
      <w:r w:rsidR="008B1D1E">
        <w:rPr>
          <w:rFonts w:eastAsia="Calibri"/>
          <w:lang w:eastAsia="en-US"/>
        </w:rPr>
        <w:t>...</w:t>
      </w:r>
      <w:r w:rsidRPr="00EF59A8">
        <w:rPr>
          <w:rFonts w:eastAsia="Calibri"/>
          <w:lang w:eastAsia="en-US"/>
        </w:rPr>
        <w:t>, solicitând adm</w:t>
      </w:r>
      <w:r w:rsidRPr="00EF59A8">
        <w:rPr>
          <w:rFonts w:eastAsia="Calibri"/>
          <w:lang w:eastAsia="en-US"/>
        </w:rPr>
        <w:t>iterea recursului, casarea hotararii recurate si, rejudecând, admiterea actiunii.</w:t>
      </w:r>
    </w:p>
    <w:p w:rsidRPr="00EF59A8" w:rsidR="00EF59A8" w:rsidP="00EF59A8">
      <w:pPr>
        <w:ind w:firstLine="630"/>
        <w:jc w:val="both"/>
        <w:rPr>
          <w:rFonts w:eastAsia="Calibri"/>
          <w:lang w:eastAsia="en-US"/>
        </w:rPr>
      </w:pPr>
      <w:r w:rsidRPr="00EF59A8">
        <w:rPr>
          <w:rFonts w:eastAsia="Calibri"/>
          <w:lang w:eastAsia="en-US"/>
        </w:rPr>
        <w:t>In fapt, prin sentinta recurată, instanta de fond a respins actiunea cu motivarea că nu este vorba nici de o numire într-o noua funcţie si nici de o mutare in interesul serviciului într-o altă localitate.</w:t>
      </w:r>
    </w:p>
    <w:p w:rsidRPr="00EF59A8" w:rsidR="00EF59A8" w:rsidP="00EF59A8">
      <w:pPr>
        <w:ind w:firstLine="630"/>
        <w:jc w:val="both"/>
        <w:rPr>
          <w:rFonts w:eastAsia="Calibri"/>
          <w:lang w:eastAsia="en-US"/>
        </w:rPr>
      </w:pPr>
      <w:r w:rsidRPr="00EF59A8">
        <w:rPr>
          <w:rFonts w:eastAsia="Calibri"/>
          <w:lang w:eastAsia="en-US"/>
        </w:rPr>
        <w:t>Legea nu condiționează plata compensației pentru chirie de prima mutare sau de mutări anterioare la cerere sau în interesul serviciului. Condițiile pentru acordarea compensației sunt: solicitantul să nu dețină locuință propri</w:t>
      </w:r>
      <w:r w:rsidRPr="00EF59A8">
        <w:rPr>
          <w:rFonts w:eastAsia="Calibri"/>
          <w:lang w:eastAsia="en-US"/>
        </w:rPr>
        <w:t>etate personală în acea localitate, nici el si nici soția/soțul acestuia și să fie în situația în care nu i se poate a sigura spațiu de locuit.</w:t>
      </w:r>
    </w:p>
    <w:p w:rsidRPr="00EF59A8" w:rsidR="00EF59A8" w:rsidP="00EF59A8">
      <w:pPr>
        <w:ind w:firstLine="630"/>
        <w:jc w:val="both"/>
        <w:rPr>
          <w:rFonts w:eastAsia="Calibri"/>
          <w:lang w:eastAsia="en-US"/>
        </w:rPr>
      </w:pPr>
      <w:r w:rsidRPr="00EF59A8">
        <w:rPr>
          <w:rFonts w:eastAsia="Calibri"/>
          <w:lang w:eastAsia="en-US"/>
        </w:rPr>
        <w:t>De asemenea, dispoziția legala instituie doua ipoteze în care o persoană poate beneficia de compensație pentru chirie, respectiv numirea în prima funcție și mutarea în interesul serviciului într-o altă localitate decât cea d</w:t>
      </w:r>
      <w:r w:rsidRPr="00EF59A8">
        <w:rPr>
          <w:rFonts w:eastAsia="Calibri"/>
          <w:lang w:eastAsia="en-US"/>
        </w:rPr>
        <w:t>e domiciliu.</w:t>
      </w:r>
    </w:p>
    <w:p w:rsidRPr="00EF59A8" w:rsidR="00EF59A8" w:rsidP="00EF59A8">
      <w:pPr>
        <w:ind w:firstLine="630"/>
        <w:jc w:val="both"/>
        <w:rPr>
          <w:rFonts w:eastAsia="Calibri"/>
          <w:lang w:eastAsia="en-US"/>
        </w:rPr>
      </w:pPr>
      <w:r w:rsidRPr="00EF59A8">
        <w:rPr>
          <w:rFonts w:eastAsia="Calibri"/>
          <w:lang w:eastAsia="en-US"/>
        </w:rPr>
        <w:t xml:space="preserve">Legea nu condiționează plata compensației pentru chirie pentru cea de- a doua ipoteza de prima mutare sau/ de mutări anterioare la </w:t>
      </w:r>
      <w:r w:rsidRPr="00EF59A8">
        <w:rPr>
          <w:rFonts w:eastAsia="Calibri"/>
          <w:lang w:eastAsia="en-US"/>
        </w:rPr>
        <w:t>cerere sau in interesul serviciului, ci stabilește doar că mutarea să se realizeze într-o altă localitate decât cea de domiciliu, pentru ca dreptul la o compensație pentru chirie să fie recunoscut, condiție pe care recurenta o îndeplineşte.</w:t>
      </w:r>
    </w:p>
    <w:p w:rsidRPr="00EF59A8" w:rsidR="00EF59A8" w:rsidP="00EF59A8">
      <w:pPr>
        <w:ind w:firstLine="630"/>
        <w:jc w:val="both"/>
        <w:rPr>
          <w:rFonts w:eastAsia="Calibri"/>
          <w:lang w:eastAsia="en-US"/>
        </w:rPr>
      </w:pPr>
      <w:r w:rsidRPr="00EF59A8">
        <w:rPr>
          <w:rFonts w:eastAsia="Calibri"/>
          <w:lang w:eastAsia="en-US"/>
        </w:rPr>
        <w:t>Aceasta are dom</w:t>
      </w:r>
      <w:r w:rsidRPr="00EF59A8">
        <w:rPr>
          <w:rFonts w:eastAsia="Calibri"/>
          <w:lang w:eastAsia="en-US"/>
        </w:rPr>
        <w:t xml:space="preserve">iciliul în </w:t>
      </w:r>
      <w:r w:rsidR="00F76CE2">
        <w:rPr>
          <w:rFonts w:eastAsia="Calibri"/>
          <w:lang w:eastAsia="en-US"/>
        </w:rPr>
        <w:t>Y</w:t>
      </w:r>
      <w:r w:rsidRPr="00EF59A8">
        <w:rPr>
          <w:rFonts w:eastAsia="Calibri"/>
          <w:lang w:eastAsia="en-US"/>
        </w:rPr>
        <w:t xml:space="preserve"> și a fost mutata în interesul serviciului la Postul de Poliție P, deci în altă localitate decât cea de domiciliu.</w:t>
      </w:r>
    </w:p>
    <w:p w:rsidRPr="00EF59A8" w:rsidR="00EF59A8" w:rsidP="00EF59A8">
      <w:pPr>
        <w:ind w:firstLine="630"/>
        <w:jc w:val="both"/>
        <w:rPr>
          <w:rFonts w:eastAsia="Calibri"/>
          <w:lang w:eastAsia="en-US"/>
        </w:rPr>
      </w:pPr>
      <w:r w:rsidRPr="00EF59A8">
        <w:rPr>
          <w:rFonts w:eastAsia="Calibri"/>
          <w:lang w:eastAsia="en-US"/>
        </w:rPr>
        <w:t>Apreciază că reclamanta întruneşte cumulativ toate condițiile legale impuse și trebuie să beneficieze de toate drepturile ce decurg din legislatia specifică în vigoare și că nu se pot face distincții pe care legiuitorul nu le-a prevăzut expres printr-o dispo</w:t>
      </w:r>
      <w:r w:rsidRPr="00EF59A8">
        <w:rPr>
          <w:rFonts w:eastAsia="Calibri"/>
          <w:lang w:eastAsia="en-US"/>
        </w:rPr>
        <w:t>ziţie legală, o interpretare contrară constituind o adăugare Ia lege.</w:t>
      </w:r>
    </w:p>
    <w:p w:rsidRPr="00EF59A8" w:rsidR="00EF59A8" w:rsidP="00EF59A8">
      <w:pPr>
        <w:ind w:firstLine="630"/>
        <w:jc w:val="both"/>
        <w:rPr>
          <w:rFonts w:eastAsia="Calibri"/>
          <w:lang w:eastAsia="en-US"/>
        </w:rPr>
      </w:pPr>
      <w:r w:rsidRPr="00EF59A8">
        <w:rPr>
          <w:rFonts w:eastAsia="Calibri"/>
          <w:lang w:eastAsia="en-US"/>
        </w:rPr>
        <w:t>În acest sens, trebuie reținut că reclamanta este angajat</w:t>
      </w:r>
      <w:r w:rsidRPr="00EF59A8">
        <w:rPr>
          <w:rFonts w:eastAsia="Calibri"/>
          <w:lang w:eastAsia="en-US"/>
        </w:rPr>
        <w:t xml:space="preserve">a la Secţia 5 Politie Rurala P încă de la 01.02.2014 (mutata la cerere la acel moment) dar a fost mutata în interes de serviciu la 31.07.2020 prin Dispoziţia șefului IPJ </w:t>
      </w:r>
      <w:r w:rsidR="00F76CE2">
        <w:rPr>
          <w:rFonts w:eastAsia="Calibri"/>
          <w:lang w:eastAsia="en-US"/>
        </w:rPr>
        <w:t>...</w:t>
      </w:r>
      <w:r w:rsidRPr="00EF59A8">
        <w:rPr>
          <w:rFonts w:eastAsia="Calibri"/>
          <w:lang w:eastAsia="en-US"/>
        </w:rPr>
        <w:t xml:space="preserve"> ca urmare a absolvirii Academiei de Politie „Alexandru Ioan Cuza” Bucureşti.</w:t>
      </w:r>
    </w:p>
    <w:p w:rsidRPr="00EF59A8" w:rsidR="00EF59A8" w:rsidP="00EF59A8">
      <w:pPr>
        <w:ind w:firstLine="630"/>
        <w:jc w:val="both"/>
        <w:rPr>
          <w:rFonts w:eastAsia="Calibri"/>
          <w:lang w:eastAsia="en-US"/>
        </w:rPr>
      </w:pPr>
      <w:r w:rsidRPr="00EF59A8">
        <w:rPr>
          <w:rFonts w:eastAsia="Calibri"/>
          <w:lang w:eastAsia="en-US"/>
        </w:rPr>
        <w:t>Astfel, consideră ca este evident faptul că este îndeplinită conditia prevăzută de art. 31 alin. 1 din Legea nr. 360/2002, neavând nici un fel de relevanta in cauza prima mutare la P din anul 2014.</w:t>
      </w:r>
    </w:p>
    <w:p w:rsidRPr="00EF59A8" w:rsidR="00EF59A8" w:rsidP="00EF59A8">
      <w:pPr>
        <w:ind w:firstLine="630"/>
        <w:jc w:val="both"/>
        <w:rPr>
          <w:rFonts w:eastAsia="Calibri"/>
          <w:lang w:eastAsia="en-US"/>
        </w:rPr>
      </w:pPr>
      <w:r w:rsidRPr="00EF59A8">
        <w:rPr>
          <w:rFonts w:eastAsia="Calibri"/>
          <w:lang w:eastAsia="en-US"/>
        </w:rPr>
        <w:t>În temeiul art.411 CPC solicită judecarea cauzei în lipsă.</w:t>
      </w:r>
    </w:p>
    <w:p w:rsidRPr="00EF59A8" w:rsidR="00EF59A8" w:rsidP="00EF59A8">
      <w:r w:rsidRPr="00EF59A8">
        <w:tab/>
        <w:t>Int</w:t>
      </w:r>
      <w:r w:rsidRPr="00EF59A8">
        <w:t xml:space="preserve">imatul, legal citat, nu a formulat </w:t>
      </w:r>
      <w:r w:rsidRPr="00EF59A8">
        <w:rPr>
          <w:b/>
        </w:rPr>
        <w:t>întâmpinare</w:t>
      </w:r>
      <w:r w:rsidRPr="00EF59A8">
        <w:t xml:space="preserve"> în cauză.</w:t>
      </w:r>
    </w:p>
    <w:p w:rsidRPr="00EF59A8" w:rsidR="00EF59A8" w:rsidP="00EF59A8">
      <w:pPr>
        <w:ind w:firstLine="709"/>
        <w:jc w:val="both"/>
        <w:rPr>
          <w:b/>
          <w:i/>
        </w:rPr>
      </w:pPr>
      <w:r w:rsidRPr="00EF59A8">
        <w:rPr>
          <w:b/>
          <w:i/>
        </w:rPr>
        <w:t>Examinând cererea de recurs prin prisma motivelor formulate și a dispozițiilor legale incidente în cauză, Curtea constată că acesta este nefondat pentru considerentele ce urmează:</w:t>
      </w:r>
    </w:p>
    <w:p w:rsidRPr="00EF59A8" w:rsidR="00EF59A8" w:rsidP="00EF59A8">
      <w:pPr>
        <w:jc w:val="both"/>
      </w:pPr>
      <w:r w:rsidRPr="00EF59A8">
        <w:tab/>
        <w:t>Recurenta reclamantă a criticat sentința Tribunalului prin prisma încălcării prevederilor legale ce instituie condițiile în care polițistul poate beneficia de compensație pentru chirie, aspecte ce vor fi verificate din perspectiva motivului de casare prevăzut de art.488 ali</w:t>
      </w:r>
      <w:r w:rsidRPr="00EF59A8">
        <w:t xml:space="preserve">n.1 pct.8 Cpc. </w:t>
      </w:r>
    </w:p>
    <w:p w:rsidRPr="00EF59A8" w:rsidR="00EF59A8" w:rsidP="00EF59A8">
      <w:pPr>
        <w:jc w:val="both"/>
      </w:pPr>
      <w:r w:rsidRPr="00EF59A8">
        <w:tab/>
        <w:t xml:space="preserve">Verificând aspectele deduse judecății, raportat la criticile din cererea de recurs, Curtea reține că în anul 2014 recurenta-reclamantă a fost mutată la cerere de la Postul de Poliţie D la Secția de Poliţie Rurală P, iar la data de 31.07.2020 a fost numită în funcţia de ofițer III, prevăzută cu gradul profesional de inspector de poliţie, tot la Secţia 5 Poliţie Rurală P. </w:t>
      </w:r>
    </w:p>
    <w:p w:rsidRPr="00EF59A8" w:rsidR="00EF59A8" w:rsidP="00EF59A8">
      <w:pPr>
        <w:jc w:val="both"/>
      </w:pPr>
      <w:r w:rsidRPr="00EF59A8">
        <w:tab/>
        <w:t xml:space="preserve">La data de 29.09.2021 recurenta-reclamantă </w:t>
      </w:r>
      <w:r w:rsidRPr="00F76CE2" w:rsidR="00F76CE2">
        <w:rPr>
          <w:b/>
          <w:bCs/>
        </w:rPr>
        <w:t>X</w:t>
      </w:r>
      <w:r w:rsidRPr="00EF59A8">
        <w:t xml:space="preserve"> s-a adresat Serviciului Resurse umane din cadrul Inspectoratului de Poliţie</w:t>
      </w:r>
      <w:r w:rsidRPr="00EF59A8">
        <w:t xml:space="preserve"> al Judeţului </w:t>
      </w:r>
      <w:r w:rsidR="00F76CE2">
        <w:t>...</w:t>
      </w:r>
      <w:r w:rsidRPr="00EF59A8">
        <w:t>, solicitând acordarea compensaţiei pentru chirie cuvenită poliţiştilor, potrivit prevederilor art. 31 alin. 1 din Legea nr. 36/2002 privind statutul poliţistului, corobo</w:t>
      </w:r>
      <w:r w:rsidRPr="00EF59A8">
        <w:t xml:space="preserve">rat cu prevederile H.G nr. 284/2005 privind stabilirea cuantumului şi condiţiilor de acordare a compensaţiei lunare pentru chirie. </w:t>
      </w:r>
    </w:p>
    <w:p w:rsidRPr="00EF59A8" w:rsidR="00EF59A8" w:rsidP="00EF59A8">
      <w:pPr>
        <w:ind w:firstLine="720"/>
        <w:jc w:val="both"/>
      </w:pPr>
      <w:r w:rsidRPr="00EF59A8">
        <w:t xml:space="preserve">Conform art. 31 din Legea nr. 360/2002 privind statutul poliţiştilor, poliţistul numit în prima funcţie sau mutat în interesul serviciului într-o altă localitate decât cea în care îşi are domiciliul şi care nu deţine locuinţă proprietate personală în acea localitate, nici el şi nici soţia/soţul acestuia, în situaţia în care nu i se poate asigura spaţiu de locuit corespunzător, </w:t>
      </w:r>
      <w:r w:rsidRPr="00EF59A8">
        <w:t>are dreptul la o compensaţie pentru chirie de până la 50% din salariul de bază.</w:t>
      </w:r>
    </w:p>
    <w:p w:rsidRPr="00EF59A8" w:rsidR="00EF59A8" w:rsidP="00EF59A8">
      <w:pPr>
        <w:jc w:val="both"/>
        <w:rPr>
          <w:i/>
        </w:rPr>
      </w:pPr>
      <w:r w:rsidRPr="00EF59A8">
        <w:tab/>
        <w:t xml:space="preserve">Art.13 alin.(1) lit.d) din H.G. nr.284/2005 privind stabilirea cuantumului şi condițiilor de acordare a compensaţiei lunare pentru chirie cuvenite poliţiştilor prevede : </w:t>
      </w:r>
      <w:r w:rsidRPr="00EF59A8">
        <w:rPr>
          <w:i/>
        </w:rPr>
        <w:t>„Compensaţia lunara pentru chirie, acordată în condiţiile reglementate de prezenta hotărâre, se plăteşte în continuare poliţiştilor care: lit. d) sunt mutaţi în alta unitate de politie situata în aceeaşi localitate în care au fost numiţi în prima funcţie sau mu</w:t>
      </w:r>
      <w:r w:rsidRPr="00EF59A8">
        <w:rPr>
          <w:i/>
        </w:rPr>
        <w:t>taţi iniţial în interesul serviciului."</w:t>
      </w:r>
    </w:p>
    <w:p w:rsidRPr="00EF59A8" w:rsidR="00EF59A8" w:rsidP="00EF59A8">
      <w:pPr>
        <w:ind w:firstLine="720"/>
        <w:jc w:val="both"/>
      </w:pPr>
      <w:r w:rsidRPr="00EF59A8">
        <w:t xml:space="preserve">În cauză, este adevărat ca începând cu data de 31.07.2020, recurenta reclamantă a fost numită în funcţia de ofiter la Secţia 5 Poliţie Rurală P, în localitatea P, însă anterior acestui moment, în anul 2014, în baza Dispoziţiei şefului Inspectoratului de Poliţie Judeţean </w:t>
      </w:r>
      <w:r w:rsidR="00F76CE2">
        <w:t>...</w:t>
      </w:r>
      <w:r w:rsidRPr="00EF59A8">
        <w:t xml:space="preserve"> nr. </w:t>
      </w:r>
      <w:r w:rsidR="004F47F2">
        <w:t>...</w:t>
      </w:r>
      <w:r w:rsidRPr="00EF59A8">
        <w:t>/27.01.2014, aceasta a fost mutată în cadrul acelei instituţii la cerere.  Astfel nu a intervenit o veritabilă modificare a raporturilor de serviciu prin mutare efectivă dintr-o localitate î</w:t>
      </w:r>
      <w:r w:rsidRPr="00EF59A8">
        <w:t>n alta, întrucât recurenta a fost numită pe un post în aceeaşi localitate, unde ajunsese inițial, prin mutarea sa la cerere în anul 2014.</w:t>
      </w:r>
    </w:p>
    <w:p w:rsidRPr="00EF59A8" w:rsidR="00EF59A8" w:rsidP="00EF59A8">
      <w:pPr>
        <w:ind w:firstLine="720"/>
        <w:jc w:val="both"/>
      </w:pPr>
      <w:r w:rsidRPr="00EF59A8">
        <w:t>În condițiile în care reclamanta în anul 2014 a fost mutată la cerere la Secţia 5 Poliţie Rurală P, aceasta nu are vocaţia de a beneficia de acest drept, atâta timp cât raportul său de serviciu se desfăşoară cu aceeaşi instituţie publică care îşi are sediul în aceeaşi localitate, iar orice modificări ulterioare sau mutarea pe alt post, în cadrul aceleiași localităţi şi un</w:t>
      </w:r>
      <w:r w:rsidRPr="00EF59A8">
        <w:t>ităţi a angajatorului nu pot duce la naşterea dreptului, pentru aceeaşi localitate.</w:t>
      </w:r>
    </w:p>
    <w:p w:rsidRPr="00EF59A8" w:rsidR="00EF59A8" w:rsidP="00EF59A8">
      <w:pPr>
        <w:ind w:firstLine="720"/>
        <w:jc w:val="both"/>
      </w:pPr>
      <w:r w:rsidRPr="00EF59A8">
        <w:t xml:space="preserve">Aşa cum rezultă clar din interpretarea art. 13 alin. (1) lit. d) din H.G. nr. 284/2005, poliţiştii mutaţi în altă unitate de poliţie situată în aceeaşi localitate beneficiază de compensaţia lunară pentru chirie „în continuare", situaţia premisă fiind, evident, aceea că anterior beneficiaseră de această compensaţie, întrucât au fost numiţi în prima funcţie sau mutaţi iniţial în interesul serviciului în respectiva localitate. </w:t>
      </w:r>
    </w:p>
    <w:p w:rsidRPr="00EF59A8" w:rsidR="00EF59A8" w:rsidP="00EF59A8">
      <w:pPr>
        <w:jc w:val="both"/>
      </w:pPr>
      <w:r w:rsidRPr="00EF59A8">
        <w:tab/>
        <w:t>Curtea constată însă că recurenta nu se încadrează în niciuna din aceste două ipoteze, fiind mutată anterior în localitatea P la cererea sa.</w:t>
      </w:r>
    </w:p>
    <w:p w:rsidRPr="00EF59A8" w:rsidR="00EF59A8" w:rsidP="00EF59A8">
      <w:pPr>
        <w:jc w:val="both"/>
      </w:pPr>
      <w:r w:rsidRPr="00EF59A8">
        <w:tab/>
        <w:t>Din interpretarea per a contrario a art. 13 alin. (1) lit. d) din H.G. nr. 284/2005 rezultă că poliţiştii mutaţi în altă unitate de poliţie situată în aceeaşi localitate nu pot beneficia de compensaţia lunară pentru chirie decât dacă aveau acest drept anterior mutării, deoarece priveşte „aceeaşi localitate în care au fost numiţi în prima funcţie sau mutaţi iniţial î</w:t>
      </w:r>
      <w:r w:rsidRPr="00EF59A8">
        <w:t>n interesul serviciului."</w:t>
      </w:r>
    </w:p>
    <w:p w:rsidRPr="00EF59A8" w:rsidR="00EF59A8" w:rsidP="00EF59A8">
      <w:pPr>
        <w:jc w:val="both"/>
      </w:pPr>
      <w:r w:rsidRPr="00EF59A8">
        <w:tab/>
        <w:t>În atare condiţii, mutarea recurentului la altă unitate de poliţie situată în aceeaşi localitate, mutare care se face doar prin transfer în interes de serviciu, nu putea da naştere la dreptul de a beneficia de plata compensaţiei lunare pentru chirie, atâta timp cât nu a beneficiat de acest drept anterior.</w:t>
      </w:r>
    </w:p>
    <w:p w:rsidRPr="00EF59A8" w:rsidR="00EF59A8" w:rsidP="00EF59A8">
      <w:pPr>
        <w:jc w:val="both"/>
      </w:pPr>
      <w:r w:rsidRPr="00EF59A8">
        <w:tab/>
        <w:t>În plus, scopul normei legale citate, art. 31 din Legea nr. 360/2002 a fost ca plata compensaţiei lunare pentru chirie să aibă un fundament real, o mutare efectivă în interes de</w:t>
      </w:r>
      <w:r w:rsidRPr="00EF59A8">
        <w:t xml:space="preserve"> serviciu în altă localitate, ceea ce presupune schimbarea locului de muncă şi nu doar a felului muncii.</w:t>
      </w:r>
    </w:p>
    <w:p w:rsidRPr="00EF59A8" w:rsidR="00EF59A8" w:rsidP="00EF59A8">
      <w:pPr>
        <w:jc w:val="both"/>
      </w:pPr>
      <w:r w:rsidRPr="00EF59A8">
        <w:tab/>
        <w:t>Astfel, pretenţiile reclamantei trebuie să fie examinate exclusiv în funcţie de natura schimbării care a avut în raportul de serviciu pe care acesta îl are cu intimatul pârât şi de implicaţiile pe care respectiva schimbare le-a avut în ceea ce priveşte situaţia locativă a recurentei reclamante.</w:t>
      </w:r>
    </w:p>
    <w:p w:rsidRPr="00EF59A8" w:rsidR="00EF59A8" w:rsidP="00EF59A8">
      <w:pPr>
        <w:jc w:val="both"/>
      </w:pPr>
      <w:r w:rsidRPr="00EF59A8">
        <w:tab/>
        <w:t>În speţă, Curtea constată că recurentei-reclamante nu i s-a schimbat în realitate locul de muncă în raport de</w:t>
      </w:r>
      <w:r w:rsidRPr="00EF59A8">
        <w:t xml:space="preserve"> care, în anul 2014, a fost mutată la cerere, aceasta continuându-şi activitatea în acelaşi loc de muncă, P, ceea ce s-a schimbat fiind doar felul muncii.    </w:t>
      </w:r>
    </w:p>
    <w:p w:rsidRPr="00EF59A8" w:rsidR="00EF59A8" w:rsidP="00EF59A8">
      <w:pPr>
        <w:ind w:firstLine="709"/>
        <w:jc w:val="both"/>
      </w:pPr>
      <w:r w:rsidRPr="00EF59A8">
        <w:t xml:space="preserve">Pentru aceste considerente, criticile formulate sunt nefondate, astfel că, în temeiul art. 496 alin.1 cu raportare la art. 488 alin.1 pct.8 din Codul de procedură civilă, recursul declarat de recurenta reclamantă </w:t>
      </w:r>
      <w:r w:rsidRPr="00F76CE2" w:rsidR="00F76CE2">
        <w:rPr>
          <w:b/>
          <w:bCs/>
        </w:rPr>
        <w:t>X</w:t>
      </w:r>
      <w:r w:rsidRPr="00EF59A8">
        <w:t xml:space="preserve"> va fi respins ca nefondat.</w:t>
      </w:r>
    </w:p>
    <w:p w:rsidRPr="00EF59A8" w:rsidR="00EF59A8" w:rsidP="00EF59A8">
      <w:pPr>
        <w:ind w:firstLine="720"/>
        <w:jc w:val="both"/>
      </w:pPr>
    </w:p>
    <w:p w:rsidR="00EF59A8" w:rsidP="00EF59A8">
      <w:pPr>
        <w:ind w:firstLine="720"/>
        <w:jc w:val="both"/>
      </w:pPr>
    </w:p>
    <w:p w:rsidRPr="00EF59A8" w:rsidR="004F47F2" w:rsidP="00EF59A8">
      <w:pPr>
        <w:ind w:firstLine="720"/>
        <w:jc w:val="both"/>
      </w:pPr>
    </w:p>
    <w:p w:rsidRPr="00EF59A8" w:rsidR="00EF59A8" w:rsidP="00EF59A8">
      <w:pPr>
        <w:jc w:val="center"/>
      </w:pPr>
    </w:p>
    <w:p w:rsidRPr="00EF59A8" w:rsidR="00EF59A8" w:rsidP="00EF59A8">
      <w:pPr>
        <w:jc w:val="center"/>
      </w:pPr>
      <w:r w:rsidRPr="00EF59A8">
        <w:t>PENTRU ACESTE MOTIVE,</w:t>
        <w:br/>
        <w:t>ÎN NUMELE LEGII</w:t>
      </w:r>
    </w:p>
    <w:p w:rsidRPr="00EF59A8" w:rsidR="00EF59A8" w:rsidP="00EF59A8">
      <w:pPr>
        <w:jc w:val="center"/>
      </w:pPr>
      <w:r w:rsidRPr="00EF59A8">
        <w:t>D E C I D E:</w:t>
      </w:r>
    </w:p>
    <w:p w:rsidRPr="00EF59A8" w:rsidR="00EF59A8" w:rsidP="00EF59A8">
      <w:pPr>
        <w:jc w:val="center"/>
      </w:pPr>
    </w:p>
    <w:p w:rsidRPr="00EF59A8" w:rsidR="00EF59A8" w:rsidP="00EF59A8">
      <w:pPr>
        <w:jc w:val="both"/>
      </w:pPr>
      <w:r w:rsidRPr="00EF59A8">
        <w:tab/>
      </w:r>
    </w:p>
    <w:p w:rsidRPr="00EF59A8" w:rsidR="00EF59A8" w:rsidP="00EF59A8">
      <w:pPr>
        <w:jc w:val="both"/>
      </w:pPr>
    </w:p>
    <w:p w:rsidRPr="00EF59A8" w:rsidR="00EF59A8" w:rsidP="00EF59A8">
      <w:pPr>
        <w:ind w:firstLine="709"/>
        <w:jc w:val="both"/>
      </w:pPr>
      <w:r w:rsidRPr="00EF59A8">
        <w:t xml:space="preserve">Respinge cererea de recurs formulată de reclamanta </w:t>
      </w:r>
      <w:r w:rsidRPr="008B1D1E" w:rsidR="008B1D1E">
        <w:rPr>
          <w:b/>
          <w:bCs/>
        </w:rPr>
        <w:t>X</w:t>
      </w:r>
      <w:r w:rsidRPr="00EF59A8">
        <w:t xml:space="preserve"> prin SINDICATUL POLIŢIŞTILOR -</w:t>
      </w:r>
      <w:r w:rsidR="008B1D1E">
        <w:t xml:space="preserve"> ...</w:t>
      </w:r>
      <w:r w:rsidRPr="00EF59A8">
        <w:t>, împotriva sentinţei nr.</w:t>
      </w:r>
      <w:r w:rsidR="008B1D1E">
        <w:t>...</w:t>
      </w:r>
      <w:r w:rsidRPr="00EF59A8">
        <w:t xml:space="preserve"> din </w:t>
      </w:r>
      <w:r w:rsidR="008B1D1E">
        <w:t>...</w:t>
      </w:r>
      <w:r w:rsidRPr="00EF59A8">
        <w:t xml:space="preserve">, pronunţată de Tribunalul </w:t>
      </w:r>
      <w:r w:rsidR="008B1D1E">
        <w:t>...</w:t>
      </w:r>
      <w:r w:rsidRPr="00EF59A8">
        <w:t>, în dosarul nr.</w:t>
      </w:r>
      <w:r w:rsidR="008B1D1E">
        <w:t>...</w:t>
      </w:r>
      <w:r w:rsidRPr="00EF59A8">
        <w:t xml:space="preserve">, în contradictoriu cu intimatul pârât INSPECTORATUL JUDEŢEAN DE POLIŢIE </w:t>
      </w:r>
      <w:r w:rsidR="008B1D1E">
        <w:t>...</w:t>
      </w:r>
      <w:r w:rsidRPr="00EF59A8">
        <w:t xml:space="preserve">, având ca obiect litigiu privind funcţionarii publici statutari. </w:t>
      </w:r>
    </w:p>
    <w:p w:rsidRPr="00EF59A8" w:rsidR="00EF59A8" w:rsidP="00EF59A8">
      <w:pPr>
        <w:jc w:val="both"/>
      </w:pPr>
      <w:r w:rsidRPr="00EF59A8">
        <w:tab/>
        <w:t xml:space="preserve">Definitivă. </w:t>
      </w:r>
    </w:p>
    <w:p w:rsidRPr="00EF59A8" w:rsidR="00EF59A8" w:rsidP="00EF59A8">
      <w:pPr>
        <w:jc w:val="both"/>
      </w:pPr>
      <w:r w:rsidRPr="00EF59A8">
        <w:tab/>
        <w:t xml:space="preserve">Pronunţată la data de </w:t>
      </w:r>
      <w:r w:rsidR="008B1D1E">
        <w:t>...</w:t>
      </w:r>
      <w:r w:rsidRPr="00EF59A8">
        <w:t xml:space="preserve"> prin punerea soluţiei la dispoziţia părţilor de grefa instanţei</w:t>
      </w:r>
    </w:p>
    <w:p w:rsidRPr="00EF59A8" w:rsidR="00EF59A8" w:rsidP="00EF59A8"/>
    <w:p w:rsidRPr="00EF59A8" w:rsidR="00EF59A8" w:rsidP="00EF59A8"/>
    <w:p w:rsidR="00A7058F" w:rsidP="00A7058F">
      <w:pPr>
        <w:ind w:firstLine="709"/>
        <w:jc w:val="both"/>
      </w:pPr>
      <w:r>
        <w:t xml:space="preserve">        Preşedinte,</w:t>
        <w:tab/>
        <w:tab/>
        <w:tab/>
        <w:t>Judecător,</w:t>
        <w:tab/>
        <w:tab/>
        <w:tab/>
        <w:t>Judecător</w:t>
      </w:r>
    </w:p>
    <w:p w:rsidR="00A7058F" w:rsidP="00A7058F">
      <w:pPr>
        <w:ind w:firstLine="709"/>
        <w:jc w:val="both"/>
      </w:pPr>
    </w:p>
    <w:p w:rsidR="00A7058F" w:rsidP="00A7058F">
      <w:pPr>
        <w:ind w:firstLine="709"/>
        <w:jc w:val="both"/>
      </w:pPr>
      <w:r>
        <w:t xml:space="preserve">           A0007</w:t>
        <w:tab/>
        <w:tab/>
        <w:tab/>
        <w:t xml:space="preserve">                  ...</w:t>
        <w:tab/>
        <w:tab/>
        <w:tab/>
        <w:t xml:space="preserve">                   ...</w:t>
      </w:r>
    </w:p>
    <w:p w:rsidR="00A7058F" w:rsidP="00A7058F">
      <w:pPr>
        <w:ind w:firstLine="709"/>
        <w:jc w:val="both"/>
      </w:pPr>
    </w:p>
    <w:p w:rsidR="00A7058F" w:rsidP="00A7058F">
      <w:pPr>
        <w:ind w:firstLine="709"/>
        <w:jc w:val="both"/>
      </w:pPr>
    </w:p>
    <w:p w:rsidR="00A7058F" w:rsidP="00A7058F">
      <w:pPr>
        <w:jc w:val="both"/>
      </w:pPr>
    </w:p>
    <w:p w:rsidR="00A7058F" w:rsidP="00A7058F">
      <w:pPr>
        <w:ind w:firstLine="709"/>
        <w:jc w:val="both"/>
      </w:pPr>
      <w:r>
        <w:t xml:space="preserve">                          </w:t>
      </w:r>
      <w:r>
        <w:t xml:space="preserve">                         </w:t>
      </w:r>
      <w:r w:rsidR="00816C7E">
        <w:t xml:space="preserve">           </w:t>
      </w:r>
      <w:r>
        <w:t xml:space="preserve">Grefier, </w:t>
      </w:r>
    </w:p>
    <w:p w:rsidR="00A7058F" w:rsidP="00A7058F">
      <w:pPr>
        <w:ind w:firstLine="709"/>
        <w:jc w:val="both"/>
      </w:pPr>
      <w:r>
        <w:tab/>
        <w:tab/>
        <w:tab/>
        <w:t xml:space="preserve">                                ...</w:t>
      </w:r>
    </w:p>
    <w:p w:rsidR="00A7058F" w:rsidP="00A7058F">
      <w:pPr>
        <w:ind w:firstLine="708"/>
        <w:rPr>
          <w:rStyle w:val="Fontdeparagrafimplicit"/>
          <w:rFonts w:ascii="Garamond" w:hAnsi="Garamond"/>
        </w:rPr>
      </w:pPr>
    </w:p>
    <w:p w:rsidR="00A7058F" w:rsidP="00A7058F">
      <w:pPr>
        <w:ind w:firstLine="708"/>
        <w:rPr>
          <w:rStyle w:val="Fontdeparagrafimplicit"/>
          <w:rFonts w:ascii="Garamond" w:hAnsi="Garamond"/>
        </w:rPr>
      </w:pPr>
      <w:r>
        <w:rPr>
          <w:rStyle w:val="Fontdeparagrafimplicit"/>
          <w:rFonts w:ascii="Garamond" w:hAnsi="Garamond"/>
        </w:rPr>
        <w:t xml:space="preserve"> </w:t>
      </w:r>
    </w:p>
    <w:p w:rsidR="00A7058F" w:rsidP="00A7058F">
      <w:pPr>
        <w:jc w:val="center"/>
        <w:rPr>
          <w:rStyle w:val="Fontdeparagrafimplicit"/>
          <w:rFonts w:ascii="Garamond" w:hAnsi="Garamond"/>
        </w:rPr>
      </w:pPr>
    </w:p>
    <w:p w:rsidRPr="00EF59A8" w:rsidR="00EF59A8" w:rsidP="00EF59A8">
      <w:pPr>
        <w:jc w:val="center"/>
      </w:pPr>
      <w:r w:rsidR="00A7058F">
        <w:t xml:space="preserve"> </w:t>
      </w:r>
    </w:p>
    <w:p w:rsidRPr="00EF59A8" w:rsidR="00EF59A8" w:rsidP="00EF59A8">
      <w:r w:rsidRPr="00EF59A8">
        <w:t>Red.jud.</w:t>
      </w:r>
      <w:r w:rsidR="008B1D1E">
        <w:t>A0007</w:t>
      </w:r>
      <w:r w:rsidRPr="00EF59A8">
        <w:t>/4 ex/</w:t>
      </w:r>
      <w:r w:rsidR="008B1D1E">
        <w:t>...</w:t>
      </w:r>
    </w:p>
    <w:p w:rsidRPr="00EF59A8" w:rsidR="00EF59A8" w:rsidP="00EF59A8">
      <w:r w:rsidRPr="00EF59A8">
        <w:t>Jud.fond:</w:t>
      </w:r>
      <w:r w:rsidR="008B1D1E">
        <w:t>...</w:t>
      </w:r>
    </w:p>
    <w:p w:rsidRPr="00EF59A8" w:rsidR="00EF59A8" w:rsidP="00EF59A8">
      <w:pPr>
        <w:spacing w:after="160" w:line="259" w:lineRule="auto"/>
        <w:rPr>
          <w:rFonts w:eastAsia="Calibri"/>
          <w:lang w:eastAsia="en-US"/>
        </w:rPr>
      </w:pPr>
    </w:p>
    <w:p w:rsidRPr="00EF59A8" w:rsidR="00EF59A8" w:rsidP="00EF59A8"/>
    <w:p w:rsidRPr="00EF59A8" w:rsidR="00EF59A8" w:rsidP="00EF59A8">
      <w:pPr>
        <w:spacing w:after="160" w:line="259" w:lineRule="auto"/>
        <w:rPr>
          <w:rFonts w:eastAsia="Calibri"/>
          <w:lang w:eastAsia="en-US"/>
        </w:rPr>
      </w:pPr>
    </w:p>
    <w:p w:rsidRPr="00EF59A8" w:rsidR="004F060D" w:rsidP="00EF59A8"/>
    <w:sectPr w:rsidSect="000D6A47">
      <w:footerReference w:type="default" r:id="rId4"/>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745">
    <w:pPr>
      <w:pStyle w:val="Footer"/>
      <w:jc w:val="center"/>
    </w:pPr>
    <w:r>
      <w:fldChar w:fldCharType="begin"/>
    </w:r>
    <w:r>
      <w:instrText>PAGE   \* MERGEFORMAT</w:instrText>
    </w:r>
    <w:r>
      <w:fldChar w:fldCharType="separate"/>
    </w:r>
    <w:r w:rsidR="00ED36A4">
      <w:rPr>
        <w:noProof/>
      </w:rPr>
      <w:t>1</w:t>
    </w:r>
    <w:r>
      <w:fldChar w:fldCharType="end"/>
    </w:r>
  </w:p>
  <w:p w:rsidR="004E1745">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embedSystemFonts/>
  <w:mirrorMargins/>
  <w:proofState w:grammar="clean"/>
  <w:stylePaneFormatFilter w:val="3F01"/>
  <w:doNotTrackMoves/>
  <w:defaultTabStop w:val="709"/>
  <w:hyphenationZone w:val="425"/>
  <w:doNotShadeFormData/>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08D6"/>
    <w:rsid w:val="00084103"/>
    <w:rsid w:val="00090D1C"/>
    <w:rsid w:val="000978A1"/>
    <w:rsid w:val="000D6A47"/>
    <w:rsid w:val="00190DF5"/>
    <w:rsid w:val="0019664B"/>
    <w:rsid w:val="001A16F7"/>
    <w:rsid w:val="00230098"/>
    <w:rsid w:val="00236F8B"/>
    <w:rsid w:val="002B6E1F"/>
    <w:rsid w:val="002D5666"/>
    <w:rsid w:val="00310770"/>
    <w:rsid w:val="00331D3F"/>
    <w:rsid w:val="003676FC"/>
    <w:rsid w:val="004066DC"/>
    <w:rsid w:val="00416454"/>
    <w:rsid w:val="004209AE"/>
    <w:rsid w:val="00434264"/>
    <w:rsid w:val="004362D5"/>
    <w:rsid w:val="00444EB7"/>
    <w:rsid w:val="00483536"/>
    <w:rsid w:val="004908E0"/>
    <w:rsid w:val="004E1745"/>
    <w:rsid w:val="004F060D"/>
    <w:rsid w:val="004F47F2"/>
    <w:rsid w:val="00550079"/>
    <w:rsid w:val="005A0BE1"/>
    <w:rsid w:val="005E0080"/>
    <w:rsid w:val="00643179"/>
    <w:rsid w:val="00731D81"/>
    <w:rsid w:val="00816C7E"/>
    <w:rsid w:val="008965A2"/>
    <w:rsid w:val="008B1D1E"/>
    <w:rsid w:val="008C3999"/>
    <w:rsid w:val="008D6F98"/>
    <w:rsid w:val="00902C7A"/>
    <w:rsid w:val="00982CB8"/>
    <w:rsid w:val="009847E9"/>
    <w:rsid w:val="009876B0"/>
    <w:rsid w:val="009B7961"/>
    <w:rsid w:val="009F4486"/>
    <w:rsid w:val="00A56F73"/>
    <w:rsid w:val="00A7058F"/>
    <w:rsid w:val="00A74B82"/>
    <w:rsid w:val="00AD2744"/>
    <w:rsid w:val="00AF5AE9"/>
    <w:rsid w:val="00B843F5"/>
    <w:rsid w:val="00BC4A1A"/>
    <w:rsid w:val="00BC5260"/>
    <w:rsid w:val="00BD01E8"/>
    <w:rsid w:val="00BF0E6F"/>
    <w:rsid w:val="00D641F2"/>
    <w:rsid w:val="00D7437D"/>
    <w:rsid w:val="00ED36A4"/>
    <w:rsid w:val="00EF59A8"/>
    <w:rsid w:val="00F035C2"/>
    <w:rsid w:val="00F32E16"/>
    <w:rsid w:val="00F76CE2"/>
    <w:rsid w:val="00F864CC"/>
  </w:rsids>
  <w:docVars>
    <w:docVar w:name="url" w:val="http://10.19.48.53:80/ecris_cdms/document_upload.aspx?id_document=5400000001552588&amp;id_departament=5&amp;id_sesiune=2216102&amp;id_user=328&amp;id_institutie=54&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link w:val="HeaderChar"/>
    <w:rsid w:val="004E1745"/>
    <w:pPr>
      <w:tabs>
        <w:tab w:val="center" w:pos="4536"/>
        <w:tab w:val="right" w:pos="9072"/>
      </w:tabs>
    </w:pPr>
  </w:style>
  <w:style w:type="character" w:customStyle="1" w:styleId="HeaderChar">
    <w:name w:val="Header Char"/>
    <w:link w:val="Header"/>
    <w:rsid w:val="004E1745"/>
    <w:rPr>
      <w:sz w:val="24"/>
      <w:szCs w:val="24"/>
    </w:rPr>
  </w:style>
  <w:style w:type="paragraph" w:styleId="Footer">
    <w:name w:val="footer"/>
    <w:basedOn w:val="Normal"/>
    <w:link w:val="FooterChar"/>
    <w:uiPriority w:val="99"/>
    <w:rsid w:val="004E1745"/>
    <w:pPr>
      <w:tabs>
        <w:tab w:val="center" w:pos="4536"/>
        <w:tab w:val="right" w:pos="9072"/>
      </w:tabs>
    </w:pPr>
  </w:style>
  <w:style w:type="character" w:customStyle="1" w:styleId="FooterChar">
    <w:name w:val="Footer Char"/>
    <w:link w:val="Footer"/>
    <w:uiPriority w:val="99"/>
    <w:rsid w:val="004E1745"/>
    <w:rPr>
      <w:sz w:val="24"/>
      <w:szCs w:val="24"/>
    </w:rPr>
  </w:style>
  <w:style w:type="character" w:customStyle="1" w:styleId="Fontdeparagrafimplicit">
    <w:name w:val="Font de paragraf implicit"/>
    <w:rsid w:val="00A7058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12</ap:TotalTime>
  <ap:Pages>4</ap:Pages>
  <ap:Words>1575</ap:Words>
  <ap:Characters>8984</ap:Characters>
  <ap:Application>Microsoft Office Word</ap:Application>
  <ap:DocSecurity>0</ap:DocSecurity>
  <ap:Lines>74</ap:Lines>
  <ap:Paragraphs>21</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10538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