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1184" w:rsidR="00111184" w:rsidP="00111184" w:rsidRDefault="00111184" w14:paraId="3AB0407D" w14:textId="77777777">
      <w:pPr>
        <w:spacing w:after="0" w:line="240" w:lineRule="auto"/>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R O M Â N I A</w:t>
      </w:r>
    </w:p>
    <w:p w:rsidRPr="00111184" w:rsidR="00111184" w:rsidP="00111184" w:rsidRDefault="00111184" w14:paraId="16A6CC69" w14:textId="080B3477">
      <w:pPr>
        <w:spacing w:after="0" w:line="240" w:lineRule="auto"/>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CURTEA DE APEL </w:t>
      </w:r>
      <w:r>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17FC992F" w14:textId="2E0F597E">
      <w:pPr>
        <w:spacing w:after="0" w:line="240" w:lineRule="auto"/>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SECŢIA </w:t>
      </w:r>
      <w:r>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508D6D06" w14:textId="7C686C4C">
      <w:pPr>
        <w:spacing w:after="0" w:line="240" w:lineRule="auto"/>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Dosar nr. </w:t>
      </w:r>
      <w:r>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5C9C6DEC"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7831E267" w14:textId="77777777">
      <w:pPr>
        <w:spacing w:after="0" w:line="240" w:lineRule="auto"/>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2CC78A4C" w14:textId="76177C23">
      <w:pPr>
        <w:spacing w:after="0" w:line="240" w:lineRule="auto"/>
        <w:jc w:val="center"/>
        <w:rPr>
          <w:rFonts w:ascii="Century Gothic" w:hAnsi="Century Gothic" w:eastAsia="Times New Roman" w:cs="Times New Roman"/>
          <w:b/>
          <w:kern w:val="0"/>
          <w:sz w:val="28"/>
          <w:szCs w:val="20"/>
          <w:lang w:val="ro-RO" w:eastAsia="en-GB"/>
          <w14:ligatures w14:val="none"/>
        </w:rPr>
      </w:pPr>
      <w:r>
        <w:rPr>
          <w:rFonts w:ascii="Century Gothic" w:hAnsi="Century Gothic" w:eastAsia="Times New Roman" w:cs="Times New Roman"/>
          <w:b/>
          <w:kern w:val="0"/>
          <w:sz w:val="28"/>
          <w:szCs w:val="20"/>
          <w:lang w:val="ro-RO" w:eastAsia="en-GB"/>
          <w14:ligatures w14:val="none"/>
        </w:rPr>
        <w:t>HOTĂRÂREA NR. 30</w:t>
      </w:r>
    </w:p>
    <w:p w:rsidRPr="00111184" w:rsidR="00111184" w:rsidP="00111184" w:rsidRDefault="00111184" w14:paraId="7E114944" w14:textId="6D90E7CF">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Şedinţa </w:t>
      </w:r>
      <w:r w:rsidRPr="00111184">
        <w:rPr>
          <w:rFonts w:ascii="Century Gothic" w:hAnsi="Century Gothic" w:eastAsia="Times New Roman" w:cs="Times New Roman"/>
          <w:kern w:val="0"/>
          <w:sz w:val="28"/>
          <w:szCs w:val="20"/>
          <w:lang w:val="ro-RO" w:eastAsia="en-GB"/>
          <w14:ligatures w14:val="none"/>
        </w:rPr>
      </w:r>
      <w:bookmarkStart w:name="tip_sedinta" w:id="0"/>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t>publică</w:t>
      </w:r>
      <w:r w:rsidRPr="00111184">
        <w:rPr>
          <w:rFonts w:ascii="Times New Roman" w:hAnsi="Times New Roman" w:eastAsia="Times New Roman" w:cs="Times New Roman"/>
          <w:kern w:val="0"/>
          <w:sz w:val="24"/>
          <w:szCs w:val="20"/>
          <w:lang w:val="ro-RO" w:eastAsia="en-GB"/>
          <w14:ligatures w14:val="none"/>
        </w:rPr>
      </w:r>
      <w:bookmarkEnd w:id="0"/>
      <w:r w:rsidRPr="00111184">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w:t>
      </w:r>
    </w:p>
    <w:p w:rsidRPr="00111184" w:rsidR="00111184" w:rsidP="00111184" w:rsidRDefault="00111184" w14:paraId="7834B6BA"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Completul compus din:</w:t>
      </w:r>
    </w:p>
    <w:p w:rsidRPr="00111184" w:rsidR="00111184" w:rsidP="00111184" w:rsidRDefault="00111184" w14:paraId="1952F5AF" w14:textId="05B1BFAA">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PREŞEDINTE </w:t>
      </w:r>
      <w:r>
        <w:rPr>
          <w:rFonts w:ascii="Century Gothic" w:hAnsi="Century Gothic" w:eastAsia="Times New Roman" w:cs="Times New Roman"/>
          <w:kern w:val="0"/>
          <w:sz w:val="28"/>
          <w:szCs w:val="20"/>
          <w:lang w:val="ro-RO" w:eastAsia="en-GB"/>
          <w14:ligatures w14:val="none"/>
        </w:rPr>
        <w:t>A0018</w:t>
      </w:r>
    </w:p>
    <w:p w:rsidRPr="00111184" w:rsidR="00111184" w:rsidP="00111184" w:rsidRDefault="00111184" w14:paraId="1EA7F4A5" w14:textId="548274F1">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Grefier </w:t>
      </w:r>
      <w:r>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2C612F04"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27557476"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14619BB3" w14:textId="26F22CF6">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Pe rol judecarea excepţiei de nelegalitate a prevederilor art. 3 din Anexa la H.G. nr. 453/2007, pentru aplicarea normelor metodologice de aplicare a Legii nr. 315/2006 invocată de reclamantul Sindicatul </w:t>
      </w:r>
      <w:r>
        <w:rPr>
          <w:rFonts w:ascii="Century Gothic" w:hAnsi="Century Gothic" w:eastAsia="Times New Roman" w:cs="Times New Roman"/>
          <w:kern w:val="0"/>
          <w:sz w:val="28"/>
          <w:szCs w:val="20"/>
          <w:lang w:val="ro-RO" w:eastAsia="en-GB"/>
          <w14:ligatures w14:val="none"/>
        </w:rPr>
        <w:t>A</w:t>
      </w:r>
      <w:r w:rsidRPr="00111184">
        <w:rPr>
          <w:rFonts w:ascii="Century Gothic" w:hAnsi="Century Gothic" w:eastAsia="Times New Roman" w:cs="Times New Roman"/>
          <w:kern w:val="0"/>
          <w:sz w:val="28"/>
          <w:szCs w:val="20"/>
          <w:lang w:val="ro-RO" w:eastAsia="en-GB"/>
          <w14:ligatures w14:val="none"/>
        </w:rPr>
        <w:t xml:space="preserve">,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în contradictoriu cu pârâţii Guvernul României,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Ministerul Educaţiei, Cercetării, Tineretului şi Sportului,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Liceul </w:t>
      </w:r>
      <w:r>
        <w:rPr>
          <w:rFonts w:ascii="Century Gothic" w:hAnsi="Century Gothic" w:eastAsia="Times New Roman" w:cs="Times New Roman"/>
          <w:kern w:val="0"/>
          <w:sz w:val="28"/>
          <w:szCs w:val="20"/>
          <w:lang w:val="ro-RO" w:eastAsia="en-GB"/>
          <w14:ligatures w14:val="none"/>
        </w:rPr>
        <w:t>B</w:t>
      </w:r>
      <w:r w:rsidRPr="00111184">
        <w:rPr>
          <w:rFonts w:ascii="Century Gothic" w:hAnsi="Century Gothic" w:eastAsia="Times New Roman" w:cs="Times New Roman"/>
          <w:kern w:val="0"/>
          <w:sz w:val="28"/>
          <w:szCs w:val="20"/>
          <w:lang w:val="ro-RO" w:eastAsia="en-GB"/>
          <w14:ligatures w14:val="none"/>
        </w:rPr>
        <w:t xml:space="preserve">, cu sediul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şi Inspectoratul Şcolar </w:t>
      </w:r>
      <w:r>
        <w:rPr>
          <w:rFonts w:ascii="Century Gothic" w:hAnsi="Century Gothic" w:eastAsia="Times New Roman" w:cs="Times New Roman"/>
          <w:kern w:val="0"/>
          <w:sz w:val="28"/>
          <w:szCs w:val="20"/>
          <w:lang w:val="ro-RO" w:eastAsia="en-GB"/>
          <w14:ligatures w14:val="none"/>
        </w:rPr>
        <w:t>Judeţean M.</w:t>
      </w:r>
      <w:r w:rsidRPr="00111184">
        <w:rPr>
          <w:rFonts w:ascii="Century Gothic" w:hAnsi="Century Gothic" w:eastAsia="Times New Roman" w:cs="Times New Roman"/>
          <w:kern w:val="0"/>
          <w:sz w:val="28"/>
          <w:szCs w:val="20"/>
          <w:lang w:val="ro-RO" w:eastAsia="en-GB"/>
          <w14:ligatures w14:val="none"/>
        </w:rPr>
        <w:t xml:space="preserve">,cu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w:t>
      </w:r>
    </w:p>
    <w:p w:rsidRPr="00111184" w:rsidR="00111184" w:rsidP="00111184" w:rsidRDefault="00111184" w14:paraId="7F9EEAC7"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La apelul nominal făcut în şedinţa </w:t>
      </w:r>
      <w:r w:rsidRPr="00111184">
        <w:rPr>
          <w:rFonts w:ascii="Century Gothic" w:hAnsi="Century Gothic" w:eastAsia="Times New Roman" w:cs="Times New Roman"/>
          <w:kern w:val="0"/>
          <w:sz w:val="28"/>
          <w:szCs w:val="20"/>
          <w:lang w:val="ro-RO" w:eastAsia="en-GB"/>
          <w14:ligatures w14:val="none"/>
        </w:rPr>
      </w:r>
      <w:bookmarkStart w:name="tip_sedinta_copie_1" w:id="1"/>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t>publică</w:t>
      </w:r>
      <w:r w:rsidRPr="00111184">
        <w:rPr>
          <w:rFonts w:ascii="Times New Roman" w:hAnsi="Times New Roman" w:eastAsia="Times New Roman" w:cs="Times New Roman"/>
          <w:kern w:val="0"/>
          <w:sz w:val="24"/>
          <w:szCs w:val="20"/>
          <w:lang w:val="ro-RO" w:eastAsia="en-GB"/>
          <w14:ligatures w14:val="none"/>
        </w:rPr>
      </w:r>
      <w:bookmarkEnd w:id="1"/>
      <w:r w:rsidRPr="00111184">
        <w:rPr>
          <w:rFonts w:ascii="Century Gothic" w:hAnsi="Century Gothic" w:eastAsia="Times New Roman" w:cs="Times New Roman"/>
          <w:kern w:val="0"/>
          <w:sz w:val="28"/>
          <w:szCs w:val="20"/>
          <w:lang w:val="ro-RO" w:eastAsia="en-GB"/>
          <w14:ligatures w14:val="none"/>
        </w:rPr>
        <w:t xml:space="preserve"> se constată lipsa părţilor.</w:t>
      </w:r>
    </w:p>
    <w:p w:rsidRPr="00111184" w:rsidR="00111184" w:rsidP="00111184" w:rsidRDefault="00111184" w14:paraId="0EA1E2CF"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Procedura de citare este legal îndeplinită.</w:t>
      </w:r>
    </w:p>
    <w:p w:rsidRPr="00111184" w:rsidR="00111184" w:rsidP="00111184" w:rsidRDefault="00111184" w14:paraId="7386E541" w14:textId="5BD5B9C6">
      <w:pPr>
        <w:spacing w:after="0" w:line="240" w:lineRule="auto"/>
        <w:ind w:firstLine="851"/>
        <w:jc w:val="both"/>
        <w:rPr>
          <w:rFonts w:ascii="Century Gothic" w:hAnsi="Century Gothic" w:eastAsia="Times New Roman" w:cs="Times New Roman"/>
          <w:b/>
          <w:kern w:val="0"/>
          <w:sz w:val="28"/>
          <w:szCs w:val="20"/>
          <w:u w:val="single"/>
          <w:lang w:val="pl-PL" w:eastAsia="en-GB"/>
          <w14:ligatures w14:val="none"/>
        </w:rPr>
      </w:pPr>
      <w:r w:rsidRPr="00111184">
        <w:rPr>
          <w:rFonts w:ascii="Century Gothic" w:hAnsi="Century Gothic" w:eastAsia="Times New Roman" w:cs="Times New Roman"/>
          <w:kern w:val="0"/>
          <w:sz w:val="28"/>
          <w:szCs w:val="20"/>
          <w:lang w:val="pl-PL" w:eastAsia="en-GB"/>
          <w14:ligatures w14:val="none"/>
        </w:rPr>
        <w:t xml:space="preserve">Se constată că la data de 15 mai 2013 s-a încheiat procesul verbal, în conformitate cu prevederile art. 98 alin. 1 şi 6 din Regulamentul de ordine interioară al instanţelor judecătoreşti, cu privire la înlocuirea doamnei judecător </w:t>
      </w:r>
      <w:r>
        <w:rPr>
          <w:rFonts w:ascii="Century Gothic" w:hAnsi="Century Gothic" w:eastAsia="Times New Roman" w:cs="Times New Roman"/>
          <w:kern w:val="0"/>
          <w:sz w:val="28"/>
          <w:szCs w:val="20"/>
          <w:lang w:val="pl-PL" w:eastAsia="en-GB"/>
          <w14:ligatures w14:val="none"/>
        </w:rPr>
        <w:t>..........</w:t>
      </w:r>
      <w:r w:rsidRPr="00111184">
        <w:rPr>
          <w:rFonts w:ascii="Century Gothic" w:hAnsi="Century Gothic" w:eastAsia="Times New Roman" w:cs="Times New Roman"/>
          <w:kern w:val="0"/>
          <w:sz w:val="28"/>
          <w:szCs w:val="20"/>
          <w:lang w:val="pl-PL" w:eastAsia="en-GB"/>
          <w14:ligatures w14:val="none"/>
        </w:rPr>
        <w:t xml:space="preserve"> cu doamna judecător </w:t>
      </w:r>
      <w:r>
        <w:rPr>
          <w:rFonts w:ascii="Century Gothic" w:hAnsi="Century Gothic" w:eastAsia="Times New Roman" w:cs="Times New Roman"/>
          <w:kern w:val="0"/>
          <w:sz w:val="28"/>
          <w:szCs w:val="20"/>
          <w:lang w:val="pl-PL" w:eastAsia="en-GB"/>
          <w14:ligatures w14:val="none"/>
        </w:rPr>
        <w:t>A0018</w:t>
      </w:r>
      <w:r w:rsidRPr="00111184">
        <w:rPr>
          <w:rFonts w:ascii="Century Gothic" w:hAnsi="Century Gothic" w:eastAsia="Times New Roman" w:cs="Times New Roman"/>
          <w:kern w:val="0"/>
          <w:sz w:val="28"/>
          <w:szCs w:val="20"/>
          <w:lang w:val="pl-PL" w:eastAsia="en-GB"/>
          <w14:ligatures w14:val="none"/>
        </w:rPr>
        <w:t>, conform planificării de permanenţă.</w:t>
      </w:r>
    </w:p>
    <w:p w:rsidRPr="00111184" w:rsidR="00111184" w:rsidP="00111184" w:rsidRDefault="00111184" w14:paraId="1915E873"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S-a făcut </w:t>
      </w:r>
      <w:r w:rsidRPr="00111184">
        <w:rPr>
          <w:rFonts w:ascii="Century Gothic" w:hAnsi="Century Gothic" w:eastAsia="Times New Roman" w:cs="Times New Roman"/>
          <w:kern w:val="0"/>
          <w:sz w:val="28"/>
          <w:szCs w:val="20"/>
          <w:lang w:val="ro-RO" w:eastAsia="en-GB"/>
          <w14:ligatures w14:val="none"/>
        </w:rPr>
      </w:r>
      <w:bookmarkStart w:name="tip_doc_despre_cauza" w:id="2"/>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t>referatul</w:t>
      </w:r>
      <w:r w:rsidRPr="00111184">
        <w:rPr>
          <w:rFonts w:ascii="Times New Roman" w:hAnsi="Times New Roman" w:eastAsia="Times New Roman" w:cs="Times New Roman"/>
          <w:kern w:val="0"/>
          <w:sz w:val="24"/>
          <w:szCs w:val="20"/>
          <w:lang w:val="ro-RO" w:eastAsia="en-GB"/>
          <w14:ligatures w14:val="none"/>
        </w:rPr>
      </w:r>
      <w:bookmarkEnd w:id="2"/>
      <w:r w:rsidRPr="00111184">
        <w:rPr>
          <w:rFonts w:ascii="Century Gothic" w:hAnsi="Century Gothic" w:eastAsia="Times New Roman" w:cs="Times New Roman"/>
          <w:kern w:val="0"/>
          <w:sz w:val="28"/>
          <w:szCs w:val="20"/>
          <w:lang w:val="ro-RO" w:eastAsia="en-GB"/>
          <w14:ligatures w14:val="none"/>
        </w:rPr>
        <w:t xml:space="preserve"> cauzei după care se constată că pârâtul Guvernul României a depus întâmpinare (f.5-8 dosar).</w:t>
      </w:r>
    </w:p>
    <w:p w:rsidRPr="00111184" w:rsidR="00111184" w:rsidP="00111184" w:rsidRDefault="00111184" w14:paraId="788344BD" w14:textId="77777777">
      <w:pPr>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Având în vedere faptul că prin întâmpinare nu se susţin argumente noi, în fapt şi în drept, faţă de cele expuse înaintea primei instanţe şi ţinând seama de poziţia procesuală a intimatului, precum şi de principiul celerităţii, Curtea nu consideră necesară comunicarea întâmpinării.</w:t>
      </w:r>
    </w:p>
    <w:p w:rsidRPr="00111184" w:rsidR="00111184" w:rsidP="00111184" w:rsidRDefault="00111184" w14:paraId="5EF0F301"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Instanţa respinge excepţia inadmisibilităţii excepţiei de nelegalitate a prevederilor art. 3 din Anexa la H.G. nr. 453/2007, pentru aplicarea normelor metodologice de aplicare a Legii nr. 315/2006 invocată de pârâtul Guvernul României prin întâmpinarea de la fila 5 dosar.</w:t>
      </w:r>
    </w:p>
    <w:p w:rsidRPr="00111184" w:rsidR="00111184" w:rsidP="00111184" w:rsidRDefault="00111184" w14:paraId="5CA76060"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lastRenderedPageBreak/>
        <w:t>Instanţa reţine că practica constantă a Înaltei Curţi de Casaţie şi Justiţie este în sensul cenzurării pe calea excepţiei de nelegalitate şi a actelor administrative cu caracter normativ invocate anterior modificării Legii nr. 554/2004, la data de 01.02.2013.</w:t>
      </w:r>
    </w:p>
    <w:p w:rsidRPr="00111184" w:rsidR="00111184" w:rsidP="00111184" w:rsidRDefault="00111184" w14:paraId="1C293C1D"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Nefiind cereri formulate şi văzând invocare disp.art.242 alin.2 C.pr.civ., instanţa reţine cauza în pronunţare asupra excepţiei de nelegalitate.</w:t>
      </w:r>
    </w:p>
    <w:p w:rsidRPr="00111184" w:rsidR="00111184" w:rsidP="00111184" w:rsidRDefault="00111184" w14:paraId="74F3D3F6" w14:textId="455B879E">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După dezbateri, se constată că intimatul Inspectoratul Şcolar </w:t>
      </w:r>
      <w:r>
        <w:rPr>
          <w:rFonts w:ascii="Century Gothic" w:hAnsi="Century Gothic" w:eastAsia="Times New Roman" w:cs="Times New Roman"/>
          <w:kern w:val="0"/>
          <w:sz w:val="28"/>
          <w:szCs w:val="20"/>
          <w:lang w:val="ro-RO" w:eastAsia="en-GB"/>
          <w14:ligatures w14:val="none"/>
        </w:rPr>
        <w:t>Judeţean M.</w:t>
      </w:r>
      <w:r w:rsidRPr="00111184">
        <w:rPr>
          <w:rFonts w:ascii="Century Gothic" w:hAnsi="Century Gothic" w:eastAsia="Times New Roman" w:cs="Times New Roman"/>
          <w:kern w:val="0"/>
          <w:sz w:val="28"/>
          <w:szCs w:val="20"/>
          <w:lang w:val="ro-RO" w:eastAsia="en-GB"/>
          <w14:ligatures w14:val="none"/>
        </w:rPr>
        <w:t xml:space="preserve"> a depus întâmpinare, cu respectarea multiplului exemplar (f.15 dosar).</w:t>
      </w:r>
    </w:p>
    <w:p w:rsidRPr="00111184" w:rsidR="00111184" w:rsidP="00111184" w:rsidRDefault="00111184" w14:paraId="491783BF" w14:textId="77777777">
      <w:pPr>
        <w:spacing w:after="0" w:line="240" w:lineRule="auto"/>
        <w:jc w:val="both"/>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26260823"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CURTEA DE APEL,</w:t>
      </w:r>
    </w:p>
    <w:p w:rsidRPr="00111184" w:rsidR="00111184" w:rsidP="00111184" w:rsidRDefault="00111184" w14:paraId="1C12E0B6"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1B437039"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Deliberând asupra cauzei de faţă, constată următoarele:</w:t>
      </w:r>
    </w:p>
    <w:p w:rsidRPr="00111184" w:rsidR="00111184" w:rsidP="00111184" w:rsidRDefault="00111184" w14:paraId="053506D7" w14:textId="3784A86F">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 xml:space="preserve">Curtea de Apel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a fost sesizată la data de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cu soluţionarea excepţiei de nelegalitate a prevederilor art.3 din  anexa la HG nr.453/2007 pentru aprobarea Normelor metodologice de aplicare a Legii nr.315/2006 privind Stimularea achiziţionării de cărţi  sau de programe educaţionale pe suport electronic, necesare îmbunătăţirii activităţii didactice în învăţământul universitar, excepţia fiind ridicată la data de 28.12.2012 de  Sindicatul </w:t>
      </w:r>
      <w:r>
        <w:rPr>
          <w:rFonts w:ascii="Century Gothic" w:hAnsi="Century Gothic" w:eastAsia="Times New Roman" w:cs="Times New Roman"/>
          <w:kern w:val="0"/>
          <w:sz w:val="28"/>
          <w:szCs w:val="20"/>
          <w:lang w:val="ro-RO" w:eastAsia="en-GB"/>
          <w14:ligatures w14:val="none"/>
        </w:rPr>
        <w:t>A</w:t>
      </w:r>
      <w:r w:rsidRPr="00111184">
        <w:rPr>
          <w:rFonts w:ascii="Century Gothic" w:hAnsi="Century Gothic" w:eastAsia="Times New Roman" w:cs="Times New Roman"/>
          <w:kern w:val="0"/>
          <w:sz w:val="28"/>
          <w:szCs w:val="20"/>
          <w:lang w:val="ro-RO" w:eastAsia="en-GB"/>
          <w14:ligatures w14:val="none"/>
        </w:rPr>
        <w:t xml:space="preserve"> în cadrul unui litigiu, în contradictoriu cu Liceul </w:t>
      </w:r>
      <w:r>
        <w:rPr>
          <w:rFonts w:ascii="Century Gothic" w:hAnsi="Century Gothic" w:eastAsia="Times New Roman" w:cs="Times New Roman"/>
          <w:kern w:val="0"/>
          <w:sz w:val="28"/>
          <w:szCs w:val="20"/>
          <w:lang w:val="ro-RO" w:eastAsia="en-GB"/>
          <w14:ligatures w14:val="none"/>
        </w:rPr>
        <w:t>B</w:t>
      </w:r>
      <w:r w:rsidRPr="00111184">
        <w:rPr>
          <w:rFonts w:ascii="Century Gothic" w:hAnsi="Century Gothic" w:eastAsia="Times New Roman" w:cs="Times New Roman"/>
          <w:kern w:val="0"/>
          <w:sz w:val="28"/>
          <w:szCs w:val="20"/>
          <w:lang w:val="ro-RO" w:eastAsia="en-GB"/>
          <w14:ligatures w14:val="none"/>
        </w:rPr>
        <w:t xml:space="preserve">, Ministerul Educaţiei, Cercetării, Tineretului şi Sportului şi Inspectoratul Şcolar </w:t>
      </w:r>
      <w:r>
        <w:rPr>
          <w:rFonts w:ascii="Century Gothic" w:hAnsi="Century Gothic" w:eastAsia="Times New Roman" w:cs="Times New Roman"/>
          <w:kern w:val="0"/>
          <w:sz w:val="28"/>
          <w:szCs w:val="20"/>
          <w:lang w:val="ro-RO" w:eastAsia="en-GB"/>
          <w14:ligatures w14:val="none"/>
        </w:rPr>
        <w:t>Judeţean M.</w:t>
      </w:r>
      <w:r w:rsidRPr="00111184">
        <w:rPr>
          <w:rFonts w:ascii="Century Gothic" w:hAnsi="Century Gothic" w:eastAsia="Times New Roman" w:cs="Times New Roman"/>
          <w:kern w:val="0"/>
          <w:sz w:val="28"/>
          <w:szCs w:val="20"/>
          <w:lang w:val="ro-RO" w:eastAsia="en-GB"/>
          <w14:ligatures w14:val="none"/>
        </w:rPr>
        <w:t xml:space="preserve">, litigiu înregistrat pe rolul Tribunalului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sub dosar nr.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5E540832"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În motivarea excepţiei de nelegalitate, reclamantul a susţinut că, deşi prin art.3 din anexa la HG nr.453/2007 s-a stabilit un circuit corect al cererilor ce trebuie formulate de cadrele didactice pentru a beneficia de ajutorul financiar  în vederea achiziţionării cărţilor, totuşi s-a stabilit şi un termen nerezonabil pentru depunerea cererilor de acest tip, termen care este de natură să împiedice cadrele didactice să obţină drepturile băneşti acordate conform art.1 şi 2 din Legea nr.315/2006.</w:t>
      </w:r>
    </w:p>
    <w:p w:rsidRPr="00111184" w:rsidR="00111184" w:rsidP="00111184" w:rsidRDefault="00111184" w14:paraId="58CB58CE"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 xml:space="preserve">S-a arătat că termenul de 1 noiembrie este stabilit doar pentru formularea unei cereri cu caracter general, deoarece acordarea efectivă a sumelor are loc după prezentarea documentelor justificative, procedura de solicitare de către cadrele didactice şi procedura de deschidere a creditelor bugetare fiind reglementată de art.5 din normele metodologice. Nelegalitatea art.3 din norme </w:t>
      </w:r>
      <w:r w:rsidRPr="00111184">
        <w:rPr>
          <w:rFonts w:ascii="Century Gothic" w:hAnsi="Century Gothic" w:eastAsia="Times New Roman" w:cs="Times New Roman"/>
          <w:kern w:val="0"/>
          <w:sz w:val="28"/>
          <w:szCs w:val="20"/>
          <w:lang w:val="ro-RO" w:eastAsia="en-GB"/>
          <w14:ligatures w14:val="none"/>
        </w:rPr>
        <w:lastRenderedPageBreak/>
        <w:t>trebuie cercetată raportat la actele normative cu forţa juridică superioară, nu raportat la alte prevederi din aceleaşi norme metodologice, însă chiar stabilirea unei proceduri separate şi suficiente pentru acordarea efectivă a ajutorului financiar, fără legătură cu cererea prevăzută  de art.3, este un argument în plus în susţinerea excepţiei invocate, şi anume ca art.3 adaugă la lege.</w:t>
      </w:r>
    </w:p>
    <w:p w:rsidRPr="00111184" w:rsidR="00111184" w:rsidP="00111184" w:rsidRDefault="00111184" w14:paraId="0C1AAD3B"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Guvernul României, în calitate de emitent al actului administrativ atacat, a formulat întâmpinare prin care a solicitat respingerea excepţiei de nelegalitate</w:t>
      </w:r>
    </w:p>
    <w:p w:rsidRPr="00111184" w:rsidR="00111184" w:rsidP="00111184" w:rsidRDefault="00111184" w14:paraId="76747477"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În motivare, intimatul a arătat că, potrivit art.1 din Legea nr.315/2006 „se acordă  un ajutor financiar cadrelor didactice titulare şi/sau  suplinitoare calificate din învăţământul  preuniversitar, în vederea achiziţionării de cărţi sau de programe educaţionale pe suport electronic, necesare îmbunătăţirii calităţii activităţii didactice”.</w:t>
      </w:r>
    </w:p>
    <w:p w:rsidRPr="00111184" w:rsidR="00111184" w:rsidP="00111184" w:rsidRDefault="00111184" w14:paraId="6CA4F6BC"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S-a arătat că, potrivit prevederilor art.2 din legea mai sus menţionată „ajutorul financiar prevăzut la art.1 se acordă anual, la solicitarea cadrelor didactice, şi reprezintă echivalentul în lei a 100 euro, calculat la cursul de schimb valutar comunicat de Banca Naţională a României la data plăţii”.</w:t>
      </w:r>
    </w:p>
    <w:p w:rsidRPr="00111184" w:rsidR="00111184" w:rsidP="00111184" w:rsidRDefault="00111184" w14:paraId="0F9A6DBB"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Intimatul arată că, în temeiul art.5 din Legea nr.315/2006 au fost emise Normele de aplicare  aprobate prin HG nr.453/2007. Facilitatea de a primi un ajutor financiar în sumă de 100 euro este  condiţionată de manifestarea de voinţă în acest sens, concretizată sub forma unei cereri ce se depune până la data de 1 noiembrie. Se poate observa că nu este un caz de discriminare, ci doar se impune parcurgerea unei proceduri simple pentru a primi acest ajutor. Faptul că unele cadre didactice nu au formulat cerere de acordare  a ajutorului financiar în termenul prevăzut de Norme, nu conduce la concluzia că se produc discriminări sau situaţii de ilegalitate.</w:t>
      </w:r>
    </w:p>
    <w:p w:rsidRPr="00111184" w:rsidR="00111184" w:rsidP="00111184" w:rsidRDefault="00111184" w14:paraId="327053E9" w14:textId="77777777">
      <w:pPr>
        <w:spacing w:after="0" w:line="240" w:lineRule="auto"/>
        <w:ind w:right="30" w:firstLine="708"/>
        <w:jc w:val="both"/>
        <w:rPr>
          <w:rFonts w:ascii="Century Gothic" w:hAnsi="Century Gothic" w:eastAsia="Times New Roman" w:cs="Times New Roman"/>
          <w:b/>
          <w:kern w:val="0"/>
          <w:sz w:val="28"/>
          <w:szCs w:val="20"/>
          <w:lang w:val="ro-RO" w:eastAsia="en-GB"/>
          <w14:ligatures w14:val="none"/>
        </w:rPr>
      </w:pPr>
      <w:r w:rsidRPr="00111184">
        <w:rPr>
          <w:rFonts w:ascii="Century Gothic" w:hAnsi="Century Gothic" w:eastAsia="Times New Roman" w:cs="Times New Roman"/>
          <w:b/>
          <w:kern w:val="0"/>
          <w:sz w:val="28"/>
          <w:szCs w:val="20"/>
          <w:lang w:val="ro-RO" w:eastAsia="en-GB"/>
          <w14:ligatures w14:val="none"/>
        </w:rPr>
        <w:t>Analizând actele şi lucrările  dosarului, instanţa reţine următoarele :</w:t>
      </w:r>
    </w:p>
    <w:p w:rsidRPr="00111184" w:rsidR="00111184" w:rsidP="00111184" w:rsidRDefault="00111184" w14:paraId="1A4FD53C"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Curtea reţine că HG nr.453/2007 a fost a fost adoptată în temeiul prevederilor art.108 din Constituţia României şi al art.5 din Legea nr.315/2006 privind stimularea achiziţionării de cărţi sau de programe educaţionale pe suport electronic, necesare  îmbunătăţirii calităţii activităţii didactice, în învăţământul preuniversitar.</w:t>
      </w:r>
    </w:p>
    <w:p w:rsidRPr="00111184" w:rsidR="00111184" w:rsidP="00111184" w:rsidRDefault="00111184" w14:paraId="03B40C22"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lastRenderedPageBreak/>
        <w:tab/>
        <w:t>Potrivit art.1 din Legea nr.315/2006 „se acordă  un ajutor financiar cadrelor didactice titulare şi/sau  suplinitoare calificate din învăţământul  preuniversitar, în vederea achiziţionării de cărţi sau de programe educaţionale pe suport electronic, necesare îmbunătăţirii calităţii activităţii didactice”.</w:t>
      </w:r>
    </w:p>
    <w:p w:rsidRPr="00111184" w:rsidR="00111184" w:rsidP="00111184" w:rsidRDefault="00111184" w14:paraId="2D4223B5"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Conform art.2 din aceeaşi lege „ajutorul financiar prevăzut la art.1 se acordă anual, la solicitarea cadrelor didactice şi reprezintă echivalentul în lei a 100 euro, calculat la cursul de schimb valutar comunicat de Banca Naţională a României la data plăţii”.</w:t>
      </w:r>
    </w:p>
    <w:p w:rsidRPr="00111184" w:rsidR="00111184" w:rsidP="00111184" w:rsidRDefault="00111184" w14:paraId="5D60A8CD"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Potrivit Normelor metodologice cuprinse în HG nr.453/2007, facilitatea de a primi un ajutor financiar în sumă de 100 de euro este condiţionată de manifestarea de voinţă în acest sens, concretizată sub forma unei cereri ce se depune până la data de 1 noiembrie.</w:t>
      </w:r>
    </w:p>
    <w:p w:rsidRPr="00111184" w:rsidR="00111184" w:rsidP="00111184" w:rsidRDefault="00111184" w14:paraId="60389657"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Faptul că prin actul administrativ emis de Guvern a fost instituit un termen limită pentru depunerea cererilor pentru acordarea sprijinului financiar,  nu constituie un motiv de nelegalitate a actului administrativ atacat fiind vorba de instituirea unei proceduri nediscriminatorii, aplicabile tuturor  subiecţilor de drept cărora actul administrativ li se adresează. Această procedură este justificată de faptul că pentru asigurarea sprijinului financiar sunt angrenaţi mai mulţi factori care trebuie să conlucreze în anumite limite de timp.</w:t>
      </w:r>
    </w:p>
    <w:p w:rsidRPr="00111184" w:rsidR="00111184" w:rsidP="00111184" w:rsidRDefault="00111184" w14:paraId="75EC6796"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Astfel, cererile cadrelor didactice sunt depuse la unităţile şcolare care le centralizează şi le transmit către  inspectorate şcolare, iar acestea la rândul  lor,  solicită lunar, până la data de 20 a fiecărei luni, către minister necesarul  de deschideri de credite bugetare pentru luna următoare.</w:t>
      </w:r>
    </w:p>
    <w:p w:rsidRPr="00111184" w:rsidR="00111184" w:rsidP="00111184" w:rsidRDefault="00111184" w14:paraId="094ED97C" w14:textId="77777777">
      <w:pPr>
        <w:spacing w:after="0" w:line="240" w:lineRule="auto"/>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ab/>
        <w:t>Fiind vorba de instituirea unei proceduri legale, pentru punerea în executare a unei legi, excepţia de nelegalitate a actului  administrativ atacat urmează a fi respinsă ca neîntemeiată.</w:t>
      </w:r>
    </w:p>
    <w:p w:rsidRPr="00111184" w:rsidR="00111184" w:rsidP="00111184" w:rsidRDefault="00111184" w14:paraId="30FA246B" w14:textId="77777777">
      <w:pPr>
        <w:spacing w:after="0" w:line="240" w:lineRule="auto"/>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0753E375"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PENTRU ACESTE MOTIVE,</w:t>
      </w:r>
      <w:r w:rsidRPr="00111184">
        <w:rPr>
          <w:rFonts w:ascii="Century Gothic" w:hAnsi="Century Gothic" w:eastAsia="Times New Roman" w:cs="Times New Roman"/>
          <w:kern w:val="0"/>
          <w:sz w:val="28"/>
          <w:szCs w:val="20"/>
          <w:lang w:val="ro-RO" w:eastAsia="en-GB"/>
          <w14:ligatures w14:val="none"/>
        </w:rPr>
        <w:br/>
        <w:t>ÎN NUMELE LEGII</w:t>
      </w:r>
    </w:p>
    <w:p w:rsidRPr="00111184" w:rsidR="00111184" w:rsidP="00111184" w:rsidRDefault="00111184" w14:paraId="3849B707"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r>
      <w:bookmarkStart w:name="ce_face_curtea" w:id="3"/>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t>HOTĂRĂŞTE</w:t>
      </w:r>
      <w:r w:rsidRPr="00111184">
        <w:rPr>
          <w:rFonts w:ascii="Times New Roman" w:hAnsi="Times New Roman" w:eastAsia="Times New Roman" w:cs="Times New Roman"/>
          <w:kern w:val="0"/>
          <w:sz w:val="24"/>
          <w:szCs w:val="20"/>
          <w:lang w:val="ro-RO" w:eastAsia="en-GB"/>
          <w14:ligatures w14:val="none"/>
        </w:rPr>
      </w:r>
      <w:bookmarkEnd w:id="3"/>
      <w:r w:rsidRPr="00111184">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7EFF51DE" w14:textId="77777777">
      <w:pPr>
        <w:spacing w:after="0" w:line="240" w:lineRule="auto"/>
        <w:rPr>
          <w:rFonts w:ascii="Century Gothic" w:hAnsi="Century Gothic" w:eastAsia="Times New Roman" w:cs="Times New Roman"/>
          <w:kern w:val="0"/>
          <w:sz w:val="28"/>
          <w:szCs w:val="20"/>
          <w:lang w:val="ro-RO" w:eastAsia="en-GB"/>
          <w14:ligatures w14:val="none"/>
        </w:rPr>
      </w:pPr>
    </w:p>
    <w:p w:rsidRPr="00111184" w:rsidR="00111184" w:rsidP="00111184" w:rsidRDefault="00111184" w14:paraId="23F4B90C" w14:textId="7A59B9AB">
      <w:pPr>
        <w:suppressAutoHyphens/>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Respinge excepţia de nelegalitate a prevederilor art. 3 din Anexa la H.G. nr. 453/2007, pentru aplicarea normelor metodologice de aplicare a Legii nr. 315/2006 invocată de reclamantul Sindicatul </w:t>
      </w:r>
      <w:r>
        <w:rPr>
          <w:rFonts w:ascii="Century Gothic" w:hAnsi="Century Gothic" w:eastAsia="Times New Roman" w:cs="Times New Roman"/>
          <w:kern w:val="0"/>
          <w:sz w:val="28"/>
          <w:szCs w:val="20"/>
          <w:lang w:val="ro-RO" w:eastAsia="en-GB"/>
          <w14:ligatures w14:val="none"/>
        </w:rPr>
        <w:t>A</w:t>
      </w:r>
      <w:r w:rsidRPr="00111184">
        <w:rPr>
          <w:rFonts w:ascii="Century Gothic" w:hAnsi="Century Gothic" w:eastAsia="Times New Roman" w:cs="Times New Roman"/>
          <w:kern w:val="0"/>
          <w:sz w:val="28"/>
          <w:szCs w:val="20"/>
          <w:lang w:val="ro-RO" w:eastAsia="en-GB"/>
          <w14:ligatures w14:val="none"/>
        </w:rPr>
        <w:t xml:space="preserve">,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în contradictoriu cu </w:t>
      </w:r>
      <w:r w:rsidRPr="00111184">
        <w:rPr>
          <w:rFonts w:ascii="Century Gothic" w:hAnsi="Century Gothic" w:eastAsia="Times New Roman" w:cs="Times New Roman"/>
          <w:kern w:val="0"/>
          <w:sz w:val="28"/>
          <w:szCs w:val="20"/>
          <w:lang w:val="ro-RO" w:eastAsia="en-GB"/>
          <w14:ligatures w14:val="none"/>
        </w:rPr>
        <w:lastRenderedPageBreak/>
        <w:t xml:space="preserve">pârâţii Guvernul României,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Ministerul Educaţiei, Cercetării, Tineretului şi Sportului, 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Liceul </w:t>
      </w:r>
      <w:r>
        <w:rPr>
          <w:rFonts w:ascii="Century Gothic" w:hAnsi="Century Gothic" w:eastAsia="Times New Roman" w:cs="Times New Roman"/>
          <w:kern w:val="0"/>
          <w:sz w:val="28"/>
          <w:szCs w:val="20"/>
          <w:lang w:val="ro-RO" w:eastAsia="en-GB"/>
          <w14:ligatures w14:val="none"/>
        </w:rPr>
        <w:t>B</w:t>
      </w:r>
      <w:r w:rsidRPr="00111184">
        <w:rPr>
          <w:rFonts w:ascii="Century Gothic" w:hAnsi="Century Gothic" w:eastAsia="Times New Roman" w:cs="Times New Roman"/>
          <w:kern w:val="0"/>
          <w:sz w:val="28"/>
          <w:szCs w:val="20"/>
          <w:lang w:val="ro-RO" w:eastAsia="en-GB"/>
          <w14:ligatures w14:val="none"/>
        </w:rPr>
        <w:t xml:space="preserve">, cu sediul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 xml:space="preserve"> şi Inspectoratul Şcolar </w:t>
      </w:r>
      <w:r>
        <w:rPr>
          <w:rFonts w:ascii="Century Gothic" w:hAnsi="Century Gothic" w:eastAsia="Times New Roman" w:cs="Times New Roman"/>
          <w:kern w:val="0"/>
          <w:sz w:val="28"/>
          <w:szCs w:val="20"/>
          <w:lang w:val="ro-RO" w:eastAsia="en-GB"/>
          <w14:ligatures w14:val="none"/>
        </w:rPr>
        <w:t>Judeţean M.</w:t>
      </w:r>
      <w:r w:rsidRPr="00111184">
        <w:rPr>
          <w:rFonts w:ascii="Century Gothic" w:hAnsi="Century Gothic" w:eastAsia="Times New Roman" w:cs="Times New Roman"/>
          <w:kern w:val="0"/>
          <w:sz w:val="28"/>
          <w:szCs w:val="20"/>
          <w:lang w:val="ro-RO" w:eastAsia="en-GB"/>
          <w14:ligatures w14:val="none"/>
        </w:rPr>
        <w:t xml:space="preserve">,cu sediul în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w:t>
      </w:r>
    </w:p>
    <w:p w:rsidRPr="00111184" w:rsidR="00111184" w:rsidP="00111184" w:rsidRDefault="00111184" w14:paraId="7E6BBD86" w14:textId="77777777">
      <w:pPr>
        <w:suppressAutoHyphens/>
        <w:spacing w:after="0" w:line="240" w:lineRule="auto"/>
        <w:ind w:firstLine="900"/>
        <w:jc w:val="both"/>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Cu drept de recurs în 5 zile de la comunicare.</w:t>
      </w:r>
    </w:p>
    <w:p w:rsidRPr="00111184" w:rsidR="00111184" w:rsidP="00111184" w:rsidRDefault="00111184" w14:paraId="0652B86B" w14:textId="166140B9">
      <w:pPr>
        <w:spacing w:after="0" w:line="240" w:lineRule="auto"/>
        <w:ind w:firstLine="851"/>
        <w:rPr>
          <w:rFonts w:ascii="Century Gothic" w:hAnsi="Century Gothic" w:eastAsia="Times New Roman" w:cs="Times New Roman"/>
          <w:kern w:val="0"/>
          <w:sz w:val="28"/>
          <w:szCs w:val="20"/>
          <w:lang w:val="ro-RO" w:eastAsia="en-GB"/>
          <w14:ligatures w14:val="none"/>
        </w:rPr>
      </w:pPr>
      <w:r w:rsidRPr="00111184">
        <w:rPr>
          <w:rFonts w:ascii="Century Gothic" w:hAnsi="Century Gothic" w:eastAsia="Times New Roman" w:cs="Times New Roman"/>
          <w:kern w:val="0"/>
          <w:sz w:val="28"/>
          <w:szCs w:val="20"/>
          <w:lang w:val="ro-RO" w:eastAsia="en-GB"/>
          <w14:ligatures w14:val="none"/>
        </w:rPr>
        <w:t xml:space="preserve">Pronunţată în şedinţa </w:t>
      </w:r>
      <w:r w:rsidRPr="00111184">
        <w:rPr>
          <w:rFonts w:ascii="Century Gothic" w:hAnsi="Century Gothic" w:eastAsia="Times New Roman" w:cs="Times New Roman"/>
          <w:kern w:val="0"/>
          <w:sz w:val="28"/>
          <w:szCs w:val="20"/>
          <w:lang w:val="ro-RO" w:eastAsia="en-GB"/>
          <w14:ligatures w14:val="none"/>
        </w:rPr>
      </w:r>
      <w:bookmarkStart w:name="tip_sedinta_copie_2" w:id="4"/>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r>
      <w:r w:rsidRPr="00111184">
        <w:rPr>
          <w:rFonts w:ascii="Century Gothic" w:hAnsi="Century Gothic" w:eastAsia="Times New Roman" w:cs="Times New Roman"/>
          <w:kern w:val="0"/>
          <w:sz w:val="28"/>
          <w:szCs w:val="20"/>
          <w:lang w:val="ro-RO" w:eastAsia="en-GB"/>
          <w14:ligatures w14:val="none"/>
        </w:rPr>
        <w:t>publică</w:t>
      </w:r>
      <w:r w:rsidRPr="00111184">
        <w:rPr>
          <w:rFonts w:ascii="Times New Roman" w:hAnsi="Times New Roman" w:eastAsia="Times New Roman" w:cs="Times New Roman"/>
          <w:kern w:val="0"/>
          <w:sz w:val="24"/>
          <w:szCs w:val="20"/>
          <w:lang w:val="ro-RO" w:eastAsia="en-GB"/>
          <w14:ligatures w14:val="none"/>
        </w:rPr>
      </w:r>
      <w:bookmarkEnd w:id="4"/>
      <w:r w:rsidRPr="00111184">
        <w:rPr>
          <w:rFonts w:ascii="Century Gothic" w:hAnsi="Century Gothic" w:eastAsia="Times New Roman" w:cs="Times New Roman"/>
          <w:kern w:val="0"/>
          <w:sz w:val="28"/>
          <w:szCs w:val="20"/>
          <w:lang w:val="ro-RO" w:eastAsia="en-GB"/>
          <w14:ligatures w14:val="none"/>
        </w:rPr>
        <w:t xml:space="preserve"> de la </w:t>
      </w:r>
      <w:r>
        <w:rPr>
          <w:rFonts w:ascii="Century Gothic" w:hAnsi="Century Gothic" w:eastAsia="Times New Roman" w:cs="Times New Roman"/>
          <w:kern w:val="0"/>
          <w:sz w:val="28"/>
          <w:szCs w:val="20"/>
          <w:lang w:val="ro-RO" w:eastAsia="en-GB"/>
          <w14:ligatures w14:val="none"/>
        </w:rPr>
        <w:t>.............</w:t>
      </w:r>
      <w:r w:rsidRPr="00111184">
        <w:rPr>
          <w:rFonts w:ascii="Century Gothic" w:hAnsi="Century Gothic" w:eastAsia="Times New Roman" w:cs="Times New Roman"/>
          <w:kern w:val="0"/>
          <w:sz w:val="28"/>
          <w:szCs w:val="20"/>
          <w:lang w:val="ro-RO" w:eastAsia="en-GB"/>
          <w14:ligatures w14:val="none"/>
        </w:rPr>
        <w:t>.</w:t>
      </w:r>
    </w:p>
    <w:p w:rsidR="00111184" w:rsidP="00111184" w:rsidRDefault="00111184" w14:paraId="2FF41312" w14:textId="2BFCC988">
      <w:pPr>
        <w:spacing w:after="0" w:line="240" w:lineRule="auto"/>
        <w:jc w:val="center"/>
        <w:rPr>
          <w:rFonts w:ascii="Century Gothic" w:hAnsi="Century Gothic" w:eastAsia="Times New Roman" w:cs="Times New Roman"/>
          <w:kern w:val="0"/>
          <w:sz w:val="28"/>
          <w:szCs w:val="20"/>
          <w:lang w:val="ro-RO" w:eastAsia="en-GB"/>
          <w14:ligatures w14:val="none"/>
        </w:rPr>
      </w:pPr>
    </w:p>
    <w:p w:rsidR="00111184" w:rsidP="00111184" w:rsidRDefault="00111184" w14:paraId="042B952F" w14:textId="14433343">
      <w:pPr>
        <w:spacing w:after="0" w:line="240" w:lineRule="auto"/>
        <w:jc w:val="center"/>
        <w:rPr>
          <w:rFonts w:ascii="Calibri" w:hAnsi="Calibri" w:eastAsia="Times New Roman" w:cs="Calibri"/>
          <w:kern w:val="0"/>
          <w:sz w:val="28"/>
          <w:szCs w:val="20"/>
          <w:lang w:val="ro-RO" w:eastAsia="en-GB"/>
          <w14:ligatures w14:val="none"/>
        </w:rPr>
      </w:pPr>
      <w:r>
        <w:rPr>
          <w:rFonts w:ascii="Century Gothic" w:hAnsi="Century Gothic" w:eastAsia="Times New Roman" w:cs="Times New Roman"/>
          <w:kern w:val="0"/>
          <w:sz w:val="28"/>
          <w:szCs w:val="20"/>
          <w:lang w:val="ro-RO" w:eastAsia="en-GB"/>
          <w14:ligatures w14:val="none"/>
        </w:rPr>
        <w:t>Pre</w:t>
      </w:r>
      <w:r>
        <w:rPr>
          <w:rFonts w:ascii="Calibri" w:hAnsi="Calibri" w:eastAsia="Times New Roman" w:cs="Calibri"/>
          <w:kern w:val="0"/>
          <w:sz w:val="28"/>
          <w:szCs w:val="20"/>
          <w:lang w:val="ro-RO" w:eastAsia="en-GB"/>
          <w14:ligatures w14:val="none"/>
        </w:rPr>
        <w:t>ședinte</w:t>
      </w:r>
    </w:p>
    <w:p w:rsidR="00111184" w:rsidP="00111184" w:rsidRDefault="00111184" w14:paraId="6795E430" w14:textId="36BC56EA">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A0018</w:t>
      </w:r>
    </w:p>
    <w:p w:rsidR="00111184" w:rsidP="00111184" w:rsidRDefault="00111184" w14:paraId="460E1142" w14:textId="77777777">
      <w:pPr>
        <w:spacing w:after="0" w:line="240" w:lineRule="auto"/>
        <w:jc w:val="center"/>
        <w:rPr>
          <w:rFonts w:ascii="Calibri" w:hAnsi="Calibri" w:eastAsia="Times New Roman" w:cs="Calibri"/>
          <w:kern w:val="0"/>
          <w:sz w:val="28"/>
          <w:szCs w:val="20"/>
          <w:lang w:val="ro-RO" w:eastAsia="en-GB"/>
          <w14:ligatures w14:val="none"/>
        </w:rPr>
      </w:pPr>
    </w:p>
    <w:p w:rsidR="00111184" w:rsidP="00111184" w:rsidRDefault="00111184" w14:paraId="6297024E" w14:textId="60DCD2F3">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Grefier</w:t>
      </w:r>
    </w:p>
    <w:p w:rsidRPr="00111184" w:rsidR="00111184" w:rsidP="00111184" w:rsidRDefault="00111184" w14:paraId="1057111B" w14:textId="100BD73D">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w:t>
      </w:r>
    </w:p>
    <w:p w:rsidRPr="00111184" w:rsidR="00111184" w:rsidP="00111184" w:rsidRDefault="00111184" w14:paraId="418C6BE3" w14:textId="77777777">
      <w:pPr>
        <w:spacing w:after="0" w:line="240" w:lineRule="auto"/>
        <w:rPr>
          <w:rFonts w:ascii="Century Gothic" w:hAnsi="Century Gothic" w:eastAsia="Times New Roman" w:cs="Times New Roman"/>
          <w:kern w:val="0"/>
          <w:sz w:val="16"/>
          <w:szCs w:val="20"/>
          <w:lang w:val="ro-RO" w:eastAsia="en-GB"/>
          <w14:ligatures w14:val="none"/>
        </w:rPr>
      </w:pPr>
    </w:p>
    <w:p w:rsidRPr="00111184" w:rsidR="00111184" w:rsidP="00111184" w:rsidRDefault="00111184" w14:paraId="4313AED8" w14:textId="77777777">
      <w:pPr>
        <w:spacing w:after="0" w:line="240" w:lineRule="auto"/>
        <w:rPr>
          <w:rFonts w:ascii="Century Gothic" w:hAnsi="Century Gothic" w:eastAsia="Times New Roman" w:cs="Times New Roman"/>
          <w:kern w:val="0"/>
          <w:sz w:val="16"/>
          <w:szCs w:val="20"/>
          <w:lang w:val="ro-RO" w:eastAsia="en-GB"/>
          <w14:ligatures w14:val="none"/>
        </w:rPr>
      </w:pPr>
    </w:p>
    <w:p w:rsidRPr="00111184" w:rsidR="00111184" w:rsidP="00111184" w:rsidRDefault="00111184" w14:paraId="652763F7" w14:textId="77777777">
      <w:pPr>
        <w:spacing w:after="0" w:line="240" w:lineRule="auto"/>
        <w:rPr>
          <w:rFonts w:ascii="Century Gothic" w:hAnsi="Century Gothic" w:eastAsia="Times New Roman" w:cs="Times New Roman"/>
          <w:kern w:val="0"/>
          <w:sz w:val="16"/>
          <w:szCs w:val="20"/>
          <w:lang w:val="ro-RO" w:eastAsia="en-GB"/>
          <w14:ligatures w14:val="none"/>
        </w:rPr>
      </w:pPr>
    </w:p>
    <w:p w:rsidRPr="00111184" w:rsidR="00111184" w:rsidP="00111184" w:rsidRDefault="00111184" w14:paraId="3332F038" w14:textId="5002CB95">
      <w:pPr>
        <w:spacing w:after="0" w:line="240" w:lineRule="auto"/>
        <w:rPr>
          <w:rFonts w:ascii="Century Gothic" w:hAnsi="Century Gothic" w:eastAsia="Times New Roman" w:cs="Times New Roman"/>
          <w:kern w:val="0"/>
          <w:sz w:val="16"/>
          <w:szCs w:val="20"/>
          <w:lang w:val="ro-RO" w:eastAsia="en-GB"/>
          <w14:ligatures w14:val="none"/>
        </w:rPr>
      </w:pPr>
      <w:r w:rsidRPr="00111184">
        <w:rPr>
          <w:rFonts w:ascii="Century Gothic" w:hAnsi="Century Gothic" w:eastAsia="Times New Roman" w:cs="Times New Roman"/>
          <w:kern w:val="0"/>
          <w:sz w:val="16"/>
          <w:szCs w:val="20"/>
          <w:lang w:val="ro-RO" w:eastAsia="en-GB"/>
          <w14:ligatures w14:val="none"/>
        </w:rPr>
        <w:t>Red.</w:t>
      </w:r>
      <w:r>
        <w:rPr>
          <w:rFonts w:ascii="Century Gothic" w:hAnsi="Century Gothic" w:eastAsia="Times New Roman" w:cs="Times New Roman"/>
          <w:kern w:val="0"/>
          <w:sz w:val="16"/>
          <w:szCs w:val="20"/>
          <w:lang w:val="ro-RO" w:eastAsia="en-GB"/>
          <w14:ligatures w14:val="none"/>
        </w:rPr>
        <w:t>A0018</w:t>
      </w:r>
    </w:p>
    <w:p w:rsidRPr="00111184" w:rsidR="00111184" w:rsidP="00111184" w:rsidRDefault="00111184" w14:paraId="443666FD" w14:textId="77777777">
      <w:pPr>
        <w:spacing w:after="0" w:line="240" w:lineRule="auto"/>
        <w:rPr>
          <w:rFonts w:ascii="Century Gothic" w:hAnsi="Century Gothic" w:eastAsia="Times New Roman" w:cs="Times New Roman"/>
          <w:kern w:val="0"/>
          <w:sz w:val="16"/>
          <w:szCs w:val="20"/>
          <w:lang w:val="ro-RO" w:eastAsia="en-GB"/>
          <w14:ligatures w14:val="none"/>
        </w:rPr>
      </w:pPr>
      <w:r w:rsidRPr="00111184">
        <w:rPr>
          <w:rFonts w:ascii="Century Gothic" w:hAnsi="Century Gothic" w:eastAsia="Times New Roman" w:cs="Times New Roman"/>
          <w:kern w:val="0"/>
          <w:sz w:val="16"/>
          <w:szCs w:val="20"/>
          <w:lang w:val="ro-RO" w:eastAsia="en-GB"/>
          <w14:ligatures w14:val="none"/>
        </w:rPr>
        <w:t>7 exemplare</w:t>
      </w:r>
    </w:p>
    <w:p w:rsidRPr="00111184" w:rsidR="00111184" w:rsidP="00111184" w:rsidRDefault="00111184" w14:paraId="7619DF29" w14:textId="69E32776">
      <w:pPr>
        <w:spacing w:after="0" w:line="240" w:lineRule="auto"/>
        <w:rPr>
          <w:rFonts w:ascii="Century Gothic" w:hAnsi="Century Gothic" w:eastAsia="Times New Roman" w:cs="Times New Roman"/>
          <w:kern w:val="0"/>
          <w:sz w:val="16"/>
          <w:szCs w:val="20"/>
          <w:lang w:val="ro-RO" w:eastAsia="en-GB"/>
          <w14:ligatures w14:val="none"/>
        </w:rPr>
      </w:pPr>
      <w:r w:rsidRPr="00111184">
        <w:rPr>
          <w:rFonts w:ascii="Century Gothic" w:hAnsi="Century Gothic" w:eastAsia="Times New Roman" w:cs="Times New Roman"/>
          <w:kern w:val="0"/>
          <w:sz w:val="16"/>
          <w:szCs w:val="20"/>
          <w:lang w:val="ro-RO" w:eastAsia="en-GB"/>
          <w14:ligatures w14:val="none"/>
        </w:rPr>
        <w:t>Data concept.</w:t>
      </w:r>
      <w:r>
        <w:rPr>
          <w:rFonts w:ascii="Century Gothic" w:hAnsi="Century Gothic" w:eastAsia="Times New Roman" w:cs="Times New Roman"/>
          <w:kern w:val="0"/>
          <w:sz w:val="16"/>
          <w:szCs w:val="20"/>
          <w:lang w:val="ro-RO" w:eastAsia="en-GB"/>
          <w14:ligatures w14:val="none"/>
        </w:rPr>
        <w:t>.......</w:t>
      </w:r>
    </w:p>
    <w:p w:rsidRPr="00111184" w:rsidR="00111184" w:rsidP="00111184" w:rsidRDefault="00111184" w14:paraId="59930D45" w14:textId="303DF32C">
      <w:pPr>
        <w:spacing w:after="0" w:line="240" w:lineRule="auto"/>
        <w:rPr>
          <w:rFonts w:ascii="Century Gothic" w:hAnsi="Century Gothic" w:eastAsia="Times New Roman" w:cs="Times New Roman"/>
          <w:kern w:val="0"/>
          <w:sz w:val="16"/>
          <w:szCs w:val="20"/>
          <w:lang w:val="ro-RO" w:eastAsia="en-GB"/>
          <w14:ligatures w14:val="none"/>
        </w:rPr>
      </w:pPr>
      <w:r w:rsidRPr="00111184">
        <w:rPr>
          <w:rFonts w:ascii="Century Gothic" w:hAnsi="Century Gothic" w:eastAsia="Times New Roman" w:cs="Times New Roman"/>
          <w:kern w:val="0"/>
          <w:sz w:val="16"/>
          <w:szCs w:val="20"/>
          <w:lang w:val="ro-RO" w:eastAsia="en-GB"/>
          <w14:ligatures w14:val="none"/>
        </w:rPr>
        <w:t>Data tehnored.</w:t>
      </w:r>
      <w:r>
        <w:rPr>
          <w:rFonts w:ascii="Century Gothic" w:hAnsi="Century Gothic" w:eastAsia="Times New Roman" w:cs="Times New Roman"/>
          <w:kern w:val="0"/>
          <w:sz w:val="16"/>
          <w:szCs w:val="20"/>
          <w:lang w:val="ro-RO" w:eastAsia="en-GB"/>
          <w14:ligatures w14:val="none"/>
        </w:rPr>
        <w:t>.............</w:t>
      </w:r>
    </w:p>
    <w:p w:rsidR="000C1B57" w:rsidRDefault="000C1B57" w14:paraId="5742E958"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234"/>
    <w:rsid w:val="00085EB6"/>
    <w:rsid w:val="000C1B57"/>
    <w:rsid w:val="000D553B"/>
    <w:rsid w:val="00104E31"/>
    <w:rsid w:val="00111184"/>
    <w:rsid w:val="001A5039"/>
    <w:rsid w:val="0041047C"/>
    <w:rsid w:val="00446AF8"/>
    <w:rsid w:val="009455E7"/>
    <w:rsid w:val="00B65F2B"/>
    <w:rsid w:val="00D07D59"/>
    <w:rsid w:val="00F41C3D"/>
    <w:rsid w:val="00FE1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7C561"/>
  <w15:chartTrackingRefBased/>
  <w15:docId w15:val="{BB2EDD02-2962-49D6-9039-37E0C3DE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E1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12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E12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E12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E12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2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2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2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2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12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12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E12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E12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E12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2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2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234"/>
    <w:rPr>
      <w:rFonts w:eastAsiaTheme="majorEastAsia" w:cstheme="majorBidi"/>
      <w:color w:val="272727" w:themeColor="text1" w:themeTint="D8"/>
    </w:rPr>
  </w:style>
  <w:style w:type="paragraph" w:styleId="Title">
    <w:name w:val="Title"/>
    <w:basedOn w:val="Normal"/>
    <w:next w:val="Normal"/>
    <w:link w:val="TitleChar"/>
    <w:uiPriority w:val="10"/>
    <w:qFormat/>
    <w:rsid w:val="00FE1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2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2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2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234"/>
    <w:pPr>
      <w:spacing w:before="160"/>
      <w:jc w:val="center"/>
    </w:pPr>
    <w:rPr>
      <w:i/>
      <w:iCs/>
      <w:color w:val="404040" w:themeColor="text1" w:themeTint="BF"/>
    </w:rPr>
  </w:style>
  <w:style w:type="character" w:customStyle="1" w:styleId="QuoteChar">
    <w:name w:val="Quote Char"/>
    <w:basedOn w:val="DefaultParagraphFont"/>
    <w:link w:val="Quote"/>
    <w:uiPriority w:val="29"/>
    <w:rsid w:val="00FE1234"/>
    <w:rPr>
      <w:i/>
      <w:iCs/>
      <w:color w:val="404040" w:themeColor="text1" w:themeTint="BF"/>
    </w:rPr>
  </w:style>
  <w:style w:type="paragraph" w:styleId="ListParagraph">
    <w:name w:val="List Paragraph"/>
    <w:basedOn w:val="Normal"/>
    <w:uiPriority w:val="34"/>
    <w:qFormat/>
    <w:rsid w:val="00FE1234"/>
    <w:pPr>
      <w:ind w:left="720"/>
      <w:contextualSpacing/>
    </w:pPr>
  </w:style>
  <w:style w:type="character" w:styleId="IntenseEmphasis">
    <w:name w:val="Intense Emphasis"/>
    <w:basedOn w:val="DefaultParagraphFont"/>
    <w:uiPriority w:val="21"/>
    <w:qFormat/>
    <w:rsid w:val="00FE1234"/>
    <w:rPr>
      <w:i/>
      <w:iCs/>
      <w:color w:val="2F5496" w:themeColor="accent1" w:themeShade="BF"/>
    </w:rPr>
  </w:style>
  <w:style w:type="paragraph" w:styleId="IntenseQuote">
    <w:name w:val="Intense Quote"/>
    <w:basedOn w:val="Normal"/>
    <w:next w:val="Normal"/>
    <w:link w:val="IntenseQuoteChar"/>
    <w:uiPriority w:val="30"/>
    <w:qFormat/>
    <w:rsid w:val="00FE1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1234"/>
    <w:rPr>
      <w:i/>
      <w:iCs/>
      <w:color w:val="2F5496" w:themeColor="accent1" w:themeShade="BF"/>
    </w:rPr>
  </w:style>
  <w:style w:type="character" w:styleId="IntenseReference">
    <w:name w:val="Intense Reference"/>
    <w:basedOn w:val="DefaultParagraphFont"/>
    <w:uiPriority w:val="32"/>
    <w:qFormat/>
    <w:rsid w:val="00FE1234"/>
    <w:rPr>
      <w:b/>
      <w:bCs/>
      <w:smallCaps/>
      <w:color w:val="2F5496" w:themeColor="accent1" w:themeShade="BF"/>
      <w:spacing w:val="5"/>
    </w:rPr>
  </w:style>
  <w:style w:type="table" w:customStyle="1" w:styleId="TabelNormal">
    <w:name w:val="Tabel Normal"/>
    <w:rsid w:val="00111184"/>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ap:TotalTime>
  <ap:Pages>1</ap:Pages>
  <ap:Words>1332</ap:Words>
  <ap:Characters>7596</ap:Characters>
  <ap:Application>Microsoft Office Word</ap:Application>
  <ap:DocSecurity>0</ap:DocSecurity>
  <ap:Lines>63</ap:Lines>
  <ap:Paragraphs>17</ap:Paragraphs>
  <ap:ScaleCrop>false</ap:ScaleCrop>
  <ap:CharactersWithSpaces>8911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