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7A022C" w14:paraId="41C6B917" w14:textId="3FFD06BF">
      <w:pPr>
        <w:rPr>
          <w:rStyle w:val="Fontdeparagrafimplicit"/>
          <w:rFonts w:ascii="Garamond" w:hAnsi="Garamond"/>
        </w:rPr>
      </w:pPr>
      <w:r>
        <w:rPr>
          <w:rStyle w:val="Fontdeparagrafimplicit"/>
          <w:rFonts w:ascii="Garamond" w:hAnsi="Garamond"/>
        </w:rPr>
        <w:t xml:space="preserve"> </w:t>
      </w:r>
    </w:p>
    <w:p w:rsidR="007A022C" w14:paraId="7FB773EE" w14:textId="24C43E4C">
      <w:pPr>
        <w:tabs>
          <w:tab w:val="left" w:pos="6360"/>
        </w:tabs>
        <w:rPr>
          <w:rStyle w:val="Fontdeparagrafimplicit"/>
          <w:b/>
          <w:color w:val="000000"/>
        </w:rPr>
      </w:pPr>
      <w:r>
        <w:rPr>
          <w:rStyle w:val="Fontdeparagrafimplicit"/>
          <w:b/>
          <w:color w:val="000000"/>
        </w:rPr>
        <w:t xml:space="preserve">Dosar nr. </w:t>
      </w:r>
      <w:r w:rsidR="004A5266">
        <w:rPr>
          <w:rStyle w:val="Fontdeparagrafimplicit"/>
          <w:b/>
          <w:color w:val="000000"/>
        </w:rPr>
        <w:t>1</w:t>
      </w:r>
    </w:p>
    <w:p w:rsidR="007A022C" w14:paraId="3BE763BA" w14:textId="77777777">
      <w:pPr>
        <w:tabs>
          <w:tab w:val="left" w:pos="6360"/>
        </w:tabs>
        <w:rPr>
          <w:rStyle w:val="Fontdeparagrafimplicit"/>
          <w:b/>
          <w:color w:val="000000"/>
        </w:rPr>
      </w:pPr>
    </w:p>
    <w:p w:rsidR="007A022C" w14:paraId="36E9B08F" w14:textId="77777777">
      <w:pPr>
        <w:tabs>
          <w:tab w:val="left" w:pos="6360"/>
        </w:tabs>
        <w:rPr>
          <w:rStyle w:val="Fontdeparagrafimplicit"/>
          <w:b/>
          <w:color w:val="000000"/>
        </w:rPr>
      </w:pPr>
    </w:p>
    <w:p w:rsidR="007A022C" w14:paraId="3E273D8F" w14:textId="77777777">
      <w:pPr>
        <w:tabs>
          <w:tab w:val="left" w:pos="6360"/>
        </w:tabs>
        <w:ind w:firstLine="540"/>
        <w:jc w:val="center"/>
        <w:rPr>
          <w:rStyle w:val="Fontdeparagrafimplicit"/>
          <w:b/>
          <w:color w:val="000000"/>
        </w:rPr>
      </w:pPr>
      <w:r>
        <w:rPr>
          <w:rStyle w:val="Fontdeparagrafimplicit"/>
          <w:b/>
          <w:color w:val="000000"/>
        </w:rPr>
        <w:t>RO M Â N I A</w:t>
      </w:r>
    </w:p>
    <w:p w:rsidR="007A022C" w14:paraId="0271681A" w14:textId="0A929722">
      <w:pPr>
        <w:tabs>
          <w:tab w:val="left" w:pos="6360"/>
        </w:tabs>
        <w:ind w:firstLine="540"/>
        <w:jc w:val="center"/>
        <w:rPr>
          <w:rStyle w:val="Fontdeparagrafimplicit"/>
          <w:b/>
          <w:color w:val="000000"/>
        </w:rPr>
      </w:pPr>
      <w:r>
        <w:rPr>
          <w:rStyle w:val="Fontdeparagrafimplicit"/>
          <w:b/>
          <w:color w:val="000000"/>
        </w:rPr>
        <w:t xml:space="preserve">CURTEA DE APEL </w:t>
      </w:r>
      <w:r w:rsidR="00145642">
        <w:rPr>
          <w:rStyle w:val="Fontdeparagrafimplicit"/>
          <w:b/>
          <w:color w:val="000000"/>
        </w:rPr>
        <w:t xml:space="preserve">.................... </w:t>
      </w:r>
    </w:p>
    <w:p w:rsidR="007A022C" w14:paraId="53B3560E" w14:textId="0DAB5842">
      <w:pPr>
        <w:tabs>
          <w:tab w:val="left" w:pos="6360"/>
        </w:tabs>
        <w:ind w:firstLine="540"/>
        <w:jc w:val="center"/>
        <w:rPr>
          <w:rStyle w:val="Fontdeparagrafimplicit"/>
          <w:b/>
          <w:color w:val="000000"/>
        </w:rPr>
      </w:pPr>
      <w:r>
        <w:rPr>
          <w:rStyle w:val="Fontdeparagrafimplicit"/>
          <w:b/>
          <w:color w:val="000000"/>
        </w:rPr>
        <w:t xml:space="preserve">SECŢIA </w:t>
      </w:r>
      <w:r w:rsidR="00145642">
        <w:rPr>
          <w:rStyle w:val="Fontdeparagrafimplicit"/>
          <w:b/>
          <w:color w:val="000000"/>
        </w:rPr>
        <w:t xml:space="preserve">.................... </w:t>
      </w:r>
    </w:p>
    <w:p w:rsidR="007A022C" w14:paraId="21F9422A" w14:textId="488A69E6">
      <w:pPr>
        <w:tabs>
          <w:tab w:val="left" w:pos="6360"/>
        </w:tabs>
        <w:ind w:firstLine="540"/>
        <w:jc w:val="center"/>
        <w:rPr>
          <w:rStyle w:val="Fontdeparagrafimplicit"/>
          <w:b/>
          <w:u w:val="single"/>
        </w:rPr>
      </w:pPr>
      <w:r>
        <w:rPr>
          <w:rStyle w:val="Fontdeparagrafimplicit"/>
          <w:b/>
          <w:u w:val="single"/>
        </w:rPr>
        <w:t xml:space="preserve">Sentinţa civilă nr. </w:t>
      </w:r>
      <w:r w:rsidR="00145642">
        <w:rPr>
          <w:rStyle w:val="Fontdeparagrafimplicit"/>
          <w:b/>
          <w:u w:val="single"/>
        </w:rPr>
        <w:t>7</w:t>
      </w:r>
    </w:p>
    <w:p w:rsidR="007A022C" w14:paraId="726BFF06" w14:textId="3FCB687A">
      <w:pPr>
        <w:tabs>
          <w:tab w:val="left" w:pos="6360"/>
        </w:tabs>
        <w:ind w:firstLine="540"/>
        <w:jc w:val="center"/>
        <w:rPr>
          <w:rStyle w:val="Fontdeparagrafimplicit"/>
          <w:b/>
          <w:color w:val="000000"/>
        </w:rPr>
      </w:pPr>
      <w:r>
        <w:rPr>
          <w:rStyle w:val="Fontdeparagrafimplicit"/>
          <w:color w:val="000000"/>
        </w:rPr>
        <w:t xml:space="preserve">Şedinţa publică din data de </w:t>
      </w:r>
      <w:r w:rsidR="00145642">
        <w:rPr>
          <w:rStyle w:val="Fontdeparagrafimplicit"/>
          <w:b/>
          <w:color w:val="000000"/>
        </w:rPr>
        <w:t xml:space="preserve">........... </w:t>
      </w:r>
    </w:p>
    <w:p w:rsidR="007A022C" w14:paraId="34238B1B" w14:textId="77777777">
      <w:pPr>
        <w:tabs>
          <w:tab w:val="left" w:pos="6360"/>
        </w:tabs>
        <w:ind w:firstLine="540"/>
        <w:jc w:val="center"/>
        <w:rPr>
          <w:rStyle w:val="Fontdeparagrafimplicit"/>
          <w:color w:val="000000"/>
        </w:rPr>
      </w:pPr>
      <w:r>
        <w:rPr>
          <w:rStyle w:val="Fontdeparagrafimplicit"/>
          <w:color w:val="000000"/>
        </w:rPr>
        <w:t>Curtea constituită din:</w:t>
      </w:r>
    </w:p>
    <w:p w:rsidR="007A022C" w14:paraId="529C6373" w14:textId="4D63A839">
      <w:pPr>
        <w:tabs>
          <w:tab w:val="left" w:pos="6360"/>
        </w:tabs>
        <w:ind w:firstLine="540"/>
        <w:jc w:val="center"/>
        <w:rPr>
          <w:rStyle w:val="Fontdeparagrafimplicit"/>
          <w:b/>
          <w:color w:val="000000"/>
        </w:rPr>
      </w:pPr>
      <w:r>
        <w:rPr>
          <w:rStyle w:val="Fontdeparagrafimplicit"/>
          <w:color w:val="000000"/>
        </w:rPr>
        <w:t>PREŞEDINTE</w:t>
      </w:r>
      <w:r>
        <w:rPr>
          <w:rStyle w:val="Fontdeparagrafimplicit"/>
          <w:b/>
          <w:color w:val="000000"/>
        </w:rPr>
        <w:t xml:space="preserve">: </w:t>
      </w:r>
      <w:r w:rsidR="00145642">
        <w:rPr>
          <w:rStyle w:val="Fontdeparagrafimplicit"/>
          <w:b/>
          <w:color w:val="000000"/>
        </w:rPr>
        <w:t>A0008</w:t>
      </w:r>
    </w:p>
    <w:p w:rsidR="007A022C" w14:paraId="54A0080B" w14:textId="24597EA4">
      <w:pPr>
        <w:tabs>
          <w:tab w:val="left" w:pos="6360"/>
        </w:tabs>
        <w:ind w:firstLine="540"/>
        <w:jc w:val="center"/>
        <w:rPr>
          <w:rStyle w:val="Fontdeparagrafimplicit"/>
          <w:b/>
          <w:color w:val="000000"/>
        </w:rPr>
      </w:pPr>
      <w:r>
        <w:rPr>
          <w:rStyle w:val="Fontdeparagrafimplicit"/>
          <w:color w:val="000000"/>
        </w:rPr>
        <w:t>GREFIER:</w:t>
      </w:r>
      <w:r>
        <w:rPr>
          <w:rStyle w:val="Fontdeparagrafimplicit"/>
          <w:b/>
          <w:color w:val="000000"/>
        </w:rPr>
        <w:t xml:space="preserve"> </w:t>
      </w:r>
      <w:r w:rsidR="00145642">
        <w:rPr>
          <w:rStyle w:val="Fontdeparagrafimplicit"/>
          <w:b/>
          <w:color w:val="000000"/>
        </w:rPr>
        <w:t xml:space="preserve">............ </w:t>
      </w:r>
    </w:p>
    <w:p w:rsidR="007A022C" w14:paraId="1A6182F6" w14:textId="77777777">
      <w:pPr>
        <w:widowControl w:val="0"/>
        <w:ind w:left="-90" w:right="-81" w:firstLine="540"/>
        <w:jc w:val="center"/>
        <w:rPr>
          <w:rStyle w:val="Fontdeparagrafimplicit"/>
          <w:b/>
        </w:rPr>
      </w:pPr>
    </w:p>
    <w:p w:rsidR="007A022C" w14:paraId="29E9DF9A" w14:textId="77777777">
      <w:pPr>
        <w:widowControl w:val="0"/>
        <w:ind w:left="-90" w:right="-81" w:firstLine="540"/>
        <w:jc w:val="center"/>
        <w:rPr>
          <w:rStyle w:val="Fontdeparagrafimplicit"/>
          <w:b/>
        </w:rPr>
      </w:pPr>
    </w:p>
    <w:p w:rsidR="007A022C" w14:paraId="0C33CE52" w14:textId="77777777">
      <w:pPr>
        <w:widowControl w:val="0"/>
        <w:ind w:left="-90" w:right="-81" w:firstLine="540"/>
        <w:jc w:val="center"/>
        <w:rPr>
          <w:rStyle w:val="Fontdeparagrafimplicit"/>
          <w:b/>
        </w:rPr>
      </w:pPr>
    </w:p>
    <w:p w:rsidR="007A022C" w14:paraId="3A7EDC2F" w14:textId="44BAE5AB">
      <w:pPr>
        <w:ind w:right="-108" w:firstLine="540"/>
        <w:jc w:val="both"/>
        <w:rPr>
          <w:rStyle w:val="Fontdeparagrafimplicit"/>
          <w:b/>
        </w:rPr>
      </w:pPr>
      <w:r>
        <w:t xml:space="preserve">Pe rol se află soluţionarea cererii formulată de reclamantul </w:t>
      </w:r>
      <w:r>
        <w:rPr>
          <w:rStyle w:val="Fontdeparagrafimplicit"/>
          <w:b/>
        </w:rPr>
        <w:t>Consiliul National pentru Studierea Arhivelor Securitatii</w:t>
      </w:r>
      <w:r>
        <w:t xml:space="preserve"> împotriva pârâului </w:t>
      </w:r>
      <w:r w:rsidR="00145642">
        <w:rPr>
          <w:rStyle w:val="Fontdeparagrafimplicit"/>
          <w:b/>
        </w:rPr>
        <w:t xml:space="preserve">1 </w:t>
      </w:r>
      <w:r>
        <w:t xml:space="preserve">, având ca obiect </w:t>
      </w:r>
      <w:r>
        <w:rPr>
          <w:rStyle w:val="Fontdeparagrafimplicit"/>
          <w:b/>
        </w:rPr>
        <w:t>constatarea calităţii de lucrător al securităţii (O.U.G. nr. 24/2008).</w:t>
      </w:r>
    </w:p>
    <w:p w:rsidR="007A022C" w14:paraId="2FD1B9FD" w14:textId="1720CFE2">
      <w:pPr>
        <w:ind w:right="-108" w:firstLine="540"/>
        <w:jc w:val="both"/>
      </w:pPr>
      <w:r>
        <w:t xml:space="preserve">La apelul nominal făcut în şedinţă publică se prezintă reclamantul, prin consilier juridic </w:t>
      </w:r>
      <w:r w:rsidR="00145642">
        <w:t xml:space="preserve">2 </w:t>
      </w:r>
      <w:r>
        <w:t>cu delegaţie de reprezentare la dosar – fila 8, lipsind pârâtul.</w:t>
      </w:r>
    </w:p>
    <w:p w:rsidR="007A022C" w14:paraId="1BD8DA42" w14:textId="786CD30C">
      <w:pPr>
        <w:ind w:firstLine="540"/>
        <w:jc w:val="both"/>
      </w:pPr>
      <w:r>
        <w:t>S-a făcut referatul cauzei de către grefierul de şedinţă, care arată instanţei că procedura de citare este legal îndeplinită, dosarul se află la primul termen de judecată, reclamantul a depus răspuns la întâmpinare prin departamentul registratură la data de 03.04.</w:t>
      </w:r>
      <w:r w:rsidR="00776366">
        <w:t xml:space="preserve"> </w:t>
      </w:r>
      <w:r>
        <w:t>, după care:</w:t>
      </w:r>
    </w:p>
    <w:p w:rsidR="007A022C" w14:paraId="6939C40E" w14:textId="77777777">
      <w:pPr>
        <w:ind w:firstLine="540"/>
        <w:jc w:val="both"/>
        <w:rPr>
          <w:rStyle w:val="Fontdeparagrafimplicit"/>
          <w:color w:val="000000"/>
        </w:rPr>
      </w:pPr>
      <w:r>
        <w:rPr>
          <w:rStyle w:val="Fontdeparagrafimplicit"/>
          <w:color w:val="000000"/>
        </w:rPr>
        <w:t>Curtea procedează la verificarea competenţei şi la estimarea duratei cercetării procesului.</w:t>
      </w:r>
    </w:p>
    <w:p w:rsidR="007A022C" w14:paraId="6823421F" w14:textId="16BA5212">
      <w:pPr>
        <w:ind w:firstLine="540"/>
        <w:jc w:val="both"/>
        <w:rPr>
          <w:rStyle w:val="Fontdeparagrafimplicit"/>
          <w:color w:val="000000"/>
        </w:rPr>
      </w:pPr>
      <w:r>
        <w:rPr>
          <w:rStyle w:val="Fontdeparagrafimplicit"/>
          <w:color w:val="000000"/>
        </w:rPr>
        <w:t xml:space="preserve">Reclamantul, prin consilier juridic, arată că este competentă Curtea de Apel </w:t>
      </w:r>
      <w:r w:rsidR="00145642">
        <w:rPr>
          <w:rStyle w:val="Fontdeparagrafimplicit"/>
          <w:color w:val="000000"/>
        </w:rPr>
        <w:t xml:space="preserve">.................... </w:t>
      </w:r>
      <w:r>
        <w:rPr>
          <w:rStyle w:val="Fontdeparagrafimplicit"/>
          <w:color w:val="000000"/>
        </w:rPr>
        <w:t xml:space="preserve"> - Secţia </w:t>
      </w:r>
      <w:r w:rsidR="00145642">
        <w:rPr>
          <w:rStyle w:val="Fontdeparagrafimplicit"/>
          <w:color w:val="000000"/>
        </w:rPr>
        <w:t xml:space="preserve">............. </w:t>
      </w:r>
      <w:r>
        <w:rPr>
          <w:rStyle w:val="Fontdeparagrafimplicit"/>
          <w:color w:val="000000"/>
        </w:rPr>
        <w:t>să soluţioneze cauza, în raport de prevederile art. 11 din O.U.G. nr. 24/2008. În ceea ce priveşte durata cercetării procesului, arată că aceasta este de un termen de judecată.</w:t>
      </w:r>
    </w:p>
    <w:p w:rsidR="007A022C" w14:paraId="2BAC94D3" w14:textId="77777777">
      <w:pPr>
        <w:ind w:firstLine="540"/>
        <w:jc w:val="both"/>
      </w:pPr>
      <w:r>
        <w:t xml:space="preserve">În temeiul art. 131 din Codul de procedură civilă, verificând din oficiu competenţa de soluţionare a cauzei, Curtea constată incidenţa în cauză a prevederilor art. 10 din Legea nr. 554/2004 raportat la </w:t>
      </w:r>
      <w:r>
        <w:rPr>
          <w:rStyle w:val="Fontdeparagrafimplicit"/>
          <w:color w:val="000000"/>
        </w:rPr>
        <w:t>art. 11 din O.U.G. nr. 24/2008</w:t>
      </w:r>
      <w:r>
        <w:t xml:space="preserve"> privind competenţa generală, teritorială şi materială a instanţei. După ascultarea părţii prezente, în temeiul art. 238 alin. (1) Codul de procedură civilă, estimează că durata necesară pentru cercetarea procesului, ţinând cont de împrejurările cauzei astfel încât să fie soluţionat într-un termen optim şi previzibil, este de un termen de judecată. </w:t>
      </w:r>
    </w:p>
    <w:p w:rsidR="007A022C" w14:paraId="16D63C45" w14:textId="77777777">
      <w:pPr>
        <w:ind w:firstLine="540"/>
        <w:jc w:val="both"/>
      </w:pPr>
      <w:r>
        <w:t xml:space="preserve">Având cuvântul asupra probelor, reclamantul, prin consilier juridic, solicită încuviinţarea probei cu înscrisurile pe care le-a depus la dosarul cauzei. </w:t>
      </w:r>
    </w:p>
    <w:p w:rsidR="007A022C" w14:paraId="33D2DFD6" w14:textId="77777777">
      <w:pPr>
        <w:ind w:firstLine="540"/>
        <w:jc w:val="both"/>
      </w:pPr>
      <w:r>
        <w:t>Curtea, în temeiul art. 258 raportat la art. 254 și art. 255 din Codul de procedură civilă, încuviinţează părţilor proba cu înscrisuri, constatând că pârâtul prin notele scrise a făcut referire la înscrisurile deja depuse la dosarul cauzei şi constatând că proba a fost administrată acordă cuvântul asupra cererii.</w:t>
      </w:r>
    </w:p>
    <w:p w:rsidR="007A022C" w14:paraId="3BE1D422" w14:textId="77777777">
      <w:pPr>
        <w:ind w:firstLine="540"/>
        <w:jc w:val="both"/>
      </w:pPr>
      <w:r>
        <w:t>Reprezentantul reclamantului solicită admiterea cererii astfel cum a fost formulată, considerând îndeplinite atât condiţiile privind verificarea pârâtului ce derivă din prevederile art. 1 alin. 7 şi 8 din OUG nr. 24/2008, cât şi condiţiile statuate de art. 2 din aceeaşi ordonanţă, în sensul că pârâtul a avut calitatea de subofiţer al fostului minister de interne cu atribuţii pe linie de securitate şi în calitatea menţionată a desfăşurat activităţi prin care a îngrădit dreptul la viaţă privată a persoanei titulare de dosar, acest fapt a constatat prin dirijarea reţelei informative cu scopul de a informa despre viaţa şi preocupările de zi cu zi ale persoanei urmărite.</w:t>
      </w:r>
    </w:p>
    <w:p w:rsidR="007A022C" w14:paraId="6193E973" w14:textId="77777777">
      <w:pPr>
        <w:ind w:firstLine="540"/>
        <w:jc w:val="both"/>
      </w:pPr>
      <w:r>
        <w:t>Curtea, în temeiul art. 394 alin. (1) din Codul de procedură civilă, declară dezbaterile închise, considerând că au fost lămurite toate împrejurările de fapt şi temeiurile de drept ale cauzei, şi reţine cauza în pronunţare.</w:t>
      </w:r>
    </w:p>
    <w:p w:rsidR="007A022C" w14:paraId="026FDD76" w14:textId="77777777">
      <w:pPr>
        <w:ind w:firstLine="540"/>
        <w:jc w:val="both"/>
      </w:pPr>
    </w:p>
    <w:p w:rsidR="007A022C" w14:paraId="188FB4F0" w14:textId="77777777">
      <w:pPr>
        <w:ind w:firstLine="540"/>
        <w:jc w:val="center"/>
        <w:rPr>
          <w:rStyle w:val="Fontdeparagrafimplicit"/>
          <w:b/>
        </w:rPr>
      </w:pPr>
      <w:r>
        <w:rPr>
          <w:rStyle w:val="Fontdeparagrafimplicit"/>
          <w:b/>
        </w:rPr>
        <w:t>CURTEA,</w:t>
      </w:r>
    </w:p>
    <w:p w:rsidR="007A022C" w14:paraId="5C1D1016" w14:textId="77777777">
      <w:pPr>
        <w:tabs>
          <w:tab w:val="left" w:pos="570"/>
        </w:tabs>
        <w:ind w:firstLine="540"/>
        <w:rPr>
          <w:rStyle w:val="Fontdeparagrafimplicit"/>
        </w:rPr>
      </w:pPr>
    </w:p>
    <w:p w:rsidR="007A022C" w14:paraId="61FF15F9" w14:textId="77777777">
      <w:pPr>
        <w:tabs>
          <w:tab w:val="left" w:pos="570"/>
        </w:tabs>
        <w:ind w:firstLine="540"/>
      </w:pPr>
      <w:r>
        <w:t>Deliberând asupra cauzei de faţă, constată următoarele:</w:t>
      </w:r>
    </w:p>
    <w:p w:rsidR="007A022C" w14:paraId="11FAE693" w14:textId="77777777">
      <w:pPr>
        <w:tabs>
          <w:tab w:val="left" w:pos="570"/>
        </w:tabs>
        <w:ind w:firstLine="540"/>
        <w:rPr>
          <w:rStyle w:val="Fontdeparagrafimplicit"/>
          <w:b/>
        </w:rPr>
      </w:pPr>
      <w:r>
        <w:rPr>
          <w:rStyle w:val="Fontdeparagrafimplicit"/>
          <w:b/>
        </w:rPr>
        <w:t xml:space="preserve">1. Obiectul cererii de chemare în judecată </w:t>
      </w:r>
    </w:p>
    <w:p w:rsidR="007A022C" w14:paraId="616C4534" w14:textId="75AC99EB">
      <w:pPr>
        <w:tabs>
          <w:tab w:val="left" w:pos="570"/>
        </w:tabs>
        <w:ind w:firstLine="540"/>
        <w:jc w:val="both"/>
      </w:pPr>
      <w:r>
        <w:t xml:space="preserve">Prin cererea înregistrată pe rolul Curţii de Apel </w:t>
      </w:r>
      <w:r w:rsidR="00145642">
        <w:t xml:space="preserve">.................... </w:t>
      </w:r>
      <w:r>
        <w:t xml:space="preserve"> - Secţia </w:t>
      </w:r>
      <w:r w:rsidR="00145642">
        <w:t xml:space="preserve">............. </w:t>
      </w:r>
      <w:r>
        <w:t xml:space="preserve">la data de </w:t>
      </w:r>
      <w:r w:rsidR="004A5266">
        <w:t xml:space="preserve">           .........</w:t>
      </w:r>
      <w:r>
        <w:t>.</w:t>
      </w:r>
      <w:r w:rsidR="00776366">
        <w:t xml:space="preserve"> </w:t>
      </w:r>
      <w:r>
        <w:t xml:space="preserve">, sub nr. </w:t>
      </w:r>
      <w:r w:rsidR="00145642">
        <w:t>7</w:t>
      </w:r>
      <w:r>
        <w:t xml:space="preserve">, reclamantul Consiliul Naţional pentru Studierea Arhivelor Securităţii a chemat în judecată pe pârâtul </w:t>
      </w:r>
      <w:r w:rsidR="00145642">
        <w:t xml:space="preserve">1 </w:t>
      </w:r>
      <w:r>
        <w:t>, solicitând să se aprecieze asupra calităţii pârâtului de lucrător al Securităţii.</w:t>
      </w:r>
    </w:p>
    <w:p w:rsidR="007A022C" w14:paraId="11A7D7C0" w14:textId="1819DC65">
      <w:pPr>
        <w:ind w:firstLine="540"/>
        <w:jc w:val="both"/>
      </w:pPr>
      <w:r>
        <w:t xml:space="preserve">În motivarea acţiunii, reclamantul arată că, prin cererea nr. </w:t>
      </w:r>
      <w:r w:rsidR="00145642">
        <w:t>3</w:t>
      </w:r>
      <w:r>
        <w:t>/</w:t>
      </w:r>
      <w:r w:rsidR="004A5266">
        <w:t>..........</w:t>
      </w:r>
      <w:r>
        <w:t>.</w:t>
      </w:r>
      <w:r w:rsidR="00776366">
        <w:t xml:space="preserve"> </w:t>
      </w:r>
      <w:r>
        <w:t xml:space="preserve">, adresată C.N.S.A.S. de către doamna </w:t>
      </w:r>
      <w:r w:rsidR="00145642">
        <w:t>4</w:t>
      </w:r>
      <w:r>
        <w:t xml:space="preserve">, s-a solicitat verificarea sub aspectul constatării calităţii de lucrător al Securităţii, pentru ofiţerii sau subofiţerii care au contribuit la instrumentarea dosarului fond informativ nr. I </w:t>
      </w:r>
      <w:r w:rsidR="00145642">
        <w:t>5</w:t>
      </w:r>
      <w:r>
        <w:t xml:space="preserve"> (cotă C.N.S.A.S.).</w:t>
      </w:r>
    </w:p>
    <w:p w:rsidR="007A022C" w14:paraId="6F0C9DE4" w14:textId="04BBD25D">
      <w:pPr>
        <w:ind w:firstLine="627"/>
        <w:jc w:val="both"/>
      </w:pPr>
      <w:r>
        <w:t xml:space="preserve">În fapt, domnul </w:t>
      </w:r>
      <w:r w:rsidR="00145642">
        <w:t xml:space="preserve">1 </w:t>
      </w:r>
      <w:r>
        <w:t xml:space="preserve">, având gradul de plutonier la Postul de Miliţie </w:t>
      </w:r>
      <w:r w:rsidR="00145642">
        <w:t>6</w:t>
      </w:r>
      <w:r>
        <w:t xml:space="preserve">, a participat activ la urmărirea informativă a domnului </w:t>
      </w:r>
      <w:r w:rsidR="00145642">
        <w:t>7</w:t>
      </w:r>
      <w:r>
        <w:t xml:space="preserve">, tatăl petentei, încadrat informativ deoarece fusese semnalat cu anumite comentarii negative la adresa orânduirii socialiste şi refuz de a se înscrie în „întovărăşirea zootehnică”. </w:t>
      </w:r>
    </w:p>
    <w:p w:rsidR="007A022C" w14:paraId="5212160F" w14:textId="77777777">
      <w:pPr>
        <w:ind w:firstLine="540"/>
        <w:jc w:val="both"/>
      </w:pPr>
      <w:r>
        <w:t>În drept, sunt invocate dispoziţiile art. 1 alin. (7), alin. (8), art. 2 lit. a), art. 8 lit. a), art. 11 alin. (1) din O.U.G. nr. 24/2008 privind accesul la propriul dosar şi deconspirarea Securităţii, aprobată cu modificări şi completări prin Legea nr. 293/2008, coroborate cu art. 27 alin. (1) şi (5), art. 35 alin. (5) lit. a) din Regulamentul de organizare şi funcţionare al C.N.S.A.S., adoptat prin Hotărârea Colegiului C.N.S.A.S. nr. 2/2008, precum şi pe dispoziţiile art. 194 din Codul de procedură civilă.</w:t>
      </w:r>
    </w:p>
    <w:p w:rsidR="007A022C" w14:paraId="1AE51C63" w14:textId="77777777">
      <w:pPr>
        <w:tabs>
          <w:tab w:val="left" w:pos="570"/>
        </w:tabs>
        <w:ind w:firstLine="540"/>
        <w:rPr>
          <w:rStyle w:val="Fontdeparagrafimplicit"/>
          <w:b/>
        </w:rPr>
      </w:pPr>
      <w:r>
        <w:rPr>
          <w:rStyle w:val="Fontdeparagrafimplicit"/>
          <w:b/>
        </w:rPr>
        <w:t>2. Poziţia procesuală a pârâtului</w:t>
      </w:r>
    </w:p>
    <w:p w:rsidR="007A022C" w14:paraId="627EBAC2" w14:textId="35CE2CB5">
      <w:pPr>
        <w:tabs>
          <w:tab w:val="left" w:pos="570"/>
        </w:tabs>
        <w:ind w:firstLine="540"/>
        <w:jc w:val="both"/>
      </w:pPr>
      <w:r>
        <w:t xml:space="preserve">Prin întâmpinare (filele 31-33), formulată cu depăşirea termenului prevăzut la art. 201 alin. (2) Codul de procedură civilă, pârâtul a solicitat respingerea cererii, arătând că nu a avut calitatea de lucrător în securitate. Despre </w:t>
      </w:r>
      <w:r w:rsidR="00145642">
        <w:t>7</w:t>
      </w:r>
      <w:r>
        <w:t>, arată că l-a întâlnit o singură dată, când trecea pe la poarta sa, că l-a salutat şi a s-a oprit pentru a discuta.</w:t>
      </w:r>
    </w:p>
    <w:p w:rsidR="007A022C" w14:paraId="32CF988B" w14:textId="77777777">
      <w:pPr>
        <w:tabs>
          <w:tab w:val="left" w:pos="570"/>
        </w:tabs>
        <w:ind w:firstLine="540"/>
        <w:jc w:val="both"/>
      </w:pPr>
      <w:r>
        <w:t>Cererea nu este întemeiată în drept.</w:t>
      </w:r>
    </w:p>
    <w:p w:rsidR="007A022C" w14:paraId="611BCDD5" w14:textId="77777777">
      <w:pPr>
        <w:tabs>
          <w:tab w:val="left" w:pos="570"/>
        </w:tabs>
        <w:ind w:firstLine="540"/>
        <w:rPr>
          <w:rStyle w:val="Fontdeparagrafimplicit"/>
          <w:b/>
        </w:rPr>
      </w:pPr>
      <w:r>
        <w:rPr>
          <w:rStyle w:val="Fontdeparagrafimplicit"/>
          <w:b/>
        </w:rPr>
        <w:t>3. Aspecte procesuale</w:t>
      </w:r>
    </w:p>
    <w:p w:rsidR="007A022C" w14:paraId="02B44D35" w14:textId="77777777">
      <w:pPr>
        <w:ind w:firstLine="570"/>
        <w:jc w:val="both"/>
      </w:pPr>
      <w:r>
        <w:t>Cererea de chemare în judecată este scutită de taxă judiciară, conform art. 11 alin. (1) din O.U.G. nr. 24/2008 privind accesul la propriul dosar şi deconspirarea Securităţii.</w:t>
      </w:r>
    </w:p>
    <w:p w:rsidR="007A022C" w14:paraId="5A02A226" w14:textId="2F1F44A0">
      <w:pPr>
        <w:ind w:firstLine="570"/>
        <w:jc w:val="both"/>
      </w:pPr>
      <w:r>
        <w:t xml:space="preserve">Instanţa a încuviinţat părţilor proba cu înscrisuri, în cadrul căreia reclamantul a depus, ataşat cererii de chemare în judecată, Nota de Constatare nr. </w:t>
      </w:r>
      <w:r w:rsidR="00145642">
        <w:t>8</w:t>
      </w:r>
      <w:r>
        <w:t>/</w:t>
      </w:r>
      <w:r w:rsidR="004A5266">
        <w:t>..........</w:t>
      </w:r>
      <w:r>
        <w:t>.</w:t>
      </w:r>
      <w:r w:rsidR="00102ED2">
        <w:t xml:space="preserve"> </w:t>
      </w:r>
      <w:r>
        <w:t xml:space="preserve">, aprobată de Colegiul C.N.SAS (filele 9-11), Dosarul </w:t>
      </w:r>
      <w:r w:rsidR="004A5266">
        <w:t xml:space="preserve"> </w:t>
      </w:r>
      <w:r>
        <w:t xml:space="preserve"> </w:t>
      </w:r>
      <w:r w:rsidR="00145642">
        <w:t>5</w:t>
      </w:r>
      <w:r>
        <w:t xml:space="preserve"> (cotă C.N.SAS) (filele 13-26).</w:t>
      </w:r>
    </w:p>
    <w:p w:rsidR="007A022C" w14:paraId="321378FB" w14:textId="77777777">
      <w:pPr>
        <w:ind w:firstLine="570"/>
        <w:jc w:val="both"/>
        <w:rPr>
          <w:rStyle w:val="Fontdeparagrafimplicit"/>
          <w:b/>
        </w:rPr>
      </w:pPr>
      <w:r>
        <w:rPr>
          <w:rStyle w:val="Fontdeparagrafimplicit"/>
          <w:b/>
        </w:rPr>
        <w:t xml:space="preserve">4. Situaţia de fapt </w:t>
      </w:r>
    </w:p>
    <w:p w:rsidR="007A022C" w14:paraId="3014F240" w14:textId="77777777">
      <w:pPr>
        <w:ind w:firstLine="570"/>
        <w:jc w:val="both"/>
      </w:pPr>
      <w:r>
        <w:t>Analizând actele şi lucrările dosarului, Curtea reţine următoarele:</w:t>
      </w:r>
    </w:p>
    <w:p w:rsidR="007A022C" w14:paraId="2E9E5C84" w14:textId="509A9C3A">
      <w:pPr>
        <w:ind w:firstLine="570"/>
        <w:jc w:val="both"/>
      </w:pPr>
      <w:r>
        <w:t xml:space="preserve">Pârâtul </w:t>
      </w:r>
      <w:r w:rsidR="00145642">
        <w:t xml:space="preserve">1 </w:t>
      </w:r>
      <w:r>
        <w:t xml:space="preserve">, născut la data de </w:t>
      </w:r>
      <w:r w:rsidR="00145642">
        <w:t>.........</w:t>
      </w:r>
      <w:r>
        <w:t xml:space="preserve">, în localitatea </w:t>
      </w:r>
      <w:r w:rsidR="00145642">
        <w:t>V......</w:t>
      </w:r>
      <w:r>
        <w:t xml:space="preserve">, judeţul </w:t>
      </w:r>
      <w:r w:rsidR="00145642">
        <w:t>......</w:t>
      </w:r>
      <w:r>
        <w:t xml:space="preserve">, judeţul </w:t>
      </w:r>
      <w:r w:rsidR="00145642">
        <w:t>......</w:t>
      </w:r>
      <w:r>
        <w:t xml:space="preserve">, fiul lui </w:t>
      </w:r>
      <w:r w:rsidR="00145642">
        <w:t>........</w:t>
      </w:r>
      <w:r>
        <w:t xml:space="preserve"> şi </w:t>
      </w:r>
      <w:r w:rsidR="00145642">
        <w:t>.........</w:t>
      </w:r>
      <w:r>
        <w:t xml:space="preserve">, domiciliat în oraşul </w:t>
      </w:r>
      <w:r w:rsidR="00145642">
        <w:t>S.........</w:t>
      </w:r>
      <w:r>
        <w:t xml:space="preserve">, strada </w:t>
      </w:r>
      <w:r w:rsidR="00145642">
        <w:t>...........</w:t>
      </w:r>
      <w:r>
        <w:t xml:space="preserve"> nr. </w:t>
      </w:r>
      <w:r w:rsidR="00145642">
        <w:t>.......</w:t>
      </w:r>
      <w:r>
        <w:t xml:space="preserve">, scara </w:t>
      </w:r>
      <w:r w:rsidR="00145642">
        <w:t>.......</w:t>
      </w:r>
      <w:r>
        <w:t xml:space="preserve">, etaj </w:t>
      </w:r>
      <w:r w:rsidR="00145642">
        <w:t>.......</w:t>
      </w:r>
      <w:r>
        <w:t xml:space="preserve">, apartament </w:t>
      </w:r>
      <w:r w:rsidR="00145642">
        <w:t>.......</w:t>
      </w:r>
      <w:r>
        <w:t xml:space="preserve">, judeţul </w:t>
      </w:r>
      <w:r w:rsidR="00145642">
        <w:t>..........</w:t>
      </w:r>
      <w:r>
        <w:t xml:space="preserve">, a fost angajat al fostei Securităţi, având gradul de plutonier la Postul de Miliţie </w:t>
      </w:r>
      <w:r w:rsidR="00145642">
        <w:t>6</w:t>
      </w:r>
      <w:r>
        <w:t>.</w:t>
      </w:r>
    </w:p>
    <w:p w:rsidR="007A022C" w14:paraId="0C4FF093" w14:textId="487087A5">
      <w:pPr>
        <w:ind w:firstLine="627"/>
        <w:jc w:val="both"/>
      </w:pPr>
      <w:r>
        <w:t xml:space="preserve">În calitatea menţionata, pârâtul a participat activ la urmărirea informativă a numitului </w:t>
      </w:r>
      <w:r w:rsidR="00145642">
        <w:t>7</w:t>
      </w:r>
      <w:r>
        <w:t>, care ar fi făcut comementarii negative la adresa orânduirii socialiste şi refuz de a se înscrie în „întovărăşirea zootehnică”.</w:t>
      </w:r>
    </w:p>
    <w:p w:rsidR="007A022C" w14:paraId="71CCE8DA" w14:textId="3C9CC1A9">
      <w:pPr>
        <w:ind w:firstLine="627"/>
        <w:jc w:val="both"/>
      </w:pPr>
      <w:r>
        <w:t xml:space="preserve">Punerea în aplicare a măsurilor operative este confirmată de materialele identificate în dosarul nr. </w:t>
      </w:r>
      <w:r w:rsidR="004A5266">
        <w:t xml:space="preserve"> </w:t>
      </w:r>
      <w:r>
        <w:t xml:space="preserve"> </w:t>
      </w:r>
      <w:r w:rsidR="00145642">
        <w:t>5</w:t>
      </w:r>
      <w:r>
        <w:t xml:space="preserve"> (cotă C.N.S.A.S.) şi depuse în probatoriu, după cum urmează: notele informative ale sursei „</w:t>
      </w:r>
      <w:r w:rsidR="00145642">
        <w:t>9</w:t>
      </w:r>
      <w:r>
        <w:t xml:space="preserve">”, datată </w:t>
      </w:r>
      <w:r w:rsidR="004A5266">
        <w:t xml:space="preserve"> </w:t>
      </w:r>
      <w:r>
        <w:t>.</w:t>
      </w:r>
      <w:r w:rsidR="00102ED2">
        <w:t xml:space="preserve"> </w:t>
      </w:r>
      <w:r>
        <w:t xml:space="preserve">.1975, </w:t>
      </w:r>
      <w:r w:rsidR="004A5266">
        <w:t xml:space="preserve"> </w:t>
      </w:r>
      <w:r>
        <w:t>.</w:t>
      </w:r>
      <w:r w:rsidR="00102ED2">
        <w:t xml:space="preserve"> </w:t>
      </w:r>
      <w:r>
        <w:t xml:space="preserve">.1975, </w:t>
      </w:r>
      <w:r w:rsidR="004A5266">
        <w:t xml:space="preserve"> </w:t>
      </w:r>
      <w:r>
        <w:t>.</w:t>
      </w:r>
      <w:r w:rsidR="00102ED2">
        <w:t xml:space="preserve"> </w:t>
      </w:r>
      <w:r>
        <w:t>.1975, nota informativă a sursei „</w:t>
      </w:r>
      <w:r w:rsidR="00145642">
        <w:t>10</w:t>
      </w:r>
      <w:r>
        <w:t xml:space="preserve">” din </w:t>
      </w:r>
      <w:r w:rsidR="004A5266">
        <w:t xml:space="preserve"> </w:t>
      </w:r>
      <w:r>
        <w:t>.</w:t>
      </w:r>
      <w:r w:rsidR="00102ED2">
        <w:t xml:space="preserve"> </w:t>
      </w:r>
      <w:r>
        <w:t>.1975; nota informativă a sursei „</w:t>
      </w:r>
      <w:r w:rsidR="00145642">
        <w:t>11</w:t>
      </w:r>
      <w:r>
        <w:t xml:space="preserve">” din </w:t>
      </w:r>
      <w:r w:rsidR="004A5266">
        <w:t xml:space="preserve"> </w:t>
      </w:r>
      <w:r>
        <w:t>.</w:t>
      </w:r>
      <w:r w:rsidR="00102ED2">
        <w:t xml:space="preserve"> </w:t>
      </w:r>
      <w:r>
        <w:t xml:space="preserve">.1974. </w:t>
      </w:r>
    </w:p>
    <w:p w:rsidR="007A022C" w14:paraId="5D0DEEE7" w14:textId="3917A255">
      <w:pPr>
        <w:ind w:firstLine="627"/>
        <w:jc w:val="both"/>
      </w:pPr>
      <w:r>
        <w:t xml:space="preserve">Activitatea pârâtului a constat în dirijarea reţelei informative din comuna </w:t>
      </w:r>
      <w:r w:rsidR="00145642">
        <w:t>6</w:t>
      </w:r>
      <w:r>
        <w:t>, care a instruit sursele din subordine să „discute […] cu scopul de a stabili ce discută acesta referitor la relaţiile ţării noastre cu alte state”, cu cine se întâlneşte şi ce discută cu ocazia acestor întâlniri, precum şi care este poziţia actuală a persoanei urmărite.</w:t>
      </w:r>
    </w:p>
    <w:p w:rsidR="007A022C" w14:paraId="7A92E98F" w14:textId="77777777">
      <w:pPr>
        <w:ind w:firstLine="627"/>
        <w:jc w:val="both"/>
      </w:pPr>
      <w:r>
        <w:t xml:space="preserve">Din cele consemnate anterior, rezultă fără dubiu caracterul profund abuziv al acţiunilor desfăşurate de organele de Securitate, cu participarea directă a pârâtului, în urmărirea informativă a titularului dosarului. </w:t>
      </w:r>
    </w:p>
    <w:p w:rsidR="007A022C" w14:paraId="71170463" w14:textId="77777777">
      <w:pPr>
        <w:ind w:firstLine="627"/>
        <w:jc w:val="both"/>
      </w:pPr>
      <w:r>
        <w:t xml:space="preserve">Prin realizarea măsurilor trasate, respectiv dirijarea informatorilor pentru a furniza informaţii despre titularul dosarului, acestuia i s-a încălcat dreptul la viaţă privată. </w:t>
      </w:r>
    </w:p>
    <w:p w:rsidR="007A022C" w14:paraId="1B104A78" w14:textId="77777777">
      <w:pPr>
        <w:ind w:firstLine="627"/>
        <w:jc w:val="both"/>
      </w:pPr>
      <w:r>
        <w:t xml:space="preserve">Din toate documentele arătate mai sus se poate observa implicarea pârâtului în obţinerea informaţiilor respective. De asemenea, important este faptul că simpla obţinere a unor informaţii cu caracter personal referitoare la cei urmăriţi de Securitate, fără cunoştinţa şi fără acordul acestora și pentru motive care nu aveau de a face cu apărarea intereselor naţionale, constituie o violare a dreptului la viaţă privată. </w:t>
      </w:r>
    </w:p>
    <w:p w:rsidR="007A022C" w14:paraId="5B05A4D9" w14:textId="77777777">
      <w:pPr>
        <w:ind w:firstLine="540"/>
        <w:jc w:val="both"/>
      </w:pPr>
      <w:r>
        <w:t xml:space="preserve">Pentru stabilirea situaţiei de fapt, Curtea a reţinut incidenţa în cauză a dispoziţiilor art. 301 alin. (1) din Codul de procedură civilă, potrivit cărora: „[a]cela căruia i se opune un înscris sub semnătură privată este dator fie să recunoască, fie să conteste scrierea ori semnătura. Contestarea scrierii sau semnăturii poate fi făcută, la primul termen după depunerea înscrisului, sub sancţiunea decăderii”. În prezenta cauză, pârâtul nu a contestat niciun înscris, acestea fiind considerate ca fiind în mod definitiv recunoscute sub aspectul scrierii și semnăturii, intervenind decăderea pârâtului din dreptul de a pretinde contrariul. </w:t>
      </w:r>
    </w:p>
    <w:p w:rsidR="007A022C" w14:paraId="02920F13" w14:textId="77777777">
      <w:pPr>
        <w:ind w:firstLine="540"/>
        <w:jc w:val="both"/>
      </w:pPr>
      <w:r>
        <w:t xml:space="preserve">Acţiunea pârâtului de a minimiza rolului său la acela de persoană care a executat ordine trasate, fără putere de decizie și control, este contrazisă chiar de organizarea militară a Securităţii, de succesiunea activităţilor desfășurate în baza măsurilor „coordonate” de pârât, din care rezultă că a avut un rol decisiv. Însăşi recunoașterea faptului că acordul său era necesar pentru a putea continua activităţile de supraveghere dovedește participaţia directă la comiterea unor astfel de fapte, în condiţiile în care pârâtul s-ar fi putut opune la implicarea sa în astfel de activităţi. </w:t>
      </w:r>
    </w:p>
    <w:p w:rsidR="007A022C" w14:paraId="3858F124" w14:textId="77777777">
      <w:pPr>
        <w:tabs>
          <w:tab w:val="left" w:pos="570"/>
        </w:tabs>
        <w:ind w:firstLine="540"/>
        <w:jc w:val="both"/>
        <w:rPr>
          <w:rStyle w:val="Fontdeparagrafimplicit"/>
          <w:b/>
        </w:rPr>
      </w:pPr>
      <w:r>
        <w:rPr>
          <w:rStyle w:val="Fontdeparagrafimplicit"/>
          <w:b/>
        </w:rPr>
        <w:t>5. Asupra fondului cererii</w:t>
      </w:r>
      <w:r>
        <w:t xml:space="preserve"> </w:t>
      </w:r>
    </w:p>
    <w:p w:rsidR="007A022C" w14:paraId="4727D67C" w14:textId="0A06BF9E">
      <w:pPr>
        <w:ind w:firstLine="567"/>
        <w:jc w:val="both"/>
        <w:rPr>
          <w:rStyle w:val="Fontdeparagrafimplicit"/>
          <w:b/>
        </w:rPr>
      </w:pPr>
      <w:r>
        <w:t>Dispoziţiile art. 1 alin. (7) din O.U.G. nr. 24/2008</w:t>
      </w:r>
      <w:r>
        <w:rPr>
          <w:rStyle w:val="Fontdeparagrafimplicit"/>
          <w:b/>
        </w:rPr>
        <w:t xml:space="preserve"> </w:t>
      </w:r>
      <w:r>
        <w:t xml:space="preserve">privind accesul la propriul dosar şi deconspirarea Securităţii prevăd că „persoana, subiect al unui dosar din care rezultă că a fost urmărită de Securitate, are dreptul, la cerere, să afle identitatea lucrătorilor Securităţii şi a colaboratorilor acesteia, care au contribuit cu informaţii la completarea dosarului, şi poate solicita verificarea calităţii de lucrător al Securităţii pentru ofiţerii sau subofiţerii care au contribuit la instrumentarea dosarului” , s-a procedat la verificarea. </w:t>
      </w:r>
    </w:p>
    <w:p w:rsidR="007A022C" w14:paraId="5E5C2CCF" w14:textId="77777777">
      <w:pPr>
        <w:tabs>
          <w:tab w:val="left" w:pos="570"/>
        </w:tabs>
        <w:ind w:firstLine="540"/>
        <w:jc w:val="both"/>
      </w:pPr>
      <w:r>
        <w:t>Verificând calitatea pârâtului de lucrător al Securităţii, Curtea reţine că sunt îndeplinite condiţiile impuse de prevederile art. 2 lit. a din O.U.G. nr. 24/2008, conform cărora „</w:t>
      </w:r>
      <w:r>
        <w:rPr>
          <w:rStyle w:val="Fontdeparagrafimplicit"/>
          <w:i/>
        </w:rPr>
        <w:t>lucrător al Securităţii</w:t>
      </w:r>
      <w:r>
        <w:t>” este „</w:t>
      </w:r>
      <w:r>
        <w:rPr>
          <w:rStyle w:val="Fontdeparagrafimplicit"/>
          <w:i/>
        </w:rPr>
        <w:t>orice persoană care, având calitatea de ofiţer sau de subofiţer al Securităţii sau al Miliţiei cu atribuţii pe linie de Securitate, inclusiv ofiţer acoperit, în perioada 1945 - 1989, a desfăşurat activităţi prin care a suprimat sau a îngrădit drepturi şi libertăţi fundamentale ale omului</w:t>
      </w:r>
      <w:r>
        <w:t>”.</w:t>
      </w:r>
    </w:p>
    <w:p w:rsidR="007A022C" w14:paraId="112FF245" w14:textId="3FF1B5CA">
      <w:pPr>
        <w:tabs>
          <w:tab w:val="left" w:pos="570"/>
        </w:tabs>
        <w:ind w:firstLine="540"/>
        <w:jc w:val="both"/>
      </w:pPr>
      <w:r>
        <w:t xml:space="preserve">Informaţiile culese în numele Securităţii, cu contribuţia pârâtului </w:t>
      </w:r>
      <w:r w:rsidR="00145642">
        <w:t>1</w:t>
      </w:r>
      <w:r>
        <w:t xml:space="preserve">, se referă la activităţi sau atitudini potrivnice regimului totalitar comunist, dar și la aspecte strict private și confidenţiale ale vieţii persoanei urmărite, care exced, cu evidenţă, interesului unei anchete penale. </w:t>
      </w:r>
    </w:p>
    <w:p w:rsidR="007A022C" w14:paraId="776DF836" w14:textId="77777777">
      <w:pPr>
        <w:tabs>
          <w:tab w:val="left" w:pos="570"/>
        </w:tabs>
        <w:ind w:firstLine="540"/>
        <w:jc w:val="both"/>
      </w:pPr>
      <w:r>
        <w:t xml:space="preserve">Reclamantul Consiliul Naţional pentru Studierea Arhivelor Securităţii a dovedit prin probele administrate că informaţiile furnizate serveau scopului notoriu al Securităţii, de a monitoriza cu atenţie orice comentariu negativ la adresa conducerii de partid şi de stat, cunoscut fiind faptul că regimul urmărea promovarea ideii că statul comunist era forma superioară de organizare politică şi socială, în care toate persoanele aveau un nivel de viaţă ridicat, iar meritul pentru această stare de fapt se datora în exclusivitate partidului, orice contestare a deciziilor politice reprezentând o atitudine potrivnică regimului totalitar comunist. </w:t>
      </w:r>
    </w:p>
    <w:p w:rsidR="007A022C" w14:paraId="50D823D5" w14:textId="77777777">
      <w:pPr>
        <w:tabs>
          <w:tab w:val="left" w:pos="570"/>
        </w:tabs>
        <w:ind w:firstLine="540"/>
        <w:jc w:val="both"/>
      </w:pPr>
      <w:r>
        <w:t xml:space="preserve">Măsurile dispuse au vizat îngrădirea drepturilor şi libertăţilor fundamentale ale omului, respectiv a dreptului la viaţă privată, prevăzut de art. 17 din Pactul Internaţional cu privire la Drepturile Civile şi Politice, și a dreptului la liberă exprimare, prevăzut de art. 28 din Constituţia României din 1965 şi art. 19 din Pactul Internaţional cu privire la Drepturile Civile şi Politice. </w:t>
      </w:r>
    </w:p>
    <w:p w:rsidR="007A022C" w14:paraId="0EE371BB" w14:textId="52FACB47">
      <w:pPr>
        <w:ind w:firstLine="567"/>
        <w:jc w:val="both"/>
      </w:pPr>
      <w:r>
        <w:t xml:space="preserve">În acest sens, analiza înscrisurilor evocate mai sus duce la concluzia categorică a întrunirii şi a celei de-a doua condiţii. Măsurile dispuse, precum dirijarea unor surse care să pătrundă în intimitatea celui vizat, ce au condus la avertizarea profesorului </w:t>
      </w:r>
      <w:r w:rsidR="00145642">
        <w:t xml:space="preserve">12 </w:t>
      </w:r>
      <w:r>
        <w:t xml:space="preserve">pentru a nu se </w:t>
      </w:r>
      <w:r>
        <w:t xml:space="preserve">exprima sau asocia liber, au fost dispuse în scopul de a depista poziţia ostilă/atitudinea duşmănoasă a celui urmărit faţă de politica partidului şi statului, a conducerii acestora, faţă de regimul comunist, vădind interesul pentru opiniile celor vizaţi relativ la aspectele menţionate.  </w:t>
      </w:r>
    </w:p>
    <w:p w:rsidR="007A022C" w14:paraId="468ED41F" w14:textId="77777777">
      <w:pPr>
        <w:ind w:firstLine="567"/>
        <w:jc w:val="both"/>
      </w:pPr>
      <w:r>
        <w:t xml:space="preserve">Acest interes, pus în practică prin măsurile dispuse, coroborat cu urmările pe care le antrenau împotriva celui vizat (chiar în întâmpinare pârâtul a susţinut că atenţionarea directă ar fi fost un beneficiu, existând la dispoziţia Securităţii posibilitatea de a-l discredita public pe dascăl în comunitatea în care se afla), probează un mecanism specific de supraveghere poliţienească extrem de intrusiv în viaţa privată a celor urmăriţi şi o grevare a dreptului la viaţă privată, a exercitării libertăţii de exprimare, de opinie şi de conştiinţă, adică exact a acelor libertăţi care conturează personalitatea unui om, care dau măsura demnităţii acestuia, grevare care – în raport de sistemul de valori al fiecăruia dintre cei vizaţi – poate echivala cu o suprimare efectivă a acestor libertăţi. </w:t>
      </w:r>
    </w:p>
    <w:p w:rsidR="007A022C" w14:paraId="706C8426" w14:textId="77777777">
      <w:pPr>
        <w:ind w:firstLine="567"/>
        <w:jc w:val="both"/>
      </w:pPr>
      <w:r>
        <w:t>Ansamblul acţiunilor pârâtului anterior precizate, vizând urmărirea unei persoane pentru opiniile sale, constituie activităţi prin care s-au suprimat ori îngrădit următoarele drepturi şi libertăţi fundamentale ale omului, consacrate legislativ în epocă.</w:t>
      </w:r>
    </w:p>
    <w:p w:rsidR="007A022C" w14:paraId="0E168C4F" w14:textId="77777777">
      <w:pPr>
        <w:ind w:firstLine="567"/>
        <w:jc w:val="both"/>
      </w:pPr>
      <w:r>
        <w:t>Astfel, conform art. 12 din Declaraţia Universală a Drepturilor Omului, dreptul la viaţă privată era definit astfel: „</w:t>
      </w:r>
      <w:r>
        <w:rPr>
          <w:rStyle w:val="Fontdeparagrafimplicit"/>
          <w:i/>
        </w:rPr>
        <w:t>[n]imeni nu va fi supus la imixtiuni arbitrare în viaţa sa personală, în familia sa, în domiciliul lui sau în corespondenţa sa, nici la atingeri aduse onoarei şi reputaţiei sale. Orice persoană are dreptul la protecţia legii împotriva unor asemenea imixtiuni sau atingeri</w:t>
      </w:r>
      <w:r>
        <w:t>”.</w:t>
      </w:r>
    </w:p>
    <w:p w:rsidR="007A022C" w14:paraId="121178C3" w14:textId="77777777">
      <w:pPr>
        <w:ind w:firstLine="567"/>
        <w:jc w:val="both"/>
      </w:pPr>
      <w:r>
        <w:t>Dreptul la libertatea de exprimare, libertatea opiniilor şi de conştiinţă a fost consacrat în perioada de referinţă, în special, în art. 85 din Constituţia României din 1952, care prevedea că „</w:t>
      </w:r>
      <w:r>
        <w:rPr>
          <w:rStyle w:val="Fontdeparagrafimplicit"/>
          <w:i/>
        </w:rPr>
        <w:t>[î]n conformitate cu interesele celor ce muncesc şi în vederea întăririi regimului de democraţie populară, cetăţenilor Republicii Populare Române li se garantează prin lege: a) libertatea cuvântului (…)</w:t>
      </w:r>
      <w:r>
        <w:t>”. De asemenea, art. 28 din Constituţia Republicii Socialiste România din 1965 prevedea că „</w:t>
      </w:r>
      <w:r>
        <w:rPr>
          <w:rStyle w:val="Fontdeparagrafimplicit"/>
          <w:i/>
        </w:rPr>
        <w:t>[c]etăţenilor Republicii Socialiste România li se garantează libertatea cuvântului, a presei, a întrunirilor, a mitingurilor şi a demonstraţiilor</w:t>
      </w:r>
      <w:r>
        <w:t>”</w:t>
      </w:r>
    </w:p>
    <w:p w:rsidR="007A022C" w14:paraId="43527DF2" w14:textId="77777777">
      <w:pPr>
        <w:ind w:firstLine="567"/>
        <w:jc w:val="both"/>
      </w:pPr>
      <w:r>
        <w:t>Art. 30 alin. (1) din Constituţia Republicii Socialiste România din 1965 statua că „</w:t>
      </w:r>
      <w:r>
        <w:rPr>
          <w:rStyle w:val="Fontdeparagrafimplicit"/>
          <w:i/>
        </w:rPr>
        <w:t>[l]ibertatea conştiinţei este garantată tuturor cetăţenilor Republicii Socialiste România</w:t>
      </w:r>
      <w:r>
        <w:t>”.</w:t>
      </w:r>
    </w:p>
    <w:p w:rsidR="007A022C" w14:paraId="4EB69417" w14:textId="77777777">
      <w:pPr>
        <w:ind w:firstLine="567"/>
        <w:jc w:val="both"/>
      </w:pPr>
      <w:r>
        <w:t>Nu în ultimul rând, art. 19 din Declaraţia Universală a Drepturilor Omului prevedea că „</w:t>
      </w:r>
      <w:r>
        <w:rPr>
          <w:rStyle w:val="Fontdeparagrafimplicit"/>
          <w:i/>
        </w:rPr>
        <w:t>[o]rice om are dreptul la libertatea opiniilor şi exprimării; acest drept include libertatea de a avea opinii fără imixtiune din afară, precum şi libertatea de a căuta, de a primi şi de a răspândi informaţii şi idei prin orice mijloace şi independent de frontierele de stat</w:t>
      </w:r>
      <w:r>
        <w:t>”.</w:t>
      </w:r>
    </w:p>
    <w:p w:rsidR="007A022C" w14:paraId="4D5C14C4" w14:textId="77777777">
      <w:pPr>
        <w:ind w:firstLine="567"/>
        <w:jc w:val="both"/>
      </w:pPr>
      <w:r>
        <w:t>Prin urmare, este întrunită şi cea de-a două cerinţă din ipoteza normei legale, aceea ca activităţile pârâtului să constituie acte de poliţie politică în accepţiunea legii, adică să vizeze „instaurarea şi menţinerea puterii totalitar comuniste, precum şi suprimarea sau îngrădirea drepturilor şi libertăţilor fundamentale ale omului”.</w:t>
      </w:r>
    </w:p>
    <w:p w:rsidR="007A022C" w14:paraId="609577F2" w14:textId="77777777">
      <w:pPr>
        <w:ind w:firstLine="567"/>
        <w:jc w:val="both"/>
      </w:pPr>
      <w:r>
        <w:t>Legea nu antrenează răspunderi pentru fapte săvârşite în trecut, însă oferă posibilitatea de a constata că anumite persoane au avut calitatea de lucrător sau colaborator al fostei Securităţi, pentru ca persoana care a fost urmărită să poată cerere identificarea acelor persoane şi cu această ocazie să se constate calitatea sa de persoană urmărită, pentru a se putea verifica dacă anumite persoane care candidează pentru funcţii de demnitate publică sau alte funcţii publice au fost sau nu lucrători sau colaboratori şi pentru activitatea de documentare de stabilire a adevărului istoric.</w:t>
      </w:r>
    </w:p>
    <w:p w:rsidR="007A022C" w14:paraId="61276976" w14:textId="703613DE">
      <w:pPr>
        <w:ind w:firstLine="567"/>
        <w:jc w:val="both"/>
      </w:pPr>
      <w:r>
        <w:t xml:space="preserve"> Nota de constatare </w:t>
      </w:r>
      <w:r w:rsidR="00145642">
        <w:t>8</w:t>
      </w:r>
      <w:r>
        <w:t>/</w:t>
      </w:r>
      <w:r w:rsidR="004A5266">
        <w:t xml:space="preserve">       </w:t>
      </w:r>
      <w:r w:rsidR="00102ED2">
        <w:t xml:space="preserve"> </w:t>
      </w:r>
      <w:r>
        <w:t>.2017 a fost întocmită de CNSAS, având în vedere prevederile art. 1 alin. (7) din OUG nr.24/2008, şi urmare a aprobării acesteia de către Colegiul CNSAS, potrivit art.8 alin.1 din Ordonanţă, s-a dispus Direcţiei juridice introducerea unei acţiuni în constatare a calităţii de lucrător al Securităţii, în condiţiile art.11 alin. (1) din acelaşi act normativ.</w:t>
      </w:r>
    </w:p>
    <w:p w:rsidR="007A022C" w14:paraId="4005B8F2" w14:textId="77777777">
      <w:pPr>
        <w:ind w:firstLine="567"/>
        <w:jc w:val="both"/>
      </w:pPr>
      <w:r>
        <w:t>Prin urmare, instanţa de judecată sesizată, urmare a aprobării Notei de constatare, analizând cererea în raport de ansamblul probator administrat în cauză, apreciază că CNSAS, în calitate de reclamant a făcut dovada susţinerilor sale, astfel încât urmează să constate calitatea pârâtului de  lucrător al Securităţii.</w:t>
      </w:r>
    </w:p>
    <w:p w:rsidR="007A022C" w14:paraId="3694F707" w14:textId="77777777">
      <w:pPr>
        <w:ind w:firstLine="567"/>
        <w:jc w:val="both"/>
      </w:pPr>
      <w:r>
        <w:t>Reţinând, în lumina considerentelor expuse mai sus, întrunirea ipotezei normei legale cuprinsă în art. 2 lit. b) din O.U.G. nr. 24/2008 privind accesul la propriul dosar şi deconspirarea Securităţii, instanţa – în temeiul art. 11 din acelaşi act normativ – va admite prezenta acţiune şi va constata calitatea pârâtului de lucrător al Securităţii.</w:t>
      </w:r>
    </w:p>
    <w:p w:rsidR="007A022C" w14:paraId="0BD59C97" w14:textId="77777777">
      <w:pPr>
        <w:ind w:firstLine="567"/>
        <w:jc w:val="both"/>
      </w:pPr>
    </w:p>
    <w:p w:rsidR="007A022C" w14:paraId="1CE5068D" w14:textId="77777777">
      <w:pPr>
        <w:ind w:firstLine="567"/>
        <w:jc w:val="both"/>
      </w:pPr>
    </w:p>
    <w:p w:rsidR="007A022C" w14:paraId="193923D2" w14:textId="77777777">
      <w:pPr>
        <w:tabs>
          <w:tab w:val="left" w:pos="570"/>
        </w:tabs>
        <w:ind w:firstLine="540"/>
        <w:jc w:val="center"/>
        <w:rPr>
          <w:rStyle w:val="Fontdeparagrafimplicit"/>
          <w:b/>
        </w:rPr>
      </w:pPr>
      <w:r>
        <w:rPr>
          <w:rStyle w:val="Fontdeparagrafimplicit"/>
          <w:b/>
        </w:rPr>
        <w:t>PENTRU ACESTE MOTIVE,</w:t>
      </w:r>
    </w:p>
    <w:p w:rsidR="007A022C" w14:paraId="401FE58A" w14:textId="77777777">
      <w:pPr>
        <w:tabs>
          <w:tab w:val="left" w:pos="570"/>
        </w:tabs>
        <w:ind w:firstLine="540"/>
        <w:jc w:val="center"/>
        <w:rPr>
          <w:rStyle w:val="Fontdeparagrafimplicit"/>
          <w:b/>
        </w:rPr>
      </w:pPr>
      <w:r>
        <w:rPr>
          <w:rStyle w:val="Fontdeparagrafimplicit"/>
          <w:b/>
        </w:rPr>
        <w:t>ÎN NUMELE LEGII,</w:t>
      </w:r>
    </w:p>
    <w:p w:rsidR="007A022C" w14:paraId="22B5A618" w14:textId="77777777">
      <w:pPr>
        <w:tabs>
          <w:tab w:val="left" w:pos="570"/>
        </w:tabs>
        <w:ind w:firstLine="540"/>
        <w:jc w:val="center"/>
        <w:rPr>
          <w:rStyle w:val="Fontdeparagrafimplicit"/>
          <w:b/>
        </w:rPr>
      </w:pPr>
      <w:r>
        <w:rPr>
          <w:rStyle w:val="Fontdeparagrafimplicit"/>
          <w:b/>
        </w:rPr>
        <w:t>HOTĂRĂŞTE:</w:t>
      </w:r>
    </w:p>
    <w:p w:rsidR="007A022C" w14:paraId="2DB19AB8" w14:textId="77777777">
      <w:pPr>
        <w:tabs>
          <w:tab w:val="left" w:pos="570"/>
        </w:tabs>
        <w:ind w:firstLine="540"/>
        <w:jc w:val="center"/>
        <w:rPr>
          <w:rStyle w:val="Fontdeparagrafimplicit"/>
          <w:b/>
        </w:rPr>
      </w:pPr>
    </w:p>
    <w:p w:rsidR="007A022C" w14:paraId="118960EF" w14:textId="582CBB85">
      <w:pPr>
        <w:tabs>
          <w:tab w:val="left" w:pos="570"/>
        </w:tabs>
        <w:ind w:firstLine="540"/>
        <w:jc w:val="both"/>
      </w:pPr>
      <w:r>
        <w:t xml:space="preserve">Admite cererea formulată de reclamantul </w:t>
      </w:r>
      <w:r>
        <w:rPr>
          <w:rStyle w:val="Fontdeparagrafimplicit"/>
          <w:b/>
        </w:rPr>
        <w:t>CONSILIUL NAŢIONAL PENTRU STUDIEREA ARHIVELOR SECURITĂŢII</w:t>
      </w:r>
      <w:r>
        <w:t xml:space="preserve">, cu sediul în </w:t>
      </w:r>
      <w:r w:rsidR="00145642">
        <w:t>..........</w:t>
      </w:r>
      <w:r>
        <w:t xml:space="preserve">, </w:t>
      </w:r>
      <w:r w:rsidR="00145642">
        <w:t xml:space="preserve">.................... </w:t>
      </w:r>
      <w:r>
        <w:t xml:space="preserve">, str. </w:t>
      </w:r>
      <w:r w:rsidR="00145642">
        <w:t>...........</w:t>
      </w:r>
      <w:r>
        <w:t xml:space="preserve">, nr. </w:t>
      </w:r>
      <w:r w:rsidR="00145642">
        <w:t>........</w:t>
      </w:r>
      <w:r>
        <w:t xml:space="preserve"> în contradictoriu cu pârâtul </w:t>
      </w:r>
      <w:r w:rsidR="00145642">
        <w:rPr>
          <w:rStyle w:val="Fontdeparagrafimplicit"/>
          <w:b/>
        </w:rPr>
        <w:t xml:space="preserve">1 </w:t>
      </w:r>
      <w:r>
        <w:rPr>
          <w:rStyle w:val="Fontdeparagrafimplicit"/>
          <w:b/>
        </w:rPr>
        <w:t xml:space="preserve">, CNP </w:t>
      </w:r>
      <w:r w:rsidR="00145642">
        <w:rPr>
          <w:rStyle w:val="Fontdeparagrafimplicit"/>
          <w:b/>
        </w:rPr>
        <w:t>.........</w:t>
      </w:r>
      <w:r>
        <w:rPr>
          <w:rStyle w:val="Fontdeparagrafimplicit"/>
          <w:b/>
        </w:rPr>
        <w:t>,</w:t>
      </w:r>
      <w:r>
        <w:t xml:space="preserve"> născut la data de </w:t>
      </w:r>
      <w:r w:rsidR="00145642">
        <w:t>........</w:t>
      </w:r>
      <w:r>
        <w:t xml:space="preserve">, în localitatea </w:t>
      </w:r>
      <w:r w:rsidR="00145642">
        <w:t>V..........</w:t>
      </w:r>
      <w:r>
        <w:t xml:space="preserve">, judeţul </w:t>
      </w:r>
      <w:r w:rsidR="00145642">
        <w:t>.......</w:t>
      </w:r>
      <w:r>
        <w:t xml:space="preserve">, judeţul </w:t>
      </w:r>
      <w:r w:rsidR="00145642">
        <w:t>.......</w:t>
      </w:r>
      <w:r>
        <w:t xml:space="preserve">, fiul lui </w:t>
      </w:r>
      <w:r w:rsidR="00145642">
        <w:t>..........</w:t>
      </w:r>
      <w:r>
        <w:t xml:space="preserve">, domiciliat în oraşul </w:t>
      </w:r>
      <w:r w:rsidR="00145642">
        <w:t>S.........</w:t>
      </w:r>
      <w:r>
        <w:t xml:space="preserve">, strada </w:t>
      </w:r>
      <w:r w:rsidR="00145642">
        <w:t>........</w:t>
      </w:r>
      <w:r>
        <w:t xml:space="preserve"> nr. </w:t>
      </w:r>
      <w:r w:rsidR="00145642">
        <w:t>........</w:t>
      </w:r>
      <w:r>
        <w:t xml:space="preserve">, scara </w:t>
      </w:r>
      <w:r w:rsidR="00145642">
        <w:t>........</w:t>
      </w:r>
      <w:r>
        <w:t xml:space="preserve">, etaj </w:t>
      </w:r>
      <w:r w:rsidR="00145642">
        <w:t>......</w:t>
      </w:r>
      <w:r>
        <w:t xml:space="preserve">, apartament </w:t>
      </w:r>
      <w:r w:rsidR="00145642">
        <w:t>.........</w:t>
      </w:r>
      <w:r>
        <w:t xml:space="preserve">, judeţul </w:t>
      </w:r>
      <w:r w:rsidR="00145642">
        <w:t>..........</w:t>
      </w:r>
      <w:r>
        <w:t>.</w:t>
      </w:r>
    </w:p>
    <w:p w:rsidR="007A022C" w14:paraId="5E586D5D" w14:textId="77777777">
      <w:pPr>
        <w:tabs>
          <w:tab w:val="left" w:pos="570"/>
        </w:tabs>
        <w:ind w:firstLine="540"/>
        <w:jc w:val="both"/>
      </w:pPr>
      <w:r>
        <w:t xml:space="preserve">Constată calitatea pârâtului de lucrător al Securităţii. </w:t>
      </w:r>
    </w:p>
    <w:p w:rsidR="007A022C" w14:paraId="01688000" w14:textId="4A70A5ED">
      <w:pPr>
        <w:tabs>
          <w:tab w:val="left" w:pos="570"/>
        </w:tabs>
        <w:ind w:firstLine="540"/>
        <w:jc w:val="both"/>
      </w:pPr>
      <w:r>
        <w:t xml:space="preserve">Cu recurs în termen de 15 zile de la comunicare, cererea urmând a se depune la sediul Curţii de Apel </w:t>
      </w:r>
      <w:r w:rsidR="00145642">
        <w:t xml:space="preserve">.................... </w:t>
      </w:r>
      <w:r>
        <w:t xml:space="preserve"> - Secţia </w:t>
      </w:r>
      <w:r w:rsidR="00145642">
        <w:t>..........</w:t>
      </w:r>
      <w:r>
        <w:t>.</w:t>
      </w:r>
    </w:p>
    <w:p w:rsidR="007A022C" w14:paraId="2103331A" w14:textId="6F4F940A">
      <w:pPr>
        <w:tabs>
          <w:tab w:val="left" w:pos="570"/>
        </w:tabs>
        <w:ind w:firstLine="540"/>
        <w:jc w:val="both"/>
      </w:pPr>
      <w:r>
        <w:t xml:space="preserve">Pronunţată în ședinţă publică, azi, </w:t>
      </w:r>
      <w:r w:rsidR="00145642">
        <w:t xml:space="preserve">........... </w:t>
      </w:r>
      <w:r>
        <w:t>.</w:t>
      </w:r>
    </w:p>
    <w:p w:rsidR="007A022C" w14:paraId="12CC41A5" w14:textId="77777777">
      <w:pPr>
        <w:tabs>
          <w:tab w:val="left" w:pos="570"/>
        </w:tabs>
        <w:ind w:firstLine="540"/>
        <w:jc w:val="both"/>
      </w:pPr>
    </w:p>
    <w:p w:rsidR="007A022C" w14:paraId="40FF03B6" w14:textId="77777777">
      <w:pPr>
        <w:ind w:left="708" w:right="-468" w:firstLine="513"/>
      </w:pPr>
      <w:r>
        <w:t xml:space="preserve">       PREŞEDINTE,           </w:t>
      </w:r>
      <w:r>
        <w:tab/>
      </w:r>
      <w:r>
        <w:tab/>
        <w:t xml:space="preserve">                             GREFIER,</w:t>
      </w:r>
    </w:p>
    <w:p w:rsidR="007A022C" w14:paraId="123E381F" w14:textId="6C23A525">
      <w:pPr>
        <w:ind w:right="-468" w:firstLine="513"/>
        <w:rPr>
          <w:rStyle w:val="Fontdeparagrafimplicit"/>
          <w:b/>
        </w:rPr>
      </w:pPr>
      <w:r>
        <w:rPr>
          <w:rStyle w:val="Fontdeparagrafimplicit"/>
          <w:b/>
        </w:rPr>
        <w:t xml:space="preserve">            </w:t>
      </w:r>
      <w:r w:rsidR="00145642">
        <w:rPr>
          <w:rStyle w:val="Fontdeparagrafimplicit"/>
          <w:b/>
        </w:rPr>
        <w:t xml:space="preserve">      </w:t>
      </w:r>
      <w:r>
        <w:rPr>
          <w:rStyle w:val="Fontdeparagrafimplicit"/>
          <w:b/>
        </w:rPr>
        <w:t xml:space="preserve">  </w:t>
      </w:r>
      <w:r w:rsidR="00145642">
        <w:rPr>
          <w:rStyle w:val="Fontdeparagrafimplicit"/>
          <w:b/>
        </w:rPr>
        <w:t>A0008</w:t>
      </w:r>
      <w:r>
        <w:rPr>
          <w:rStyle w:val="Fontdeparagrafimplicit"/>
          <w:b/>
        </w:rPr>
        <w:t xml:space="preserve">                    </w:t>
      </w:r>
      <w:r>
        <w:rPr>
          <w:rStyle w:val="Fontdeparagrafimplicit"/>
          <w:b/>
        </w:rPr>
        <w:tab/>
      </w:r>
      <w:r>
        <w:rPr>
          <w:rStyle w:val="Fontdeparagrafimplicit"/>
          <w:b/>
        </w:rPr>
        <w:tab/>
      </w:r>
      <w:r>
        <w:rPr>
          <w:rStyle w:val="Fontdeparagrafimplicit"/>
          <w:b/>
        </w:rPr>
        <w:tab/>
      </w:r>
      <w:r w:rsidR="00145642">
        <w:rPr>
          <w:rStyle w:val="Fontdeparagrafimplicit"/>
          <w:b/>
        </w:rPr>
        <w:t xml:space="preserve">              ......................</w:t>
      </w:r>
    </w:p>
    <w:p w:rsidR="007A022C" w14:paraId="77FBB4B5" w14:textId="77777777">
      <w:pPr>
        <w:ind w:firstLine="513"/>
        <w:jc w:val="both"/>
      </w:pPr>
      <w:r>
        <w:t xml:space="preserve">                </w:t>
      </w:r>
    </w:p>
    <w:p w:rsidR="007A022C" w14:paraId="0E506D7B" w14:textId="77777777">
      <w:pPr>
        <w:ind w:firstLine="513"/>
        <w:jc w:val="both"/>
        <w:rPr>
          <w:rStyle w:val="Fontdeparagrafimplicit"/>
          <w:b/>
        </w:rPr>
      </w:pPr>
    </w:p>
    <w:p w:rsidR="007A022C" w14:paraId="3E84C68D" w14:textId="3034D5A5">
      <w:pPr>
        <w:rPr>
          <w:rStyle w:val="Fontdeparagrafimplicit"/>
          <w:i/>
          <w:sz w:val="16"/>
        </w:rPr>
      </w:pPr>
      <w:r>
        <w:rPr>
          <w:rStyle w:val="Fontdeparagrafimplicit"/>
          <w:i/>
          <w:sz w:val="16"/>
        </w:rPr>
        <w:t xml:space="preserve">Red. </w:t>
      </w:r>
      <w:r w:rsidR="00145642">
        <w:rPr>
          <w:rStyle w:val="Fontdeparagrafimplicit"/>
          <w:i/>
          <w:sz w:val="16"/>
        </w:rPr>
        <w:t>A0008</w:t>
      </w:r>
      <w:r>
        <w:rPr>
          <w:rStyle w:val="Fontdeparagrafimplicit"/>
          <w:i/>
          <w:sz w:val="16"/>
        </w:rPr>
        <w:t>/</w:t>
      </w:r>
      <w:r w:rsidR="00145642">
        <w:rPr>
          <w:rStyle w:val="Fontdeparagrafimplicit"/>
          <w:i/>
          <w:sz w:val="16"/>
        </w:rPr>
        <w:t xml:space="preserve">........... </w:t>
      </w:r>
    </w:p>
    <w:p w:rsidR="007A022C" w14:paraId="06C1D1EA" w14:textId="77777777">
      <w:pPr>
        <w:rPr>
          <w:rStyle w:val="Fontdeparagrafimplicit"/>
          <w:i/>
          <w:sz w:val="16"/>
        </w:rPr>
      </w:pPr>
      <w:r>
        <w:rPr>
          <w:rStyle w:val="Fontdeparagrafimplicit"/>
          <w:i/>
          <w:sz w:val="16"/>
        </w:rPr>
        <w:t>Nr exemplare 4</w:t>
      </w:r>
    </w:p>
    <w:p w:rsidR="007A022C" w14:paraId="549EA472" w14:textId="77777777">
      <w:pPr>
        <w:rPr>
          <w:rStyle w:val="Fontdeparagrafimplicit"/>
          <w:i/>
          <w:sz w:val="16"/>
        </w:rPr>
      </w:pPr>
      <w:r>
        <w:rPr>
          <w:rStyle w:val="Fontdeparagrafimplicit"/>
          <w:i/>
          <w:sz w:val="16"/>
        </w:rPr>
        <w:t>2 ex comunicate la _____ de ____</w:t>
      </w:r>
    </w:p>
    <w:p w:rsidR="007A022C" w14:paraId="65178A38" w14:textId="77777777">
      <w:pPr>
        <w:rPr>
          <w:rStyle w:val="Fontdeparagrafimplicit"/>
        </w:rPr>
      </w:pPr>
    </w:p>
    <w:p w:rsidR="007A022C" w14:paraId="531E7A42"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22C"/>
    <w:rsid w:val="00102ED2"/>
    <w:rsid w:val="00145642"/>
    <w:rsid w:val="004A5266"/>
    <w:rsid w:val="005500CB"/>
    <w:rsid w:val="00776366"/>
    <w:rsid w:val="007A022C"/>
    <w:rsid w:val="00954F16"/>
    <w:rsid w:val="0098702C"/>
  </w:rsids>
  <w:docVars>
    <w:docVar w:name="url" w:val="http://10.1.48.53:80/ecris_cdms/document_upload.aspx?id_document=200000002901766&amp;id_departament=5&amp;id_sesiune=2487766&amp;id_user=819&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CD8827B"/>
  <w15:docId w15:val="{A26142AC-7526-46C6-BE2D-3849D0086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36</ap:TotalTime>
  <ap:Pages>1</ap:Pages>
  <ap:Words>2636</ap:Words>
  <ap:Characters>15031</ap:Characters>
  <ap:Application>Microsoft Office Word</ap:Application>
  <ap:DocSecurity>0</ap:DocSecurity>
  <ap:Lines>125</ap:Lines>
  <ap:Paragraphs>35</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17632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