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FF79D9" w14:paraId="49644C1B" w14:textId="78F81052">
      <w:r>
        <w:t>Dosar nr. 1*</w:t>
      </w:r>
    </w:p>
    <w:p w:rsidR="00FF79D9" w14:paraId="27C892E2" w14:textId="298E22BC">
      <w:r>
        <w:tab/>
        <w:t xml:space="preserve"> </w:t>
      </w:r>
    </w:p>
    <w:p w:rsidR="00FF79D9" w14:paraId="54B7B13B" w14:textId="77777777"/>
    <w:p w:rsidR="00FF79D9" w14:paraId="26170910" w14:textId="77777777">
      <w:pPr>
        <w:jc w:val="center"/>
        <w:rPr>
          <w:rStyle w:val="Fontdeparagrafimplicit"/>
          <w:b/>
        </w:rPr>
      </w:pPr>
      <w:r>
        <w:rPr>
          <w:rStyle w:val="Fontdeparagrafimplicit"/>
          <w:b/>
        </w:rPr>
        <w:t>R O M Â N I A</w:t>
      </w:r>
    </w:p>
    <w:p w:rsidR="00FF79D9" w14:paraId="5CC3827A" w14:textId="5B897FE4">
      <w:pPr>
        <w:jc w:val="center"/>
        <w:rPr>
          <w:rStyle w:val="Fontdeparagrafimplicit"/>
          <w:b/>
        </w:rPr>
      </w:pPr>
      <w:r>
        <w:rPr>
          <w:rStyle w:val="Fontdeparagrafimplicit"/>
          <w:b/>
        </w:rPr>
        <w:t xml:space="preserve">CURTEA DE APEL                  – SECŢIA  </w:t>
      </w:r>
    </w:p>
    <w:p w:rsidR="00FF79D9" w14:paraId="53717017" w14:textId="77777777">
      <w:pPr>
        <w:jc w:val="center"/>
        <w:rPr>
          <w:rStyle w:val="Fontdeparagrafimplicit"/>
          <w:b/>
        </w:rPr>
      </w:pPr>
    </w:p>
    <w:p w:rsidR="00FF79D9" w14:paraId="41E6002A" w14:textId="68F7A0C8">
      <w:pPr>
        <w:jc w:val="center"/>
        <w:rPr>
          <w:rStyle w:val="Fontdeparagrafimplicit"/>
          <w:b/>
          <w:i/>
        </w:rPr>
      </w:pPr>
      <w:r>
        <w:rPr>
          <w:rStyle w:val="Fontdeparagrafimplicit"/>
          <w:b/>
          <w:i/>
        </w:rPr>
        <w:t>DECIZIA PENALĂ NR. 25</w:t>
      </w:r>
    </w:p>
    <w:p w:rsidR="00FF79D9" w14:paraId="2FA134FC" w14:textId="76713E3A">
      <w:pPr>
        <w:jc w:val="center"/>
        <w:rPr>
          <w:rStyle w:val="Fontdeparagrafimplicit"/>
          <w:b/>
        </w:rPr>
      </w:pPr>
      <w:r>
        <w:rPr>
          <w:rStyle w:val="Fontdeparagrafimplicit"/>
          <w:b/>
        </w:rPr>
        <w:t xml:space="preserve">Şedinţa publică din data de  </w:t>
      </w:r>
    </w:p>
    <w:p w:rsidR="00FF79D9" w14:paraId="567A6656" w14:textId="77777777">
      <w:pPr>
        <w:jc w:val="center"/>
        <w:rPr>
          <w:rStyle w:val="Fontdeparagrafimplicit"/>
          <w:b/>
        </w:rPr>
      </w:pPr>
      <w:r>
        <w:rPr>
          <w:rStyle w:val="Fontdeparagrafimplicit"/>
          <w:b/>
        </w:rPr>
        <w:t>Curtea constituită din:</w:t>
      </w:r>
    </w:p>
    <w:p w:rsidR="00FF79D9" w14:paraId="30B4D353" w14:textId="3D82D31A">
      <w:pPr>
        <w:jc w:val="center"/>
        <w:rPr>
          <w:rStyle w:val="Fontdeparagrafimplicit"/>
          <w:b/>
        </w:rPr>
      </w:pPr>
      <w:r>
        <w:rPr>
          <w:rStyle w:val="Fontdeparagrafimplicit"/>
          <w:b/>
        </w:rPr>
        <w:t>Preşedinte:</w:t>
      </w:r>
      <w:r>
        <w:rPr>
          <w:rStyle w:val="Fontdeparagrafimplicit"/>
          <w:b/>
        </w:rPr>
        <w:tab/>
        <w:t>A0002</w:t>
      </w:r>
    </w:p>
    <w:p w:rsidR="00FF79D9" w14:paraId="241BE814" w14:textId="38D54969">
      <w:pPr>
        <w:jc w:val="center"/>
        <w:rPr>
          <w:rStyle w:val="Fontdeparagrafimplicit"/>
          <w:b/>
        </w:rPr>
      </w:pPr>
      <w:r>
        <w:rPr>
          <w:rStyle w:val="Fontdeparagrafimplicit"/>
          <w:b/>
        </w:rPr>
        <w:t>Grefier:</w:t>
      </w:r>
      <w:r>
        <w:rPr>
          <w:rStyle w:val="Fontdeparagrafimplicit"/>
          <w:b/>
        </w:rPr>
        <w:tab/>
        <w:t xml:space="preserve"> </w:t>
      </w:r>
    </w:p>
    <w:p w:rsidR="00FF79D9" w14:paraId="5DA30155" w14:textId="77777777">
      <w:pPr>
        <w:jc w:val="center"/>
        <w:rPr>
          <w:rStyle w:val="Fontdeparagrafimplicit"/>
          <w:b/>
        </w:rPr>
      </w:pPr>
    </w:p>
    <w:p w:rsidR="00FF79D9" w14:paraId="51771150" w14:textId="77777777">
      <w:pPr>
        <w:jc w:val="center"/>
        <w:rPr>
          <w:rStyle w:val="Fontdeparagrafimplicit"/>
          <w:b/>
        </w:rPr>
      </w:pPr>
    </w:p>
    <w:p w:rsidR="00FF79D9" w14:paraId="5FE0186E" w14:textId="3FAF2B7D">
      <w:pPr>
        <w:ind w:firstLine="851"/>
        <w:jc w:val="both"/>
        <w:rPr>
          <w:rStyle w:val="Fontdeparagrafimplicit"/>
          <w:b/>
        </w:rPr>
      </w:pPr>
      <w:r>
        <w:rPr>
          <w:rStyle w:val="Fontdeparagrafimplicit"/>
          <w:b/>
        </w:rPr>
        <w:t>Ministerul Public – Parchetul de pe lângă Înalta Curte de Casaţie si Justiţie – Direcţia de Investigare a Infracţiunilor de Criminalitate Organizată si Terorism - este reprezentat de procuror  .</w:t>
      </w:r>
    </w:p>
    <w:p w:rsidR="00FF79D9" w14:paraId="33162328" w14:textId="77777777">
      <w:pPr>
        <w:ind w:firstLine="851"/>
        <w:jc w:val="both"/>
        <w:rPr>
          <w:rStyle w:val="Fontdeparagrafimplicit"/>
          <w:b/>
        </w:rPr>
      </w:pPr>
    </w:p>
    <w:p w:rsidR="00FF79D9" w14:paraId="734F7E49" w14:textId="0DF4E38F">
      <w:pPr>
        <w:ind w:firstLine="851"/>
        <w:jc w:val="both"/>
      </w:pPr>
      <w:r>
        <w:t>Pe rol, soluţionarea</w:t>
      </w:r>
      <w:r>
        <w:rPr>
          <w:rStyle w:val="Fontdeparagrafimplicit"/>
          <w:b/>
        </w:rPr>
        <w:t xml:space="preserve"> contestaţiei </w:t>
      </w:r>
      <w:r>
        <w:t>formulate de</w:t>
      </w:r>
      <w:r>
        <w:rPr>
          <w:rStyle w:val="Fontdeparagrafimplicit"/>
          <w:b/>
        </w:rPr>
        <w:t xml:space="preserve"> Parchetul de pe lângă Înalta Curte de Casaţie si Justiţie – Direcţia de Investigare a Infracţiunilor de Criminalitate Organizată şi Terorism</w:t>
      </w:r>
      <w:r>
        <w:t xml:space="preserve"> -     – împotriva sentinţei penale nr. 2  pronunţată de Tribunalul                  – Secţia   în dosarul nr. 1*</w:t>
      </w:r>
    </w:p>
    <w:p w:rsidR="00FF79D9" w14:paraId="4BAC9EAB" w14:textId="180CD18A">
      <w:pPr>
        <w:ind w:firstLine="851"/>
        <w:jc w:val="both"/>
      </w:pPr>
      <w:r>
        <w:t xml:space="preserve">La apelul nominal făcut în şedinţa publică </w:t>
      </w:r>
      <w:r>
        <w:rPr>
          <w:rStyle w:val="Fontdeparagrafimplicit"/>
          <w:b/>
        </w:rPr>
        <w:t xml:space="preserve">intimatul petent 3 </w:t>
      </w:r>
      <w:r>
        <w:t xml:space="preserve"> a fost reprezentat juridic de apărător ales, avocat  , cu împuternicire avocaţială depusă la dosarul cauzei.</w:t>
      </w:r>
    </w:p>
    <w:p w:rsidR="00FF79D9" w14:paraId="384FF28B" w14:textId="77777777">
      <w:pPr>
        <w:ind w:firstLine="851"/>
        <w:jc w:val="both"/>
      </w:pPr>
      <w:r>
        <w:t xml:space="preserve">Procedura de citare este legal îndeplinită. </w:t>
      </w:r>
    </w:p>
    <w:p w:rsidR="00FF79D9" w14:paraId="6E1891F7" w14:textId="77777777">
      <w:pPr>
        <w:ind w:firstLine="851"/>
        <w:jc w:val="both"/>
      </w:pPr>
      <w:r>
        <w:t xml:space="preserve">S-a făcut referatul cauzei de către grefierul de şedinţă, după care: </w:t>
      </w:r>
    </w:p>
    <w:p w:rsidR="00FF79D9" w14:paraId="3FA497E8" w14:textId="77777777">
      <w:pPr>
        <w:ind w:firstLine="851"/>
        <w:jc w:val="both"/>
      </w:pPr>
      <w:r>
        <w:rPr>
          <w:rStyle w:val="Fontdeparagrafimplicit"/>
          <w:b/>
        </w:rPr>
        <w:t>Apărătorul ales al intimatului petent</w:t>
      </w:r>
      <w:r>
        <w:t>, în temeiul art. 475 Cod de procedură penală, solicită sesizarea Înaltei Curţi de Casaţie şi Justiţie cu următoarea chestiune de drept:”</w:t>
      </w:r>
      <w:r>
        <w:rPr>
          <w:rStyle w:val="Fontdeparagrafimplicit"/>
          <w:i/>
        </w:rPr>
        <w:t>dacă în cazul unei obligaţii facultative dispusă în baza art. 86 ind. 3 alin. 3 vechi Cod penal, aceasta poate să fie modificată în raport de disp. art. 87 şi 95 din noul Cod penal şi a disp. Legii nr. 253/2015 – şi face referire la art. 57 alin.2 rap. la art. 48”;</w:t>
      </w:r>
      <w:r>
        <w:t xml:space="preserve"> la acest termen de judecată depune la dosar cererea mai sus formulată, în formă scrisă.</w:t>
      </w:r>
    </w:p>
    <w:p w:rsidR="00FF79D9" w14:paraId="28647DC5" w14:textId="77777777">
      <w:pPr>
        <w:ind w:firstLine="851"/>
        <w:jc w:val="both"/>
      </w:pPr>
      <w:r>
        <w:t>În susţinerea cererii, arată următoarele:</w:t>
      </w:r>
    </w:p>
    <w:p w:rsidR="00FF79D9" w14:paraId="3239A3EB" w14:textId="77777777">
      <w:pPr>
        <w:ind w:firstLine="851"/>
        <w:jc w:val="both"/>
      </w:pPr>
      <w:r>
        <w:t>Pe admisibilitatea acestea, solicită să se constate că sunt îndeplinite, în întregime, condiţiile prev. de art. 475 Cod de procedură penală; judecătorul fondului a dispus admiterea cererii petentului şi modificarea, în sensul înlăturării obligaţiei impusă petentului de a nu-şi schimba reşedinţa fără acordul instanţei.</w:t>
      </w:r>
    </w:p>
    <w:p w:rsidR="00FF79D9" w14:paraId="68522E6F" w14:textId="77777777">
      <w:pPr>
        <w:ind w:firstLine="851"/>
        <w:jc w:val="both"/>
      </w:pPr>
      <w:r>
        <w:t>În cadrul contestaţiei parchetului se arată, în mod clar, că cererea formulată de către petent este inadmisibilă, întrucât nu se poate înlătura ori modifica o obligaţie stabilită printr-o hotărâre pronunţată în baza dispoziţiilor vechiului Cod penal, având în vedere dispoziţiile noului Cod penal şi a Legii nr. 253/2015.</w:t>
      </w:r>
    </w:p>
    <w:p w:rsidR="00FF79D9" w14:paraId="33CC3DC7" w14:textId="3E83D18A">
      <w:pPr>
        <w:ind w:firstLine="851"/>
        <w:jc w:val="both"/>
      </w:pPr>
      <w:r>
        <w:t>Solicită să se constate că în motivarea contestaţiei formulate parchetul nu indică niciun text legal ci doar două întâlniri ale magistraţilor Înaltei Curţi de Casaţie şi Justiţie şi ai Curţii de Apel                 ; arată că cele discutate la astfel de întruniri nu au caracter de lege şi apreciază că niciodată vreun judecător nu îşi va motiva hotărârea invocând nişte întruniri ale magistraţilor.</w:t>
      </w:r>
    </w:p>
    <w:p w:rsidR="00FF79D9" w14:paraId="3D6AD2E2" w14:textId="77777777">
      <w:pPr>
        <w:ind w:firstLine="851"/>
        <w:jc w:val="both"/>
      </w:pPr>
      <w:r>
        <w:t>Aşa fiind, dacă acesta este motivul pe care îl invocă parchetul în contestaţie, şi anume că s-a stabilit la întrunirile magistraţilor că nu se pot aplica aceste texte de lege la o cerere de modificare a obligaţiilor, în aprecierea apărării, este nevoie de răspunsul Înaltei Curţi de Casaţie şi Justiţie; solicită să se constate că în ceea ce priveşte interpretarea art. 16 din Legea nr. 187/2012, parchetul face referire doar la respectivele întruniri.</w:t>
      </w:r>
    </w:p>
    <w:p w:rsidR="00FF79D9" w14:paraId="46290EE7" w14:textId="77777777">
      <w:pPr>
        <w:ind w:firstLine="851"/>
        <w:jc w:val="both"/>
      </w:pPr>
    </w:p>
    <w:p w:rsidR="00FF79D9" w14:paraId="302D95DA" w14:textId="466FC38B">
      <w:pPr>
        <w:ind w:firstLine="851"/>
        <w:jc w:val="both"/>
      </w:pPr>
      <w:r>
        <w:rPr>
          <w:rStyle w:val="Fontdeparagrafimplicit"/>
          <w:b/>
        </w:rPr>
        <w:t>Reprezentantul Ministerului Public</w:t>
      </w:r>
      <w:r>
        <w:t xml:space="preserve">, cu privire la cererea formulată, apreciază că nu se impune sesizarea Înaltei Curţi de Casaţie şi Justiţie, sens în care solicită respingerea acestei </w:t>
      </w:r>
      <w:r>
        <w:t>solicitări; nu ştie la care întruniri face referire apărarea, însă arată că nici în concluziile procurorului de şedinţă de la Tribunalul                  şi nici în motivele scrise ale contestaţiei nu s-a făcut referire la vreo astfel de întrunire a magistraţilor.</w:t>
      </w:r>
    </w:p>
    <w:p w:rsidR="00FF79D9" w14:paraId="5FDA8F2E" w14:textId="77777777">
      <w:pPr>
        <w:ind w:firstLine="851"/>
        <w:jc w:val="both"/>
      </w:pPr>
      <w:r>
        <w:t>Arată că temeiul legal invocat de către parchet, astfel cum rezultă şi din motivele scrise, sunt disp. art.16 din Legea nr. 187/2012 - legea de punere în aplicare a noului Cod penal; este o chestiune de admisibilitate, o chestiune care priveşte aplicarea greşită a unei legi, chestiune care a fost tranşată deja.</w:t>
      </w:r>
    </w:p>
    <w:p w:rsidR="00FF79D9" w14:paraId="5EB3C062" w14:textId="77777777">
      <w:pPr>
        <w:ind w:firstLine="851"/>
        <w:jc w:val="both"/>
      </w:pPr>
      <w:r>
        <w:rPr>
          <w:rStyle w:val="Fontdeparagrafimplicit"/>
          <w:b/>
        </w:rPr>
        <w:t xml:space="preserve">Apărătorul ales al intimatului petent, </w:t>
      </w:r>
      <w:r>
        <w:rPr>
          <w:rStyle w:val="Fontdeparagrafimplicit"/>
          <w:i/>
        </w:rPr>
        <w:t>în replică,</w:t>
      </w:r>
      <w:r>
        <w:t xml:space="preserve"> arată că la pag. 3 şi 4 din contestaţia parchetului (penultimul alin. de la pag. 3 şi primele alineate de la pag. 4) în care se face referire la respectivele întruniri ale magistraţilor.</w:t>
      </w:r>
    </w:p>
    <w:p w:rsidR="00FF79D9" w14:paraId="30E8664A" w14:textId="77777777">
      <w:pPr>
        <w:ind w:firstLine="851"/>
        <w:jc w:val="both"/>
        <w:rPr>
          <w:rStyle w:val="Fontdeparagrafimplicit"/>
          <w:b/>
          <w:i/>
        </w:rPr>
      </w:pPr>
      <w:r>
        <w:rPr>
          <w:rStyle w:val="Fontdeparagrafimplicit"/>
          <w:b/>
          <w:i/>
        </w:rPr>
        <w:t>Curtea, având în vedere disp. art. 475 Cod de procedură penală, nu apreciază necesar sesizarea Înaltei Curţi de Casaţie si Justiţie din perspectiva faptului că aceste norme, în optica instanţei, nu suscită nici un fel de interpretări tocmai în interpretarea art. 16 din Legea nr. 187/2012 - legea de punere în aplicare a noului Cod penal; în atare situaţie apreciază ca inadmisibilă cererea apărătorului ales al intimatului – petent, de sesizare a Înaltei Curţi de Casaţie si Justiţie.</w:t>
      </w:r>
    </w:p>
    <w:p w:rsidR="00FF79D9" w14:paraId="5EA8F3EE" w14:textId="77777777">
      <w:pPr>
        <w:ind w:firstLine="851"/>
        <w:jc w:val="both"/>
        <w:rPr>
          <w:rStyle w:val="Fontdeparagrafimplicit"/>
          <w:b/>
        </w:rPr>
      </w:pPr>
      <w:r>
        <w:rPr>
          <w:rStyle w:val="Fontdeparagrafimplicit"/>
          <w:b/>
        </w:rPr>
        <w:t>Nefiind alte cereri de formulat ori excepţii de invocat, Curtea constată cauza în stare de judecată şi acordă cuvântul în dezbateri.</w:t>
      </w:r>
    </w:p>
    <w:p w:rsidR="00FF79D9" w14:paraId="12A2E381" w14:textId="42F55085">
      <w:pPr>
        <w:ind w:firstLine="851"/>
        <w:jc w:val="both"/>
      </w:pPr>
      <w:r>
        <w:rPr>
          <w:rStyle w:val="Fontdeparagrafimplicit"/>
          <w:b/>
        </w:rPr>
        <w:t>Reprezentantul Ministerului Public</w:t>
      </w:r>
      <w:r>
        <w:t xml:space="preserve"> arată că prin contestaţia formulată critică hotărârea Tribunalului                 </w:t>
      </w:r>
      <w:r>
        <w:rPr>
          <w:rStyle w:val="Fontdeparagrafimplicit"/>
          <w:b/>
        </w:rPr>
        <w:t xml:space="preserve"> </w:t>
      </w:r>
      <w:r>
        <w:t>ca fiind nelegală sub aspectul greşitei înlăturări a obligaţiei de a nu schimba reşedinţa decât cu încuviinţarea instanţei; în esenţă, faţă de conţinutul art. 16 din legea de punere in aplicare a noului Cod penal, Legea nr. 187/2012, care a statuat că pedeapsa cu suspendare aplicată în baza Codului penal vechi se menţine şi după intrarea în noului Cod penal, şi faţă de faptul că vechile dispoziţii nu permiteau posibilitatea modificării obligaţiilor, apreciază hotărârea instanţei de fond ca fiind nelegală.</w:t>
      </w:r>
    </w:p>
    <w:p w:rsidR="00FF79D9" w14:paraId="0DFE90E0" w14:textId="77777777">
      <w:pPr>
        <w:ind w:firstLine="851"/>
        <w:jc w:val="both"/>
      </w:pPr>
      <w:r>
        <w:t>Chiar dacă s-ar aprecia că o asemenea cerere este admisibilă, în sensul modificării obligaţiei care vizează interdicţia schimbării locuinţei, nu poate să fie omis faptul că aceste obligaţii au fost stabilite raportat la particularităţile speţei în raport de natura infracţiunii săvârşite, persoana inculpatului; permisiunea stabilirii unei alte reşedinţe, unui alt domiciliu pe teritoriul altui stat, în mod evident, ar îngreuna rolul Serviciul de Probaţiune şi posibilitatea de supraveghere a inculpatului.</w:t>
      </w:r>
    </w:p>
    <w:p w:rsidR="00FF79D9" w14:paraId="7A08A003" w14:textId="07E1036A">
      <w:pPr>
        <w:ind w:firstLine="851"/>
        <w:jc w:val="both"/>
        <w:rPr>
          <w:rStyle w:val="Fontdeparagrafimplicit"/>
          <w:b/>
        </w:rPr>
      </w:pPr>
      <w:r>
        <w:t>În consecinţă, în raport cu toate aceste considerente, pune concluzii de admitere a contestaţiei şi respingerea cererii petentului, de modificare a obligaţiei care i-a fost impusă prin sentinţa penală nr. 4/2011 , în sensul înlăturării interdicţiei de s-şi schimba reşedinţa</w:t>
      </w:r>
      <w:r>
        <w:rPr>
          <w:rStyle w:val="Fontdeparagrafimplicit"/>
          <w:b/>
        </w:rPr>
        <w:t>.</w:t>
      </w:r>
    </w:p>
    <w:p w:rsidR="00FF79D9" w14:paraId="37EF8D99" w14:textId="77777777">
      <w:pPr>
        <w:ind w:firstLine="851"/>
        <w:jc w:val="both"/>
      </w:pPr>
      <w:r>
        <w:rPr>
          <w:rStyle w:val="Fontdeparagrafimplicit"/>
          <w:b/>
        </w:rPr>
        <w:t>Apărătorul ales al contestatorului condamnat</w:t>
      </w:r>
      <w:r>
        <w:t>, ca şi chestiune prealabilă, arată că hotărârea instanţei de fond are două menţiuni – pe care parchetul le apreciază ca fiind contradictorii; arară că reprezentantul Ministerului Public nu a precizat dacă susţine şi această parte a contestaţiei formulate.</w:t>
      </w:r>
    </w:p>
    <w:p w:rsidR="00FF79D9" w14:paraId="7C17FFD1" w14:textId="77777777">
      <w:pPr>
        <w:ind w:firstLine="851"/>
        <w:jc w:val="both"/>
      </w:pPr>
      <w:r>
        <w:t>În cadrul contestaţiei, parchetul susţine că este greşită hotărârea instanţei de fond şi sub aspectul contradictorialităţii în sensul că nu se poate, prin aceeaşi hotărâre, să se dispună şi înlăturarea obligaţiei de a-şi stabili o altă reşedinţă fără acordul instanţei şi, în acelaşi timp, judecătorul să dispună şi permisiunea de a-şi stabili petentul reşedinţă pe teritoriul unui alt stat. Sub acest aspect apreciază necesar ca reprezentantul ministerului public să precizeze dacă îşi menţine acest capăt al contestaţiei.</w:t>
      </w:r>
    </w:p>
    <w:p w:rsidR="00FF79D9" w14:paraId="3FBE01F1" w14:textId="77777777">
      <w:pPr>
        <w:ind w:firstLine="851"/>
        <w:jc w:val="both"/>
      </w:pPr>
      <w:r>
        <w:rPr>
          <w:rStyle w:val="Fontdeparagrafimplicit"/>
          <w:b/>
        </w:rPr>
        <w:t>Reprezentantul Ministerului Public,</w:t>
      </w:r>
      <w:r>
        <w:t xml:space="preserve"> astfel cum rezultă şi din motivele scrise ale contestaţiei, apreciază că nu este oportună această modificare a obligaţiilor impuse petentului, în sensul modificării stabilirii domiciliului pe teritoriul altui stat.</w:t>
      </w:r>
    </w:p>
    <w:p w:rsidR="00FF79D9" w14:paraId="775D4EB1" w14:textId="77777777">
      <w:pPr>
        <w:ind w:firstLine="851"/>
        <w:jc w:val="both"/>
      </w:pPr>
      <w:r>
        <w:rPr>
          <w:rStyle w:val="Fontdeparagrafimplicit"/>
          <w:b/>
        </w:rPr>
        <w:t xml:space="preserve">Apărătorul ales al intimatului petent, </w:t>
      </w:r>
      <w:r>
        <w:t xml:space="preserve">referitor la primul aspect invocat în contestaţia parchetului, arată că disp. art. 16 din Legea nr. 187/2012 – dispoziţii pe care le invocă parchetul – în aprecierea apărării, nu sunt aplicabile în cauză; solicită să se constate că la art.16 din Legea nr. 187/2012 se arată în mod clar că măsura suspendări sub supraveghere stabilită în baza vechiului Cod penal se menţine. Solicită să se constate că nici apărarea şi nici judecătorul fondului nu au </w:t>
      </w:r>
      <w:r>
        <w:t>susţinut că această obligaţie nu se menţine; judecătorul fondului, aplicând dispoziţiile noii legi, a transpus această lege (care îi permită să modifice obligaţiile impuse inculpaţilor).</w:t>
      </w:r>
    </w:p>
    <w:p w:rsidR="00FF79D9" w14:paraId="51A0DBD4" w14:textId="77777777">
      <w:pPr>
        <w:ind w:firstLine="851"/>
        <w:jc w:val="both"/>
      </w:pPr>
      <w:r>
        <w:t>Este de reţinut, astfel cum rezultă din hotărârea judecătorească prin care petentului în cauză i s-au impus aceste obligaţii, că acesta este obligat să anunţe organul de supraveghere ori de câte ori îşi modifică reşedinţa.</w:t>
      </w:r>
    </w:p>
    <w:p w:rsidR="00FF79D9" w14:paraId="231E33DA" w14:textId="77777777">
      <w:pPr>
        <w:ind w:firstLine="851"/>
        <w:jc w:val="both"/>
      </w:pPr>
      <w:r>
        <w:t>Aşa fiind, în aprecierea apărării, contestaţia parchetului este nefondată şi solicită respingerea acesteia, ca atare;</w:t>
      </w:r>
    </w:p>
    <w:p w:rsidR="00FF79D9" w14:paraId="58B7F1E2" w14:textId="77777777">
      <w:pPr>
        <w:ind w:firstLine="851"/>
        <w:jc w:val="both"/>
      </w:pPr>
      <w:r>
        <w:t>În ceea ce priveşte cea de-a doua solicitare, în sensul că există contradictorialitate între soluţia principală, de înlăturare a obligaţiei petentului de a nu-şi schimba reşedinţa şi soluţia subsidiară, de permisiune faţă de acesta de a-şi alege reşedinţa în Luxemburg, în aprecierea apărării, nu există contradictorialitate.</w:t>
      </w:r>
    </w:p>
    <w:p w:rsidR="00FF79D9" w14:paraId="23C75414" w14:textId="77777777">
      <w:pPr>
        <w:ind w:firstLine="851"/>
        <w:jc w:val="both"/>
      </w:pPr>
      <w:r>
        <w:t>Arată că intimatul petent, în prezent, se află în Luxemburg, unde munceşte; dacă nu i se permite să îşi schimbe reşedinţa îşi va pierde locul de muncă. Este de reţinut şi referatul consilierului de probaţiunea care arată că intimatul este un model, se prezintă de fiecare dată.</w:t>
      </w:r>
    </w:p>
    <w:p w:rsidR="00FF79D9" w14:paraId="30F1491A" w14:textId="0B1ED823">
      <w:pPr>
        <w:ind w:firstLine="851"/>
        <w:jc w:val="both"/>
      </w:pPr>
      <w:r>
        <w:t xml:space="preserve">În ceea ce priveşte cea de-a treia solicitare/observaţie pe care o face parchetul în cadrul contestaţiei, şi anume că şi în situaţia în care se va trece peste motivele de admisibilitate ale cererii petentului şi se va constata că aceasta este admisibilă şi că dispoziţiile invocate de parchet, respectiv disp. art. 16 din Legea nr. 187/2012, nu sunt aplicabile în speţă – susţine parchetul că nu s-ar impune permisiunea ca petentul să îşi modifice reşedinţa  fără acordul instanţei întrucât ar exista riscuri; solicită să se constate, astfel cum rezultă şi din înscrisurile pe care le-a depus la dosar, că petentul de mai bine de 4 ani munceşte în afara ţării (a lucrat, cu contract de muncă, în </w:t>
      </w:r>
      <w:r w:rsidR="004C71E3">
        <w:t xml:space="preserve">S </w:t>
      </w:r>
      <w:r>
        <w:t>, Italia). Arată că nu există niciun risc ca odată ce îşi modifică reşedinţa să se sustragă.</w:t>
      </w:r>
    </w:p>
    <w:p w:rsidR="00FF79D9" w14:paraId="338E2903" w14:textId="77777777">
      <w:pPr>
        <w:ind w:firstLine="851"/>
        <w:jc w:val="both"/>
      </w:pPr>
      <w:r>
        <w:t>În consecinţă, în raport cu toate aceste considerente şi concluziile formulate în scris şi depuse la dosar, solicită respingerea contestaţiei formulate de către parchet, ca neîntemeiată.</w:t>
      </w:r>
    </w:p>
    <w:p w:rsidR="00FF79D9" w14:paraId="6FC82543" w14:textId="77777777"/>
    <w:p w:rsidR="00FF79D9" w14:paraId="6C4A7EFD" w14:textId="77777777"/>
    <w:p w:rsidR="00FF79D9" w14:paraId="00F68F4C" w14:textId="77777777">
      <w:pPr>
        <w:jc w:val="center"/>
        <w:rPr>
          <w:rStyle w:val="Fontdeparagrafimplicit"/>
          <w:b/>
        </w:rPr>
      </w:pPr>
      <w:r>
        <w:rPr>
          <w:rStyle w:val="Fontdeparagrafimplicit"/>
          <w:b/>
        </w:rPr>
        <w:t>C U R T E A,</w:t>
      </w:r>
    </w:p>
    <w:p w:rsidR="00FF79D9" w14:paraId="0DE412EE" w14:textId="77777777">
      <w:pPr>
        <w:rPr>
          <w:rStyle w:val="Fontdeparagrafimplicit"/>
        </w:rPr>
      </w:pPr>
    </w:p>
    <w:p w:rsidR="00FF79D9" w14:paraId="01B6F069" w14:textId="77777777">
      <w:pPr>
        <w:rPr>
          <w:rStyle w:val="Fontdeparagrafimplicit"/>
        </w:rPr>
      </w:pPr>
    </w:p>
    <w:p w:rsidR="00FF79D9" w14:paraId="623190BF" w14:textId="77777777">
      <w:pPr>
        <w:ind w:firstLine="851"/>
        <w:jc w:val="both"/>
      </w:pPr>
      <w:r>
        <w:t>Deliberând asupra contestaţiei de faţă, constată următoarele:</w:t>
      </w:r>
    </w:p>
    <w:p w:rsidR="00FF79D9" w14:paraId="228AD21C" w14:textId="1C7CEB0B">
      <w:pPr>
        <w:ind w:firstLine="851"/>
        <w:jc w:val="both"/>
        <w:rPr>
          <w:rStyle w:val="Fontdeparagrafimplicit"/>
          <w:i/>
        </w:rPr>
      </w:pPr>
      <w:r>
        <w:rPr>
          <w:rStyle w:val="Fontdeparagrafimplicit"/>
          <w:b/>
        </w:rPr>
        <w:t>Prin sentinţa penală nr. 2</w:t>
      </w:r>
      <w:r>
        <w:t>, pronunţată de Tribunalul                  – Secţia  , a fost admisă cererea formulată de către petentul-condamnat 3  [</w:t>
      </w:r>
      <w:r>
        <w:rPr>
          <w:rStyle w:val="Fontdeparagrafimplicit"/>
          <w:i/>
        </w:rPr>
        <w:t>domiciliat în                 , str.  , nr.  , et. , apartament  , CNP  , cu domiciliul ales pentru comunicarea actelor de procedură la Cabinet de Avocatură   -                 , B-dul  ,  , prin avocat  ].</w:t>
      </w:r>
    </w:p>
    <w:p w:rsidR="00FF79D9" w14:paraId="42AB3F62" w14:textId="19786226">
      <w:pPr>
        <w:ind w:firstLine="851"/>
        <w:jc w:val="both"/>
      </w:pPr>
      <w:r>
        <w:t>În baza art.95 C.p., a fost modificată obligaţia impusă petentului-condamnat prin Sentinţa penală nr.4/2011 , pronunţată în dosar nr.5//2011 a Tribunalului                 – Secţia  , în sensul înlăturării interdicţiei acestuia de a îşi schimba reşedinţa numai cu acordul instanţei.</w:t>
      </w:r>
    </w:p>
    <w:p w:rsidR="00FF79D9" w14:paraId="3EAB69D2" w14:textId="00433DC3">
      <w:pPr>
        <w:ind w:firstLine="851"/>
        <w:jc w:val="both"/>
      </w:pPr>
      <w:r>
        <w:t>S-a permis petentului-condamnat să îşi aleagă reşedinţa în imobilul situat în Statul  , L- .</w:t>
      </w:r>
    </w:p>
    <w:p w:rsidR="00FF79D9" w14:paraId="51076140" w14:textId="77777777">
      <w:pPr>
        <w:ind w:firstLine="708"/>
        <w:jc w:val="both"/>
        <w:rPr>
          <w:rStyle w:val="Fontdeparagrafimplicit"/>
        </w:rPr>
      </w:pPr>
      <w:r>
        <w:t xml:space="preserve">Pentru a pronunţa această sentinţă, Tribunalul - </w:t>
      </w:r>
      <w:r>
        <w:rPr>
          <w:rStyle w:val="Fontdeparagrafimplicit"/>
          <w:b/>
        </w:rPr>
        <w:t>examinând actele şi lucrările dosarului - a apreciat ca întemeiată cererea formulată de către petentul-condamnat considerentele avute în vedere fiind următoarele:</w:t>
      </w:r>
    </w:p>
    <w:p w:rsidR="00FF79D9" w14:paraId="232AA46D" w14:textId="628B86D9">
      <w:pPr>
        <w:ind w:firstLine="708"/>
        <w:jc w:val="both"/>
      </w:pPr>
      <w:r>
        <w:t>Prin sentinţa penală nr.      din    2011, pronunţată de Tribunalul                  - Secţia     , în dosarul nr. 5//2011, s-au dispus, cu privire la  condamnatul 3 , următoarele:</w:t>
      </w:r>
    </w:p>
    <w:p w:rsidR="00FF79D9" w14:paraId="35F2AAB6" w14:textId="5325CE13">
      <w:pPr>
        <w:ind w:firstLine="708"/>
        <w:jc w:val="both"/>
      </w:pPr>
      <w:r>
        <w:t>„2. In baza art. 2 alin. 1 din Legea 143/2000 cu aplicarea art. 320/1 C.pr. pen. condamna pe inculpatul 3 , zis  , fiul lui   si  , ns. la data de   în                 , domiciliat in  , Strada  ,  , cetatean roman, CNP  , la o pedeapsa de 3 (trei) ani inchisoare, pentru săvârşirea infracţiunii de trafic de droguri de risc.</w:t>
      </w:r>
    </w:p>
    <w:p w:rsidR="00FF79D9" w14:paraId="398BDC0A" w14:textId="77777777">
      <w:pPr>
        <w:ind w:firstLine="708"/>
        <w:jc w:val="both"/>
      </w:pPr>
      <w:r>
        <w:t>In baza art. 65 alin.2 C.pen. interzice aceluiasi inculpat exercitiul drepturilor prevazute la art. 64 lit. a teza a II-a si b C.pen., pe o durata de 5 (cinci) ani, dupa executarea sau considerarea ca executata a pedepsei principale aplicate.</w:t>
      </w:r>
    </w:p>
    <w:p w:rsidR="00FF79D9" w14:paraId="45852FE4" w14:textId="77777777">
      <w:pPr>
        <w:ind w:firstLine="708"/>
        <w:jc w:val="both"/>
      </w:pPr>
      <w:r>
        <w:t>Face aplicare art. 71-64 lit. a teza a II-a si b C.pen.</w:t>
      </w:r>
    </w:p>
    <w:p w:rsidR="00FF79D9" w14:paraId="218B29E0" w14:textId="77777777">
      <w:pPr>
        <w:ind w:firstLine="708"/>
        <w:jc w:val="both"/>
      </w:pPr>
      <w:r>
        <w:t xml:space="preserve">Constata ca inculpatul a fost retinut si arestat preventiv in cauză de la data de 13.04.2011 la data de 21.04.2011 inclusiv. </w:t>
      </w:r>
    </w:p>
    <w:p w:rsidR="00FF79D9" w14:paraId="72D24D5D" w14:textId="77777777">
      <w:pPr>
        <w:ind w:firstLine="708"/>
        <w:jc w:val="both"/>
      </w:pPr>
      <w:r>
        <w:t>In baza art. 86/1-86/2 C.pen. suspenda executarea pedepsei aplicate, sub supraveghere, pe o durata de 8 (opt) ani termen de încercare.</w:t>
      </w:r>
    </w:p>
    <w:p w:rsidR="00FF79D9" w14:paraId="08EEE492" w14:textId="77777777">
      <w:pPr>
        <w:ind w:firstLine="708"/>
        <w:jc w:val="both"/>
      </w:pPr>
      <w:r>
        <w:t>In baza art. 86/3 alin.1 C.pen., pe durata termenului de încercare, inculpatul trebuie sa se supuna urmatoarelor masuri de supraveghere:</w:t>
      </w:r>
    </w:p>
    <w:p w:rsidR="00FF79D9" w14:paraId="4FC36B36" w14:textId="77777777">
      <w:pPr>
        <w:ind w:firstLine="708"/>
        <w:jc w:val="both"/>
      </w:pPr>
      <w:r>
        <w:t>a. sa se prezinte, la datele fixate, la Serviciul de probatiune desemnat cu supravegherea;</w:t>
      </w:r>
    </w:p>
    <w:p w:rsidR="00FF79D9" w14:paraId="16F4DCF9" w14:textId="77777777">
      <w:pPr>
        <w:ind w:firstLine="851"/>
        <w:jc w:val="both"/>
      </w:pPr>
      <w:r>
        <w:t>b. sa anunte, in prealabil, orice schimbare de domiciliu, resedinta sau locuinta si orice deplasare care depaseste 8 (opt) zile, precum si intoarcerea;</w:t>
      </w:r>
    </w:p>
    <w:p w:rsidR="00FF79D9" w14:paraId="4ACDF494" w14:textId="77777777">
      <w:pPr>
        <w:ind w:firstLine="851"/>
        <w:jc w:val="both"/>
      </w:pPr>
      <w:r>
        <w:t>c .sa comunice si sa justifice schimbarea locului de munca;</w:t>
      </w:r>
    </w:p>
    <w:p w:rsidR="00FF79D9" w14:paraId="5A2CAD7A" w14:textId="77777777">
      <w:pPr>
        <w:ind w:firstLine="851"/>
        <w:jc w:val="both"/>
      </w:pPr>
      <w:r>
        <w:t>d. sa comunice informatii de natura a putea fi controlate mijloacele lui de existenta.</w:t>
      </w:r>
    </w:p>
    <w:p w:rsidR="00FF79D9" w14:paraId="7F0807BE" w14:textId="77777777">
      <w:pPr>
        <w:ind w:firstLine="708"/>
        <w:jc w:val="both"/>
      </w:pPr>
      <w:r>
        <w:t>In baza art. 86/3 alin. 3 C.pen., pe durata termenului de incercare, inculpatul trebuie sa se supuna in plus si  urmatoarelor masuri de supraveghere:</w:t>
      </w:r>
    </w:p>
    <w:p w:rsidR="00FF79D9" w14:paraId="721E0FD6" w14:textId="77777777">
      <w:pPr>
        <w:numPr>
          <w:ilvl w:val="0"/>
          <w:numId w:val="1"/>
        </w:numPr>
        <w:jc w:val="both"/>
      </w:pPr>
      <w:r>
        <w:t>sa nu schimbe domiciliul sau resedinta avuta, decat cu incuviintarea instantei;</w:t>
      </w:r>
    </w:p>
    <w:p w:rsidR="00FF79D9" w14:paraId="065282DA" w14:textId="77777777">
      <w:pPr>
        <w:numPr>
          <w:ilvl w:val="0"/>
          <w:numId w:val="1"/>
        </w:numPr>
        <w:jc w:val="both"/>
      </w:pPr>
      <w:r>
        <w:t>sa nu intre in legatura cu persoane cunoscute ca fiind consumatoare, detinatoare sau care se ocupa cu orice alte operatiuni privind circulatia drogurilor;</w:t>
      </w:r>
    </w:p>
    <w:p w:rsidR="00FF79D9" w14:paraId="26728D49" w14:textId="77777777">
      <w:pPr>
        <w:numPr>
          <w:ilvl w:val="0"/>
          <w:numId w:val="1"/>
        </w:numPr>
        <w:jc w:val="both"/>
      </w:pPr>
      <w:r>
        <w:t>sa se supuna periodic masurilor de control , tratament sau ingrijire, in scopul dezintoxicarii.</w:t>
      </w:r>
    </w:p>
    <w:p w:rsidR="00FF79D9" w14:paraId="13A2E3D1" w14:textId="27C8B5CD">
      <w:pPr>
        <w:ind w:firstLine="708"/>
        <w:jc w:val="both"/>
      </w:pPr>
      <w:r>
        <w:t>In baza art. 86/3 alin.4 C.pen. incredinteaza supravegherea inculpatului Serviciului de Probatiune de pe langa Tribunalul                 .</w:t>
      </w:r>
    </w:p>
    <w:p w:rsidR="00FF79D9" w14:paraId="6B0A888A" w14:textId="77777777">
      <w:pPr>
        <w:ind w:firstLine="708"/>
        <w:jc w:val="both"/>
      </w:pPr>
      <w:r>
        <w:t>Atrage atentia inculpatului asupra consecintelor nerespectarii obligatiilor impuse, conform  art. 86/3 alin. 4, teza finala, C.pen. si art. 86/4 C.pen.</w:t>
      </w:r>
    </w:p>
    <w:p w:rsidR="00FF79D9" w14:paraId="0E24F824" w14:textId="77777777">
      <w:pPr>
        <w:ind w:firstLine="708"/>
        <w:jc w:val="both"/>
      </w:pPr>
      <w:r>
        <w:t>In baza art. 71 alin.5 C.pen. suspenda executarea pedepsei accesorii prevazuta de art. 64 lit. a teza a II-a si b C.pen., pe durata suspendarii sub supraveghere a executarii pedepsei”.</w:t>
      </w:r>
    </w:p>
    <w:p w:rsidR="00FF79D9" w14:paraId="3B504708" w14:textId="482317E3">
      <w:pPr>
        <w:ind w:firstLine="708"/>
        <w:jc w:val="both"/>
      </w:pPr>
      <w:r>
        <w:t>A arătat Tribunalul că, în raport cu prevederile Noului Cod penal, respectiv art.95 alin. 1 Cod penal, pe parcursul termenului de supraveghere instanţa poate dispune modificarea obligaţiilor impuse condamnatului ori, în condiţiile în care acesta a făcut dovada unui loc de muncă pe teritoriul statului                 , conform unui contract de muncă pe perioadă nedeterminată (anexat la dosar), precum şi a unui contract de închiriere, prima instanţă a apreciat că scopul educativ şi preventiv al pedepsei aplicate inculpatului poate fi atins prin permisiunea acordată acestuia de a-şi stabili reşedinţa în                 , reşedinţă care poate deschide noi perspective nu numai în menţinerea locului de muncă, ci chiar în obţinerea unei promovări sau avansări sau integrări la locul său de muncă.</w:t>
      </w:r>
    </w:p>
    <w:p w:rsidR="00FF79D9" w14:paraId="11C1E277" w14:textId="77777777">
      <w:pPr>
        <w:ind w:firstLine="851"/>
        <w:jc w:val="both"/>
      </w:pPr>
      <w:r>
        <w:t>Prima instanţă a pus în vedere inculpatului că trebuie să respecte în continuare celelalte obligaţii impuse prin hotărârea de condamnare şi să respecte întocmai programul fixat de către Serviciul de Probaţiune.</w:t>
      </w:r>
    </w:p>
    <w:p w:rsidR="00FF79D9" w14:paraId="56199990" w14:textId="6457922F">
      <w:pPr>
        <w:ind w:firstLine="851"/>
        <w:jc w:val="both"/>
      </w:pPr>
      <w:r>
        <w:rPr>
          <w:rStyle w:val="Fontdeparagrafimplicit"/>
          <w:b/>
        </w:rPr>
        <w:t>Împotriva acestei sentinţe</w:t>
      </w:r>
      <w:r>
        <w:t xml:space="preserve">, în termen legal, a formulat contestaţie </w:t>
      </w:r>
      <w:r>
        <w:rPr>
          <w:rStyle w:val="Fontdeparagrafimplicit"/>
          <w:b/>
        </w:rPr>
        <w:t>Parchetul de pe lângă Înalta Curte de Casaţie si Justiţie – Direcţia de Investigare a Infracţiunilor de Criminalitate Organizată şi Terorism</w:t>
      </w:r>
      <w:r>
        <w:t xml:space="preserve"> -  , criticând-o pentru nelegalitate, în esenţă, sub aspectul greşitei înlăturări a obligaţiei de a nu schimba reşedinţa decât cu încuviinţarea instanţei.</w:t>
      </w:r>
    </w:p>
    <w:p w:rsidR="00FF79D9" w14:paraId="2F251B34" w14:textId="465F6F8E">
      <w:pPr>
        <w:spacing w:before="14"/>
        <w:ind w:firstLine="851"/>
        <w:jc w:val="both"/>
      </w:pPr>
      <w:r>
        <w:t>În motivare s-a arătat că prin sent. pen. 4/2011 , rămasă definitivă prin neapelare, Tribunalul                  - Secţia   a dispus condamnarea petentului 3  la o pedeapsă de 3 ani închisoare, cu suspendare sub supraveghere, pe termen maxim de 8 ani de la rămânerea definitivă a hotărârii, stabilind printre obligaţii şi pe aceea de a nu schimba domiciliul sau reşedinţa avută, fără încuviinţarea instanţei de judecată, tocmai în considerarea persoanei condamnatului şi a laturii faptei săvârşite, de trafic de droguri de risc, pentru a nu intra în contact cu alte persoane care ;ă-l influenţeze pe linie infracţională, fiind posibil să aibă un anturaj în care să se consume droguri.</w:t>
      </w:r>
    </w:p>
    <w:p w:rsidR="00FF79D9" w14:paraId="3D917754" w14:textId="77777777">
      <w:pPr>
        <w:ind w:firstLine="851"/>
        <w:jc w:val="both"/>
      </w:pPr>
      <w:r>
        <w:t>S-a arătat că pedeapsa cu suspendare sub supraveghere a fost aplicată în temeiul ochiului Cod penal care nu prevedea posibilitatea modificării obligaţiilor stabilite în condiţiile art. 86 ind. 3 Cp. 1969 (Legea 275/2006 de executare a pedepselor în cadrul dispoziţiilor art. 8-10 nu prevede această posibilitate).</w:t>
      </w:r>
    </w:p>
    <w:p w:rsidR="00FF79D9" w14:paraId="109B9867" w14:textId="77777777">
      <w:pPr>
        <w:ind w:firstLine="851"/>
        <w:jc w:val="both"/>
      </w:pPr>
      <w:r>
        <w:t xml:space="preserve">Dispoziţiile art. 16 din Legea de punere în aplicare a noului Cod penal sunt clare, statuând că pedeapsa cu suspendare sub supraveghere dispusă în baza Codului penal din 1969 se menţine și </w:t>
      </w:r>
      <w:r>
        <w:t>după intrarea în vigoare a Noului Cod penal până la expirarea termenului de supraveghere stabilit prin hotărârea definitivă de condamnare.</w:t>
      </w:r>
    </w:p>
    <w:p w:rsidR="00FF79D9" w14:paraId="3C325473" w14:textId="77777777">
      <w:pPr>
        <w:ind w:firstLine="851"/>
        <w:jc w:val="both"/>
      </w:pPr>
      <w:r>
        <w:t>Față de cadrul legislativ, nu poate interveni înlăturarea obligaţiei de a nu schimba reşedinţa, întrucât nu sunt incidente dispoziţiile art. 57 alin.2 rap. la art. 48 din Legea 253/2013 invocate de petent.</w:t>
      </w:r>
    </w:p>
    <w:p w:rsidR="00FF79D9" w14:paraId="71DE9FFC" w14:textId="77777777">
      <w:pPr>
        <w:ind w:firstLine="851"/>
        <w:jc w:val="both"/>
      </w:pPr>
      <w:r>
        <w:t>De asemenea, nu sunt incidente nici dispoziţiile art. 95 alin. 1 Cod penal, temeiul de drept reţinut de instanţă, întrucât, petentul a fost condamnat în baza vechiului Cod penal care nu prevedea posibilitatea modificării obligaţiilor stabilite în condiţiile art. 86 ind. 3 Cod penal 1969, dispoziţiile cuprinse în sentinţa penală de condamnare intrând în puterea de lucru judecat.</w:t>
      </w:r>
    </w:p>
    <w:p w:rsidR="00FF79D9" w14:paraId="04AC6915" w14:textId="77777777">
      <w:pPr>
        <w:ind w:firstLine="851"/>
        <w:jc w:val="both"/>
      </w:pPr>
      <w:r>
        <w:t>Faptul că ulterior rămânerii definitive a hotărârii de condamnare a intrat în vigoare noul Cod penal, nu este de natură să conducă automat la modificarea sau încetarea obligaţiilor stabilite, intenţia legiuitorului în momentul adoptării Legii 253/2013 fiind aceea de a sprijini prin dispoziţiile sale prevederile noului Cod penal. Aşa fiind, Legea 253/2013 apare a fi în legătură indisolubilă cu noul Cod penal, scopul adoptării fiind tocmai explicarea modului de a pune în executare pedepsele, măsurile educative sau alte măsuri neprivative de libertate dispuse de organele judiciare după intrarea în vigoare a noului Cod penal.</w:t>
      </w:r>
    </w:p>
    <w:p w:rsidR="00FF79D9" w14:paraId="6547F8B5" w14:textId="77777777">
      <w:pPr>
        <w:ind w:firstLine="851"/>
        <w:jc w:val="both"/>
      </w:pPr>
      <w:r>
        <w:t xml:space="preserve">Aplicând o instituţie reglementată de Codul nou, art. 95, la o instituţie reglementată de codul vechi, respectiv obligaţiile impuse condamnatului pe vechiul cod - art.86 ind 3, s-a apreciat că instanţa a realizat în mod nepermis </w:t>
      </w:r>
      <w:r>
        <w:rPr>
          <w:rStyle w:val="Fontdeparagrafimplicit"/>
          <w:i/>
        </w:rPr>
        <w:t>o lex tertia, pronunțând o</w:t>
      </w:r>
      <w:r>
        <w:t xml:space="preserve"> hotărâre nelegală.</w:t>
      </w:r>
    </w:p>
    <w:p w:rsidR="00FF79D9" w14:paraId="151D2CCB" w14:textId="77777777">
      <w:pPr>
        <w:spacing w:before="38"/>
        <w:ind w:firstLine="851"/>
        <w:jc w:val="both"/>
      </w:pPr>
      <w:r>
        <w:t xml:space="preserve">Mai mult, din conţinutul minutei privind întâlnirea preşedinţilor secţiilor penale ale Înaltei Curţi de Casaţie şi Justiţie şi curţilor de apel, Târgu Mureş, 29-30 septembrie 2016, problema de drept vizând "Admisibilitatea unei cereri întemeiată pe dispoziţiile art 87 C.pen. sau pe dispoziţiile art. 95 C.pen., în condiţiile în care petentul a fost condamnat în baza dispoziţiilor Codului penal anterior cu suspendarea sub supraveghere a executării pedepsei, fiindu-i impuse anumite măsuri de supraveghere şi obligaţii în baza art. 86 ind. 3 C.pen. anterior" reiese că s-a statuat cu majoritate, că </w:t>
      </w:r>
      <w:r>
        <w:rPr>
          <w:rStyle w:val="Fontdeparagrafimplicit"/>
          <w:u w:val="single"/>
        </w:rPr>
        <w:t xml:space="preserve">regimul suspendării executării pedepsei sub supraveghere aplicată în baza Codului penal anterior se menţine și după data de 1 februarie 2014, până la împlinirea termenului de încercare, potrivit art. 16 alin. (1) din Legea nr. 187/2012, astfel că nu se pot combina dispoziţiile Codului penal anterior cu cele ale noului Cod cât priveşte </w:t>
      </w:r>
      <w:r>
        <w:t>regimul de executare.</w:t>
      </w:r>
    </w:p>
    <w:p w:rsidR="00FF79D9" w14:paraId="1B4C36F3" w14:textId="77777777">
      <w:pPr>
        <w:spacing w:before="5"/>
        <w:ind w:firstLine="851"/>
        <w:jc w:val="both"/>
      </w:pPr>
      <w:r>
        <w:t xml:space="preserve">Hotărârea este nelegală întrucât combină nepermis două instituţii diferite, respectiv, modificarea obligaţiilor, reglementată de art. 95 alin.1 Cp. şi încetarea obligaţiilor, reglementată de art. 95 alin.2, motivele care le fundamentează fiind incompatibile. </w:t>
      </w:r>
    </w:p>
    <w:p w:rsidR="00FF79D9" w14:paraId="55E4BB87" w14:textId="77777777">
      <w:pPr>
        <w:spacing w:before="5"/>
        <w:ind w:firstLine="851"/>
        <w:jc w:val="both"/>
      </w:pPr>
      <w:r>
        <w:t xml:space="preserve">În acest sens, instanţa, pe de o parte, înlătură interdicţia schimbării locuinţei (ceea ce echivalează cu încetarea obligaţiei), iar în următorul paragraf permite schimbarea locuinţei (ceea ce echivalează cu modificarea obligaţiei). </w:t>
      </w:r>
    </w:p>
    <w:p w:rsidR="00FF79D9" w14:paraId="42FB0D2C" w14:textId="77777777">
      <w:pPr>
        <w:ind w:firstLine="851"/>
        <w:jc w:val="both"/>
      </w:pPr>
      <w:r>
        <w:t>În subsidiar, în cazul în care s-ar aprecia că cererea petentului întemeiată pe dispoziţiile noului Cod penal este admisibilă, Parchetul consideră că nu ar fi oportună admiterea sa, câtă vreme instanţa de fond care a pronunţat hotărârea de condamnare a stabilit un termen maxim de supraveghere, cu toate măsurile şi obligaţiile impuse, tocmai în considerarea persoanei condamnatului şi a naturii faptei săvârşite, de trafic de droguri de risc pentru a nu intra în contact cu alte persoane care să-l influenţeze pe linie infracţională, fiind posibil să aibă un anturaj în care să se consume droguri, simplul fapt că şi-a îndeplinit până în acest moment obligaţiile stabilite prin hotărârea de condamnare, nu reprezintă o condiţie suficientă care să conducă la admiterea acestei cereri, cu atât mai mult cu cât termenul de supraveghere urmează a se împlini abia în cursul lunii noiembrie 2019, iar permisiunea stabilirii reşedinţei pe teritoriul altui stat ar putea avea repercusiuni negative şi asupra posibilităţii de supraveghere şi de control din partea Serviciului de Probaţiune.</w:t>
      </w:r>
    </w:p>
    <w:p w:rsidR="00FF79D9" w14:paraId="343536BD" w14:textId="77777777">
      <w:pPr>
        <w:ind w:firstLine="851"/>
        <w:jc w:val="both"/>
        <w:rPr>
          <w:rStyle w:val="Fontdeparagrafimplicit"/>
          <w:b/>
        </w:rPr>
      </w:pPr>
      <w:r>
        <w:rPr>
          <w:rStyle w:val="Fontdeparagrafimplicit"/>
          <w:b/>
        </w:rPr>
        <w:t>Examinând sentinţa contestată prin prisma criticilor formulate, a probelor administrate şi a dispoziţiilor legale ce au incidenţă în soluţionarea cauzei, Curtea reţine următoarele:</w:t>
      </w:r>
    </w:p>
    <w:p w:rsidR="00FF79D9" w14:paraId="7881BDC2" w14:textId="77777777">
      <w:pPr>
        <w:ind w:firstLine="851"/>
        <w:jc w:val="both"/>
      </w:pPr>
      <w:r>
        <w:t xml:space="preserve">În cauză, Curtea reține că petentului i s-a stabilit regimul sancționator în raport de prevederile vechiului Cod penal conform cărora  posibilitatea modificării obligaţiilor stabilite în condiţiile art. 86 ind. 3 Cp. 1969 (Legea 275/2006 de executare a pedepselor în cadrul dispoziţiilor </w:t>
      </w:r>
      <w:r>
        <w:t>art. 8-10 nu prevede această posibilitate) nu putea interveni, o astfel de posibilitate fiind reglementată prin disp. art. 95 alin. 1 Cod penal.</w:t>
      </w:r>
    </w:p>
    <w:p w:rsidR="00FF79D9" w14:paraId="2459B829" w14:textId="77777777">
      <w:pPr>
        <w:ind w:firstLine="851"/>
        <w:jc w:val="both"/>
      </w:pPr>
      <w:r>
        <w:t>Analizând dispozițiile legale incidente, Curtea constată că legiuitorul român nu a reglementat în mod expres și cu titlu de excepție posibilitatea ca aceste norme nou instituite să-și găsească incidența și pentru condamnările cu suspendarea intervenite sub imperiul vechiului cod.</w:t>
      </w:r>
    </w:p>
    <w:p w:rsidR="00FF79D9" w14:paraId="20FAB9F7" w14:textId="77777777">
      <w:pPr>
        <w:ind w:firstLine="851"/>
        <w:jc w:val="both"/>
      </w:pPr>
      <w:r>
        <w:t>Astfel, valorificând disp. art. 16 din Legea de punere în aplicare a noului Cod penal, se reține că pedeapsa cu suspendare sub supraveghere dispusă în baza Codului penal din 1969 se menţine și după intrarea în vigoare a Noului Cod penal până la expirarea termenului de supraveghere stabilit prin hotărârea definitivă de condamnare.</w:t>
      </w:r>
    </w:p>
    <w:p w:rsidR="00FF79D9" w14:paraId="4DBCEDA1" w14:textId="77777777">
      <w:pPr>
        <w:ind w:firstLine="851"/>
        <w:jc w:val="both"/>
      </w:pPr>
      <w:r>
        <w:t>Față de cadrul legislativ, Curtea apreciază că nu poate interveni înlăturarea obligaţiei de a nu schimba reşedinţa, nefiind incidente dispoziţiile art. 57 alin.2 rap. la art. 48 din Legea 253/2013 invocate de petent.</w:t>
      </w:r>
    </w:p>
    <w:p w:rsidR="00FF79D9" w14:paraId="63F51C77" w14:textId="77777777">
      <w:pPr>
        <w:ind w:firstLine="851"/>
        <w:jc w:val="both"/>
      </w:pPr>
      <w:r>
        <w:t xml:space="preserve">Nu pot fi apreciate ca incidente nici dispoziţiile art. 95 alin. 1 Cod penal, temeiul de drept reţinut de instanţă, întrucât, petentul fiind condamnat în baza vechiului Cod penal, cererea acestuia nu poate fi judecată prin raportare la alte norme de drept material. </w:t>
      </w:r>
    </w:p>
    <w:p w:rsidR="00FF79D9" w14:paraId="4D51FF69" w14:textId="77777777">
      <w:pPr>
        <w:ind w:firstLine="851"/>
        <w:jc w:val="both"/>
      </w:pPr>
      <w:r>
        <w:t>În cauză, norma reținută de instanță este una de drept material și nu drept procedural pentru a se putea raporta la conținutul acesteia, o soluție contrară reprezentând, așa cum a învederat contestatorul, o lex tertia.</w:t>
      </w:r>
    </w:p>
    <w:p w:rsidR="00FF79D9" w14:paraId="5DC0347D" w14:textId="77777777">
      <w:pPr>
        <w:ind w:firstLine="851"/>
        <w:jc w:val="both"/>
        <w:rPr>
          <w:rStyle w:val="Fontdeparagrafimplicit"/>
          <w:b/>
        </w:rPr>
      </w:pPr>
      <w:r>
        <w:t>Așadar, atâta timp cât disp. art. 16/ Legea de punere în aplicare a noului Cod penal prevede în mod expres menținerea pedepselor cu suspendare date pe vechiul și după intrarea în vigoare a oului cod, fără a reglementa cu titlu tranzitoriu posibilitatea de a modifica în vreun fel conținutul măsurilor de supraveghere, Curtea apreciază că soluția instanței de fond este nelegală.</w:t>
      </w:r>
    </w:p>
    <w:p w:rsidR="00FF79D9" w14:paraId="31AA74FB" w14:textId="00039C11">
      <w:pPr>
        <w:ind w:firstLine="851"/>
        <w:jc w:val="both"/>
      </w:pPr>
      <w:r>
        <w:t xml:space="preserve">În consecinţă, Curtea, în temeiul disp. art. 425/1 alin. 7 pct. 2 lit. a rap. la art. 16 din Legea nr. 187/2012, va admite contestaţia formulată de </w:t>
      </w:r>
      <w:r>
        <w:rPr>
          <w:rStyle w:val="Fontdeparagrafimplicit"/>
          <w:b/>
        </w:rPr>
        <w:t>Parchetul de pe lângă Înalta Curte de Casaţie si Justiţie – Direcţia de Investigare a Infracţiunilor de Criminalitate Organizată şi Terorism</w:t>
      </w:r>
      <w:r>
        <w:t xml:space="preserve"> -     împotriva sentinţei penale nr. 2 , pronunţată de Tribunalul                 , secţia  , pe care o va desfiinţa şi rejudecând, va respinge ca neîntemeiată  cererea formulată de petentul condamnat 3 .</w:t>
      </w:r>
    </w:p>
    <w:p w:rsidR="00FF79D9" w14:paraId="7356854A" w14:textId="77777777">
      <w:pPr>
        <w:ind w:firstLine="851"/>
        <w:jc w:val="both"/>
      </w:pPr>
      <w:r>
        <w:t xml:space="preserve">În temeiul disp. art. 275 alin. 2 C. proc. pen., va obliga petentul la plata către stat a sumei de 500 lei, reprezentând cheltuieli judiciare. </w:t>
      </w:r>
    </w:p>
    <w:p w:rsidR="00FF79D9" w14:paraId="59446C5B" w14:textId="77777777">
      <w:pPr>
        <w:ind w:firstLine="851"/>
        <w:jc w:val="both"/>
      </w:pPr>
    </w:p>
    <w:p w:rsidR="00FF79D9" w14:paraId="30FDBE4B" w14:textId="77777777">
      <w:pPr>
        <w:ind w:firstLine="851"/>
        <w:jc w:val="both"/>
      </w:pPr>
    </w:p>
    <w:p w:rsidR="00FF79D9" w14:paraId="117A17EB" w14:textId="77777777">
      <w:pPr>
        <w:jc w:val="center"/>
        <w:rPr>
          <w:rStyle w:val="Fontdeparagrafimplicit"/>
          <w:b/>
        </w:rPr>
      </w:pPr>
      <w:r>
        <w:rPr>
          <w:rStyle w:val="Fontdeparagrafimplicit"/>
          <w:b/>
        </w:rPr>
        <w:t>PENTRU ACESTE MOTIVE,</w:t>
      </w:r>
    </w:p>
    <w:p w:rsidR="00FF79D9" w14:paraId="13F44F97" w14:textId="77777777">
      <w:pPr>
        <w:jc w:val="center"/>
        <w:rPr>
          <w:rStyle w:val="Fontdeparagrafimplicit"/>
          <w:b/>
        </w:rPr>
      </w:pPr>
      <w:r>
        <w:rPr>
          <w:rStyle w:val="Fontdeparagrafimplicit"/>
          <w:b/>
        </w:rPr>
        <w:t>ÎN NUMELE LEGII,</w:t>
      </w:r>
    </w:p>
    <w:p w:rsidR="00FF79D9" w14:paraId="1E9E16B2" w14:textId="77777777">
      <w:pPr>
        <w:jc w:val="center"/>
        <w:rPr>
          <w:rStyle w:val="Fontdeparagrafimplicit"/>
          <w:b/>
        </w:rPr>
      </w:pPr>
      <w:r>
        <w:rPr>
          <w:rStyle w:val="Fontdeparagrafimplicit"/>
          <w:b/>
        </w:rPr>
        <w:t>DECIDE:</w:t>
      </w:r>
    </w:p>
    <w:p w:rsidR="00FF79D9" w14:paraId="31D95F0A" w14:textId="77777777">
      <w:pPr>
        <w:jc w:val="center"/>
        <w:rPr>
          <w:rStyle w:val="Fontdeparagrafimplicit"/>
          <w:b/>
        </w:rPr>
      </w:pPr>
    </w:p>
    <w:p w:rsidR="00FF79D9" w14:paraId="7B1FDB32" w14:textId="77777777">
      <w:pPr>
        <w:jc w:val="center"/>
        <w:rPr>
          <w:rStyle w:val="Fontdeparagrafimplicit"/>
          <w:b/>
        </w:rPr>
      </w:pPr>
    </w:p>
    <w:p w:rsidR="00FF79D9" w14:paraId="102901D5" w14:textId="4212C181">
      <w:pPr>
        <w:ind w:firstLine="851"/>
        <w:jc w:val="both"/>
      </w:pPr>
      <w:r>
        <w:t xml:space="preserve">În temeiul disp. art. 425/1 alin. 7 pct. 2 lit. a rap. la art. 16 din Legea nr. 187/2012 admite contestaţia formulată de </w:t>
      </w:r>
      <w:r>
        <w:rPr>
          <w:rStyle w:val="Fontdeparagrafimplicit"/>
          <w:b/>
        </w:rPr>
        <w:t>Parchetul de pe lângă Înalta Curte de Casaţie si Justiţie – Direcţia de Investigare a Infracţiunilor de Criminalitate Organizată şi Terorism</w:t>
      </w:r>
      <w:r>
        <w:t xml:space="preserve"> -   împotriva sentinţei penale nr. 2  pronunţată de Tribunalul                 , secţia  .</w:t>
      </w:r>
    </w:p>
    <w:p w:rsidR="00FF79D9" w14:paraId="1037F4D1" w14:textId="77777777">
      <w:pPr>
        <w:ind w:firstLine="851"/>
        <w:jc w:val="both"/>
      </w:pPr>
      <w:r>
        <w:t>Desfiinţează hotărârea atacată şi rejudecând:</w:t>
      </w:r>
    </w:p>
    <w:p w:rsidR="00FF79D9" w14:paraId="4DB79E63" w14:textId="2F46EE36">
      <w:pPr>
        <w:ind w:firstLine="851"/>
        <w:jc w:val="both"/>
      </w:pPr>
      <w:r>
        <w:t>Respinge ca neîntemeiată cererea formulată de petentul condamnat 3 .</w:t>
      </w:r>
    </w:p>
    <w:p w:rsidR="00FF79D9" w14:paraId="1844191A" w14:textId="77777777">
      <w:pPr>
        <w:ind w:firstLine="851"/>
        <w:jc w:val="both"/>
      </w:pPr>
      <w:r>
        <w:t xml:space="preserve">În temeiul disp. art. 275 alin. 2 C. proc. pen. obligă petentul la plata către stat a sumei de 500 lei, reprezentând cheltuieli judiciare. </w:t>
      </w:r>
    </w:p>
    <w:p w:rsidR="00FF79D9" w14:paraId="0783CBD2" w14:textId="77777777">
      <w:pPr>
        <w:ind w:firstLine="851"/>
        <w:jc w:val="both"/>
      </w:pPr>
      <w:r>
        <w:t>Definitivă.</w:t>
      </w:r>
    </w:p>
    <w:p w:rsidR="00FF79D9" w14:paraId="662EF4CE" w14:textId="7367B222">
      <w:pPr>
        <w:ind w:firstLine="851"/>
        <w:jc w:val="both"/>
      </w:pPr>
      <w:r>
        <w:t>Pronunţată în şedinţă publică, azi  .</w:t>
      </w:r>
    </w:p>
    <w:p w:rsidR="00FF79D9" w14:paraId="3272618C" w14:textId="77777777">
      <w:pPr>
        <w:ind w:firstLine="851"/>
      </w:pPr>
      <w:r>
        <w:t>PREŞEDINTE,</w:t>
      </w:r>
    </w:p>
    <w:p w:rsidR="00FF79D9" w14:paraId="6915021C" w14:textId="12C044B0">
      <w:r>
        <w:t>A0002</w:t>
      </w:r>
    </w:p>
    <w:p w:rsidR="00FF79D9" w14:paraId="65FEEC99" w14:textId="77777777"/>
    <w:p w:rsidR="00FF79D9" w14:paraId="7FC79028" w14:textId="77777777"/>
    <w:p w:rsidR="00FF79D9" w14:paraId="25F241EC" w14:textId="77777777"/>
    <w:p w:rsidR="00FF79D9" w14:paraId="59D7CA15" w14:textId="77777777">
      <w:r>
        <w:t xml:space="preserve">                                                                              GREFIER,</w:t>
      </w:r>
    </w:p>
    <w:p w:rsidR="00FF79D9" w14:paraId="46706F2E" w14:textId="2D41340F">
      <w:r>
        <w:t xml:space="preserve">                                                                          </w:t>
      </w:r>
    </w:p>
    <w:p w:rsidR="00FF79D9" w14:paraId="62661299" w14:textId="77777777"/>
    <w:p w:rsidR="00FF79D9" w14:paraId="00E45E17" w14:textId="31B1567E">
      <w:pPr>
        <w:jc w:val="both"/>
        <w:rPr>
          <w:rStyle w:val="Fontdeparagrafimplicit"/>
          <w:sz w:val="20"/>
        </w:rPr>
      </w:pPr>
      <w:r>
        <w:rPr>
          <w:rStyle w:val="Fontdeparagrafimplicit"/>
          <w:sz w:val="20"/>
        </w:rPr>
        <w:t>Red.A0002</w:t>
      </w:r>
    </w:p>
    <w:p w:rsidR="00FF79D9" w14:paraId="53FA380D" w14:textId="41BE2088">
      <w:pPr>
        <w:jc w:val="both"/>
        <w:rPr>
          <w:rStyle w:val="Fontdeparagrafimplicit"/>
          <w:sz w:val="20"/>
        </w:rPr>
      </w:pPr>
      <w:r>
        <w:rPr>
          <w:rStyle w:val="Fontdeparagrafimplicit"/>
          <w:sz w:val="20"/>
        </w:rPr>
        <w:t xml:space="preserve">Dact. </w:t>
      </w:r>
    </w:p>
    <w:p w:rsidR="00FF79D9" w14:paraId="41451E32" w14:textId="77777777">
      <w:pPr>
        <w:pBdr>
          <w:bottom w:val="single" w:color="auto" w:sz="6" w:space="0"/>
        </w:pBdr>
        <w:jc w:val="both"/>
        <w:rPr>
          <w:rStyle w:val="Fontdeparagrafimplicit"/>
          <w:sz w:val="20"/>
        </w:rPr>
      </w:pPr>
      <w:r>
        <w:rPr>
          <w:rStyle w:val="Fontdeparagrafimplicit"/>
          <w:sz w:val="20"/>
        </w:rPr>
        <w:t>Ex.4</w:t>
      </w:r>
    </w:p>
    <w:p w:rsidR="00FF79D9" w:rsidP="007E5E39" w14:paraId="1CE33572" w14:textId="7E699660">
      <w:pPr>
        <w:jc w:val="both"/>
        <w:rPr>
          <w:rStyle w:val="Fontdeparagrafimplicit"/>
        </w:rPr>
      </w:pPr>
      <w:r>
        <w:rPr>
          <w:rStyle w:val="Fontdeparagrafimplicit"/>
          <w:sz w:val="20"/>
        </w:rPr>
        <w:t>Red. -</w:t>
      </w:r>
    </w:p>
    <w:sectPr>
      <w:footerReference w:type="default" r:id="rId4"/>
      <w:pgSz w:w="11906" w:h="16838"/>
      <w:pgMar w:top="1134" w:right="567"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F79D9" w14:paraId="1CFC0E12" w14:textId="77777777">
    <w:pPr>
      <w:pStyle w:val="Subsol"/>
      <w:jc w:val="center"/>
    </w:pPr>
    <w:r>
      <w:fldChar w:fldCharType="begin"/>
    </w:r>
    <w:r>
      <w:instrText>PAGE   \* MERGEFORMAT</w:instrText>
    </w:r>
    <w:r>
      <w:fldChar w:fldCharType="separate"/>
    </w:r>
    <w:r>
      <w:t>#</w:t>
    </w:r>
    <w:r>
      <w:fldChar w:fldCharType="end"/>
    </w:r>
  </w:p>
  <w:p w:rsidR="00FF79D9" w14:paraId="0CB49BB7" w14:textId="77777777">
    <w:pPr>
      <w:pStyle w:val="Subsol"/>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7C6A33AB"/>
    <w:multiLevelType w:val="multilevel"/>
    <w:tmpl w:val="AD9E0624"/>
    <w:lvl w:ilvl="0">
      <w:start w:val="1"/>
      <w:numFmt w:val="lowerLetter"/>
      <w:lvlText w:val="%1."/>
      <w:lvlJc w:val="left"/>
      <w:pPr>
        <w:tabs>
          <w:tab w:val="left" w:pos="1068"/>
        </w:tabs>
        <w:ind w:left="1068" w:hanging="360"/>
      </w:pPr>
    </w:lvl>
    <w:lvl w:ilvl="1">
      <w:start w:val="1"/>
      <w:numFmt w:val="lowerLetter"/>
      <w:lvlText w:val="%2."/>
      <w:lvlJc w:val="left"/>
      <w:pPr>
        <w:tabs>
          <w:tab w:val="left" w:pos="1788"/>
        </w:tabs>
        <w:ind w:left="1788" w:hanging="360"/>
      </w:pPr>
    </w:lvl>
    <w:lvl w:ilvl="2">
      <w:start w:val="1"/>
      <w:numFmt w:val="lowerRoman"/>
      <w:lvlText w:val="%3."/>
      <w:lvlJc w:val="right"/>
      <w:pPr>
        <w:tabs>
          <w:tab w:val="left" w:pos="2508"/>
        </w:tabs>
        <w:ind w:left="2508" w:hanging="180"/>
      </w:pPr>
    </w:lvl>
    <w:lvl w:ilvl="3">
      <w:start w:val="1"/>
      <w:numFmt w:val="decimal"/>
      <w:lvlText w:val="%4."/>
      <w:lvlJc w:val="left"/>
      <w:pPr>
        <w:tabs>
          <w:tab w:val="left" w:pos="3228"/>
        </w:tabs>
        <w:ind w:left="3228" w:hanging="360"/>
      </w:pPr>
    </w:lvl>
    <w:lvl w:ilvl="4">
      <w:start w:val="1"/>
      <w:numFmt w:val="lowerLetter"/>
      <w:lvlText w:val="%5."/>
      <w:lvlJc w:val="left"/>
      <w:pPr>
        <w:tabs>
          <w:tab w:val="left" w:pos="3948"/>
        </w:tabs>
        <w:ind w:left="3948" w:hanging="360"/>
      </w:pPr>
    </w:lvl>
    <w:lvl w:ilvl="5">
      <w:start w:val="1"/>
      <w:numFmt w:val="lowerRoman"/>
      <w:lvlText w:val="%6."/>
      <w:lvlJc w:val="right"/>
      <w:pPr>
        <w:tabs>
          <w:tab w:val="left" w:pos="4668"/>
        </w:tabs>
        <w:ind w:left="4668" w:hanging="180"/>
      </w:pPr>
    </w:lvl>
    <w:lvl w:ilvl="6">
      <w:start w:val="1"/>
      <w:numFmt w:val="decimal"/>
      <w:lvlText w:val="%7."/>
      <w:lvlJc w:val="left"/>
      <w:pPr>
        <w:tabs>
          <w:tab w:val="left" w:pos="5388"/>
        </w:tabs>
        <w:ind w:left="5388" w:hanging="360"/>
      </w:pPr>
    </w:lvl>
    <w:lvl w:ilvl="7">
      <w:start w:val="1"/>
      <w:numFmt w:val="lowerLetter"/>
      <w:lvlText w:val="%8."/>
      <w:lvlJc w:val="left"/>
      <w:pPr>
        <w:tabs>
          <w:tab w:val="left" w:pos="6108"/>
        </w:tabs>
        <w:ind w:left="6108" w:hanging="360"/>
      </w:pPr>
    </w:lvl>
    <w:lvl w:ilvl="8">
      <w:start w:val="1"/>
      <w:numFmt w:val="lowerRoman"/>
      <w:lvlText w:val="%9."/>
      <w:lvlJc w:val="right"/>
      <w:pPr>
        <w:tabs>
          <w:tab w:val="left" w:pos="6828"/>
        </w:tabs>
        <w:ind w:left="6828" w:hanging="180"/>
      </w:pPr>
    </w:lvl>
  </w:abstractNum>
  <w:num w:numId="1" w16cid:durableId="1794204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9D9"/>
    <w:rsid w:val="00115E9C"/>
    <w:rsid w:val="00220944"/>
    <w:rsid w:val="002F0B7D"/>
    <w:rsid w:val="004C71E3"/>
    <w:rsid w:val="007626FA"/>
    <w:rsid w:val="007E5E39"/>
    <w:rsid w:val="00D654F6"/>
    <w:rsid w:val="00FF79D9"/>
  </w:rsids>
  <w:docVars>
    <w:docVar w:name="url" w:val="http://10.1.48.53:80/ecris_cdms/document_upload.aspx?id_document=200000002689481&amp;id_departament=2&amp;id_sesiune=2345965&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3D7070C"/>
  <w15:docId w15:val="{8B47B6B7-1B6C-456A-939B-6B32EE11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14</ap:TotalTime>
  <ap:Pages>1</ap:Pages>
  <ap:Words>3569</ap:Words>
  <ap:Characters>20344</ap:Characters>
  <ap:Application>Microsoft Office Word</ap:Application>
  <ap:DocSecurity>0</ap:DocSecurity>
  <ap:Lines>169</ap:Lines>
  <ap:Paragraphs>47</ap:Paragraphs>
  <ap:ScaleCrop>false</ap:ScaleCrop>
  <ap:CharactersWithSpaces>23866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