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12</w:t>
      </w:r>
    </w:p>
    <w:p>
      <w:pPr>
        <w:pStyle w:val="Normal"/>
        <w:rPr>
          <w:b/>
        </w:rPr>
      </w:pPr>
      <w:r>
        <w:rPr>
          <w:rStyle w:val="Fontdeparagrafimplicit"/>
          <w:b/>
        </w:rPr>
        <w:t>Dosar nr. D1</w:t>
      </w:r>
    </w:p>
    <w:p>
      <w:pPr>
        <w:pStyle w:val="Normal"/>
        <w:rPr>
          <w:b/>
        </w:rPr>
      </w:pPr>
      <w:r>
        <w:rPr>
          <w:b/>
        </w:rPr>
      </w:r>
      <w:bookmarkStart w:name="_Hlk83891306" w:id="0"/>
      <w:bookmarkStart w:name="_Hlk83891306" w:id="1"/>
    </w:p>
    <w:p>
      <w:pPr>
        <w:pStyle w:val="Normal"/>
        <w:rPr>
          <w:b/>
        </w:rPr>
      </w:pPr>
      <w:r>
        <w:rPr>
          <w:b/>
        </w:rPr>
      </w:r>
    </w:p>
    <w:p>
      <w:pPr>
        <w:pStyle w:val="Normal"/>
        <w:rPr>
          <w:rStyle w:val="Fontdeparagrafimplicit"/>
        </w:rPr>
      </w:pPr>
      <w:r>
        <w:rPr/>
      </w:r>
    </w:p>
    <w:p>
      <w:pPr>
        <w:pStyle w:val="Normal"/>
        <w:jc w:val="center"/>
        <w:rPr>
          <w:b/>
        </w:rPr>
      </w:pPr>
      <w:r>
        <w:rPr>
          <w:rStyle w:val="Fontdeparagrafimplicit"/>
          <w:b/>
        </w:rPr>
        <w:t>R O M Â N I A</w:t>
      </w:r>
    </w:p>
    <w:p>
      <w:pPr>
        <w:pStyle w:val="Normal"/>
        <w:jc w:val="center"/>
        <w:rPr>
          <w:rStyle w:val="Fontdeparagrafimplicit"/>
        </w:rPr>
      </w:pPr>
      <w:r>
        <w:rPr/>
      </w:r>
    </w:p>
    <w:p>
      <w:pPr>
        <w:pStyle w:val="Normal"/>
        <w:jc w:val="center"/>
        <w:rPr/>
      </w:pPr>
      <w:r>
        <w:rPr/>
        <w:t>CURTEA DE APEL ...</w:t>
      </w:r>
    </w:p>
    <w:p>
      <w:pPr>
        <w:pStyle w:val="Normal"/>
        <w:jc w:val="center"/>
        <w:rPr>
          <w:lang w:val="en-US"/>
        </w:rPr>
      </w:pPr>
      <w:r>
        <w:rPr/>
        <w:t>SECŢIA ...</w:t>
      </w:r>
    </w:p>
    <w:p>
      <w:pPr>
        <w:pStyle w:val="Normal"/>
        <w:rPr>
          <w:rStyle w:val="Fontdeparagrafimplicit"/>
        </w:rPr>
      </w:pPr>
      <w:r>
        <w:rPr/>
      </w:r>
    </w:p>
    <w:p>
      <w:pPr>
        <w:pStyle w:val="Normal"/>
        <w:jc w:val="center"/>
        <w:rPr>
          <w:b/>
        </w:rPr>
      </w:pPr>
      <w:r>
        <w:rPr>
          <w:rStyle w:val="Fontdeparagrafimplicit"/>
          <w:b/>
        </w:rPr>
        <w:t>SENTINŢA NR. ....</w:t>
      </w:r>
    </w:p>
    <w:p>
      <w:pPr>
        <w:pStyle w:val="Normal"/>
        <w:jc w:val="center"/>
        <w:rPr/>
      </w:pPr>
      <w:r>
        <w:rPr/>
        <w:t>Şedinţa publică de la</w:t>
      </w:r>
      <w:r>
        <w:rPr>
          <w:rStyle w:val="Fontdeparagrafimplicit"/>
          <w:b/>
        </w:rPr>
        <w:t xml:space="preserve"> </w:t>
      </w:r>
      <w:r>
        <w:rPr/>
        <w:t>data de</w:t>
      </w:r>
      <w:r>
        <w:rPr>
          <w:rStyle w:val="Fontdeparagrafimplicit"/>
          <w:b/>
        </w:rPr>
        <w:t xml:space="preserve"> </w:t>
      </w:r>
      <w:r>
        <w:rPr/>
        <w:t xml:space="preserve">.... </w:t>
      </w:r>
      <w:bookmarkEnd w:id="1"/>
    </w:p>
    <w:p>
      <w:pPr>
        <w:pStyle w:val="Normal"/>
        <w:jc w:val="center"/>
        <w:rPr/>
      </w:pPr>
      <w:r>
        <w:rPr/>
        <w:t>Completul de judecată este constituit din:</w:t>
      </w:r>
    </w:p>
    <w:p>
      <w:pPr>
        <w:pStyle w:val="Normal"/>
        <w:jc w:val="center"/>
        <w:rPr/>
      </w:pPr>
      <w:r>
        <w:rPr/>
        <w:t>Preşedinte: A0006 - judecător</w:t>
      </w:r>
    </w:p>
    <w:p>
      <w:pPr>
        <w:pStyle w:val="Normal"/>
        <w:rPr/>
      </w:pPr>
      <w:r>
        <w:rPr/>
        <w:t xml:space="preserve">                                             </w:t>
      </w:r>
      <w:r>
        <w:rPr/>
        <w:t>Grefier: ...</w:t>
      </w:r>
    </w:p>
    <w:p>
      <w:pPr>
        <w:pStyle w:val="Normal"/>
        <w:rPr/>
      </w:pPr>
      <w:r>
        <w:rPr/>
      </w:r>
    </w:p>
    <w:p>
      <w:pPr>
        <w:pStyle w:val="Normal"/>
        <w:rPr>
          <w:b/>
        </w:rPr>
      </w:pPr>
      <w:r>
        <w:rPr>
          <w:b/>
        </w:rPr>
      </w:r>
    </w:p>
    <w:p>
      <w:pPr>
        <w:pStyle w:val="Normal"/>
        <w:ind w:firstLine="708"/>
        <w:jc w:val="both"/>
        <w:rPr>
          <w:b/>
        </w:rPr>
      </w:pPr>
      <w:bookmarkStart w:name="_Hlk83891334" w:id="2"/>
      <w:r>
        <w:rPr/>
        <w:t xml:space="preserve">Pe rol, soluţionarea cererii formulate de </w:t>
      </w:r>
      <w:bookmarkStart w:name="_Hlk170906428" w:id="3"/>
      <w:bookmarkStart w:name="_Hlk491772286" w:id="4"/>
      <w:r>
        <w:rPr/>
        <w:t xml:space="preserve">reclamanta </w:t>
      </w:r>
      <w:bookmarkStart w:name="_Hlk491860851" w:id="5"/>
      <w:bookmarkStart w:name="_Hlk493057962" w:id="6"/>
      <w:bookmarkEnd w:id="4"/>
      <w:r>
        <w:rPr>
          <w:rStyle w:val="Fontdeparagrafimplicit"/>
          <w:b/>
        </w:rPr>
        <w:t>S.C. R1 S.R.L.</w:t>
      </w:r>
      <w:bookmarkEnd w:id="3"/>
      <w:r>
        <w:rPr/>
        <w:t xml:space="preserve">, în contradictoriu cu pârâtul </w:t>
      </w:r>
      <w:bookmarkEnd w:id="5"/>
      <w:bookmarkEnd w:id="6"/>
      <w:r>
        <w:rPr>
          <w:rStyle w:val="Fontdeparagrafimplicit"/>
          <w:b/>
        </w:rPr>
        <w:t>Oficiul Naţional pentru Jocuri de Noroc</w:t>
      </w:r>
      <w:r>
        <w:rPr/>
        <w:t xml:space="preserve">, având ca obiect „suspendare executare act administrativ”. </w:t>
      </w:r>
    </w:p>
    <w:p>
      <w:pPr>
        <w:pStyle w:val="Normal"/>
        <w:ind w:firstLine="708"/>
        <w:jc w:val="both"/>
        <w:rPr/>
      </w:pPr>
      <w:r>
        <w:rPr/>
        <w:t xml:space="preserve">Procedura de citare a părţilor este legal </w:t>
      </w:r>
      <w:bookmarkStart w:name="_Hlk492288674" w:id="7"/>
      <w:r>
        <w:rPr/>
        <w:t>îndeplinită</w:t>
      </w:r>
      <w:bookmarkEnd w:id="7"/>
      <w:r>
        <w:rPr/>
        <w:t>.</w:t>
      </w:r>
    </w:p>
    <w:p>
      <w:pPr>
        <w:pStyle w:val="Normal"/>
        <w:ind w:firstLine="708"/>
        <w:jc w:val="both"/>
        <w:rPr/>
      </w:pPr>
      <w:r>
        <w:rPr/>
        <w:t>La apelul nominal, făcut în şedinţa publică, a răspuns avocat Av1 pentru reclamanta S.C. R1 S.R.L., lipsind pârâtul Oficiul Naţional pentru Jocuri de Noroc.</w:t>
      </w:r>
    </w:p>
    <w:p>
      <w:pPr>
        <w:pStyle w:val="Normal"/>
        <w:ind w:firstLine="708"/>
        <w:jc w:val="both"/>
        <w:rPr>
          <w:color w:val="000000"/>
        </w:rPr>
      </w:pPr>
      <w:r>
        <w:rPr/>
        <w:t xml:space="preserve">S-a făcut referatul cauzei de către grefierul de şedinţă, care învederează instanţei </w:t>
      </w:r>
      <w:r>
        <w:rPr>
          <w:rStyle w:val="Fontdeparagrafimplicit"/>
          <w:color w:val="000000"/>
        </w:rPr>
        <w:t xml:space="preserve">obiectul cauzei, stadiul judecăţii şi modalitatea de îndeplinire a procedurii de citare, faptul că cererea este timbrată, pârâtul a depus întâmpinare, precum şi faptul că ambele părţi au solicitat judecarea cauzei în lipsă, </w:t>
      </w:r>
      <w:r>
        <w:rPr/>
        <w:t>conform dispoziţiilor art. 411 alin. 1 pct. 2 teza finală din Codul de procedură civilă, după care:</w:t>
      </w:r>
    </w:p>
    <w:p>
      <w:pPr>
        <w:pStyle w:val="Normal"/>
        <w:ind w:firstLine="708"/>
        <w:jc w:val="both"/>
        <w:rPr/>
      </w:pPr>
      <w:r>
        <w:rPr/>
        <w:t>Fiind primul termen de judecată, potrivit art. 131 Cod procedură civilă, instanța pune în discuție competența materială şi teritorială de soluționare a cauzei.</w:t>
      </w:r>
    </w:p>
    <w:p>
      <w:pPr>
        <w:pStyle w:val="Normal"/>
        <w:ind w:firstLine="708"/>
        <w:jc w:val="both"/>
        <w:rPr/>
      </w:pPr>
      <w:bookmarkStart w:name="_Hlk171668561" w:id="8"/>
      <w:r>
        <w:rPr/>
        <w:t xml:space="preserve">Avocat Av1, pentru reclamanta </w:t>
      </w:r>
      <w:bookmarkEnd w:id="8"/>
      <w:r>
        <w:rPr/>
        <w:t>S.C. R1 S.R.L., apreciază că este competentă material și teritorial să soluționeze prezenta cauză Curtea de Apel ..., având în vedere calitatea pârâtului, de organism al autorității publice centrale, precum și sediul social al reclamantei, care este situat în circumscripția Curții de Apel ....</w:t>
      </w:r>
    </w:p>
    <w:p>
      <w:pPr>
        <w:pStyle w:val="Normal"/>
        <w:ind w:firstLine="708"/>
        <w:jc w:val="both"/>
        <w:rPr/>
      </w:pPr>
      <w:r>
        <w:rPr/>
        <w:t xml:space="preserve">Instanța constată competența materială a Curții de Apel ..., în raport de rangul autorității emitente a actului administrativ care face obiectul prezentei cauze. </w:t>
      </w:r>
    </w:p>
    <w:p>
      <w:pPr>
        <w:pStyle w:val="Normal"/>
        <w:ind w:firstLine="708"/>
        <w:jc w:val="both"/>
        <w:rPr/>
      </w:pPr>
      <w:r>
        <w:rPr/>
        <w:t>De asemenea, constată competența teritorială a Curții, în raport de sediul reclamantei și de dispozițiile Legii speciale nr. 554/2004.</w:t>
      </w:r>
    </w:p>
    <w:p>
      <w:pPr>
        <w:pStyle w:val="Normal"/>
        <w:ind w:firstLine="708"/>
        <w:jc w:val="both"/>
        <w:rPr/>
      </w:pPr>
      <w:r>
        <w:rPr/>
        <w:t>Curtea pune în discuție estimarea duratei procesului.</w:t>
      </w:r>
    </w:p>
    <w:p>
      <w:pPr>
        <w:pStyle w:val="Normal"/>
        <w:ind w:firstLine="708"/>
        <w:jc w:val="both"/>
        <w:rPr/>
      </w:pPr>
      <w:r>
        <w:rPr/>
        <w:t>Avocat Av1 apreciază că un termen de judecată este suficient pentru soluționarea dosarului.</w:t>
      </w:r>
    </w:p>
    <w:p>
      <w:pPr>
        <w:pStyle w:val="Normal"/>
        <w:ind w:firstLine="708"/>
        <w:jc w:val="both"/>
        <w:rPr/>
      </w:pPr>
      <w:r>
        <w:rPr>
          <w:rStyle w:val="Fontdeparagrafimplicit"/>
        </w:rPr>
        <w:t>Potrivit art. 238 din Codul de procedură civilă,</w:t>
      </w:r>
      <w:r>
        <w:rPr/>
        <w:t xml:space="preserve"> instanţa estimează durata procedurii la termenul de astăzi, după care pune în discuție excepția invocată prin întâmpinare.</w:t>
      </w:r>
    </w:p>
    <w:p>
      <w:pPr>
        <w:pStyle w:val="Normal"/>
        <w:ind w:firstLine="708"/>
        <w:jc w:val="both"/>
        <w:rPr/>
      </w:pPr>
      <w:r>
        <w:rPr/>
        <w:t xml:space="preserve"> </w:t>
      </w:r>
      <w:r>
        <w:rPr/>
        <w:t>Avocat Av1 solicită respingerea excepției, raportat la cadrul procesual stabilit de reclamantă prin cererea de chemare în judecată.</w:t>
      </w:r>
    </w:p>
    <w:p>
      <w:pPr>
        <w:pStyle w:val="Normal"/>
        <w:ind w:firstLine="708"/>
        <w:jc w:val="both"/>
        <w:rPr/>
      </w:pPr>
      <w:r>
        <w:rPr/>
        <w:t>Precizează că nici Comitetul de Supraveghere și nici Președintele nu au fost citați ca părți în prezenta cauză, iar Comitetul de supraveghere este un organ decizional în cadrul Oficiului Național pentru Jocuri de Noroc, care, însă, nu nu are personalitate juridică. În concluzie, solicită respingerea excepției.</w:t>
      </w:r>
    </w:p>
    <w:p>
      <w:pPr>
        <w:pStyle w:val="Normal"/>
        <w:ind w:firstLine="708"/>
        <w:jc w:val="both"/>
        <w:rPr/>
      </w:pPr>
      <w:r>
        <w:rPr/>
        <w:t>Instanţa respinge excepţia invocată, pe de o parte având în vedere cadrul procesual existent cât şi de faptul că ţine de fondul litigiului , competenţa şi implicit legitimarea procesuală în cauză a Comitetului de supraveghere şi a Preşedintelui.</w:t>
      </w:r>
    </w:p>
    <w:p>
      <w:pPr>
        <w:pStyle w:val="Normal"/>
        <w:ind w:firstLine="708"/>
        <w:jc w:val="both"/>
        <w:rPr/>
      </w:pPr>
      <w:r>
        <w:rPr/>
        <w:t>La interpelarea instanţei, apărătorul reclamantei învederează că nu solicită termen pentru observarea întâmpinării depuse la dosarul cauzei şi că nu mai are cereri de formulat.</w:t>
      </w:r>
    </w:p>
    <w:p>
      <w:pPr>
        <w:pStyle w:val="Normal"/>
        <w:ind w:firstLine="708"/>
        <w:jc w:val="both"/>
        <w:rPr/>
      </w:pPr>
      <w:r>
        <w:rPr/>
        <w:t xml:space="preserve"> </w:t>
      </w:r>
      <w:r>
        <w:rPr/>
        <w:t>Curtea, constatând că părțile nu mai au cereri de formulat, excepţii de invocat şi probe de solicitat, apreciază cauza în stare de judecată şi acordă cuvântul părţii prezente, prin reprezentant convenţional, pentru a pune concluzii asupra cererii.</w:t>
      </w:r>
    </w:p>
    <w:p>
      <w:pPr>
        <w:pStyle w:val="Normal"/>
        <w:ind w:firstLine="708"/>
        <w:jc w:val="both"/>
        <w:rPr/>
      </w:pPr>
      <w:r>
        <w:rPr/>
        <w:t>Avocat Av1, pentru reclamanta S.C. R1 S.R.L., în baza argumentelor expuse pe larg în cuprinsul cererii de chemare în judecată și a notelor scrise, solicită admiterea cererii, apreciind că sunt îndeplinite condițiile prevăzute de dispozițiile art. 14 din Legea 554/2004 pentru suspendarea actului administrativ până la emiterea soluției de către instanța de fond, respectiv sunt îndeplinite condițiile existenței cazului bine justificat și a pagubei iminente.</w:t>
      </w:r>
    </w:p>
    <w:p>
      <w:pPr>
        <w:pStyle w:val="Normal"/>
        <w:ind w:firstLine="708"/>
        <w:jc w:val="both"/>
        <w:rPr/>
      </w:pPr>
      <w:r>
        <w:rPr/>
        <w:t>Menționează că la data de 1 iulie societatea a formulat plângere prealabilă, înregistrată la registratura pârâtului și care a fost depusă la dosar.</w:t>
      </w:r>
    </w:p>
    <w:p>
      <w:pPr>
        <w:pStyle w:val="Normal"/>
        <w:ind w:firstLine="708"/>
        <w:jc w:val="both"/>
        <w:rPr/>
      </w:pPr>
      <w:r>
        <w:rPr/>
        <w:t xml:space="preserve">În ceea ce privește aparența de nelegalitate, susține că, la analiza sumară a deciziei X1, actul administrativ nu cuprinde motivele pe care a fost întemeiat și, astfel, instanța va fi în imposibilitate de a reconstitui raționamentul avut în vedere de autoritate la  aplicarea măsurii administrative cu efectele cele mai grave pe care un agent economic o poate primi de la autoritate. </w:t>
      </w:r>
    </w:p>
    <w:p>
      <w:pPr>
        <w:pStyle w:val="Normal"/>
        <w:ind w:firstLine="708"/>
        <w:jc w:val="both"/>
        <w:rPr/>
      </w:pPr>
      <w:r>
        <w:rPr/>
        <w:t>Astfel, de la momentul la care decizia a produs efecte față de societate, respectiv de la data de 1 iulie, reclamanta este lipsită de dreptul de a opera activitatea de jocuri de noroc, de a obține venituri, concomitent cu menținerea în sarcina sa a obligației de a achita taxele de autorizare datorate. Deci, această obligație subzistă, deși dreptul de exploatare a fost suprimat.</w:t>
      </w:r>
    </w:p>
    <w:p>
      <w:pPr>
        <w:pStyle w:val="Normal"/>
        <w:ind w:firstLine="708"/>
        <w:jc w:val="both"/>
        <w:rPr/>
      </w:pPr>
      <w:r>
        <w:rPr/>
        <w:t>Avocat Av1 apreciază că această situație este rezultatul unor erori flagrante în interpretarea și aplicarea dispozițiilor O.U.G. 77/2009.</w:t>
      </w:r>
    </w:p>
    <w:p>
      <w:pPr>
        <w:pStyle w:val="Normal"/>
        <w:ind w:firstLine="708"/>
        <w:jc w:val="both"/>
        <w:rPr/>
      </w:pPr>
      <w:r>
        <w:rPr/>
        <w:t>Conform dispozițiilor art. 15 alin. 2 lit. b</w:t>
      </w:r>
      <w:r>
        <w:rPr>
          <w:rStyle w:val="Fontdeparagrafimplicit"/>
          <w:vertAlign w:val="superscript"/>
        </w:rPr>
        <w:t>1</w:t>
      </w:r>
      <w:r>
        <w:rPr/>
        <w:t xml:space="preserve"> din O.U.G. 77/2009, astfel cum a fost modificată prin Legea nr. 107/2024, legiuitorul a introdus o nouă condiție pentru autorizarea mijloacelor de noroc, în sensul că solicitanții trebuie să facă dovada că spațiul propus pentru exploatarea mijloacelor de joc nu este situat în incinta unor puncte de lucru amplasate în unitățile administrativ teritoriale cu populația mai mică de 15000 de locuitori. Această nouă condiție se aplică cererilor de autorizare depuse după intrarea în vigoare a legii noi, respectiv după data de 28 aprilie 2024.</w:t>
      </w:r>
    </w:p>
    <w:p>
      <w:pPr>
        <w:pStyle w:val="Normal"/>
        <w:ind w:firstLine="708"/>
        <w:jc w:val="both"/>
        <w:rPr/>
      </w:pPr>
      <w:r>
        <w:rPr/>
        <w:t xml:space="preserve">În ceea ce privește punerea în aplicarea a acestor dispoziții noi, autoritatea însăși a confirmat, înainte de intrarea în vigoare a legii, respectiv de la data de 26 aprilie, că aceste dispoziții nu vor afecta autorizațiile de exploatare aflate în vigoare la momentul intrării în vigoare a legii noi. În acest sens, a depus la dosar comunicatul privind instrucțiunile de aplicare, ce a fost publicat pe site-ul propriu. </w:t>
      </w:r>
    </w:p>
    <w:p>
      <w:pPr>
        <w:pStyle w:val="Normal"/>
        <w:ind w:firstLine="708"/>
        <w:jc w:val="both"/>
        <w:rPr/>
      </w:pPr>
      <w:r>
        <w:rPr/>
        <w:t>Menționează că această interpretare, privind o nouă condiție de autorizare, este confirmată de Î.C.C.J., potrivit hotărârii 4/2024, hotărâre de sesizare a Curții Constituționale cu privire la proiectul de lege care vizează modificarea Codului Penal, cu privire la regimul legal aplicabil desfășurării fără autorizație și fără licență a jocurilor de noroc.</w:t>
      </w:r>
    </w:p>
    <w:p>
      <w:pPr>
        <w:pStyle w:val="Normal"/>
        <w:ind w:firstLine="708"/>
        <w:jc w:val="both"/>
        <w:rPr/>
      </w:pPr>
      <w:r>
        <w:rPr/>
        <w:t>Astfel, surprinzător, decizia a fost emisă nu în considerarea unei cereri de autorizare depuse de către societate, ci urmare a unui control efectuat de Direcția de control din cadrul autorității, care a constatat o situație de fapt veridică, respectiv că în punctul de lucru din Piatra-... societatea desfășurarea activitatea utilizând trei mijloace de joc, pentru care deține autorizații valabile.</w:t>
      </w:r>
    </w:p>
    <w:p>
      <w:pPr>
        <w:pStyle w:val="Normal"/>
        <w:ind w:firstLine="708"/>
        <w:jc w:val="both"/>
        <w:rPr/>
      </w:pPr>
      <w:r>
        <w:rPr/>
        <w:t>Cu toate acestea, Comitetul de Supraveghere a concluzionat că, în cauză, se reține încălcarea dispozițiilor 15 alin. 2 lit. b</w:t>
      </w:r>
      <w:r>
        <w:rPr>
          <w:rStyle w:val="Fontdeparagrafimplicit"/>
          <w:vertAlign w:val="superscript"/>
        </w:rPr>
        <w:t>1</w:t>
      </w:r>
      <w:r>
        <w:rPr/>
        <w:t xml:space="preserve"> din O.U.G. 77/2009 și, prin urmare, a aplicat măsura prevăzută de art. 17 alin. 2, respectiv revocarea licenței de organizare a jocurilor de noroc, cu consecința încetării valabilității tuturor autorizațiilor de exploatare.</w:t>
      </w:r>
    </w:p>
    <w:p>
      <w:pPr>
        <w:pStyle w:val="Normal"/>
        <w:ind w:firstLine="708"/>
        <w:jc w:val="both"/>
        <w:rPr/>
      </w:pPr>
      <w:r>
        <w:rPr/>
        <w:t>Referitor la maniera redactării actului, susține că este o lipsă totală de raționament sau justificare. Deci, există o discrepanță vădită între concluziile procesului-verbal și concluziile reținute de Comitetul de Supraveghere.</w:t>
      </w:r>
    </w:p>
    <w:p>
      <w:pPr>
        <w:pStyle w:val="Normal"/>
        <w:ind w:firstLine="708"/>
        <w:jc w:val="both"/>
        <w:rPr/>
      </w:pPr>
      <w:r>
        <w:rPr/>
        <w:t>Astfel, procesul-verbal reține ca activitatea se desfășoară conform legii, iar Comitetul de supraveghere a adoptat o măsură de sancționare, fără să constate o conduită nelegală.</w:t>
      </w:r>
    </w:p>
    <w:p>
      <w:pPr>
        <w:pStyle w:val="Normal"/>
        <w:ind w:firstLine="708"/>
        <w:jc w:val="both"/>
        <w:rPr/>
      </w:pPr>
      <w:r>
        <w:rPr/>
        <w:t>În opinia sa, actul administrativ pare că nu îndeplinește condiția de motivare, nu s-a realizat o analiză a interesului public raportat la interesul societății și, astfel, nu există niciun argument pentru care măsura să fi fost justificată faptic, precum și din punct de vedere legal. Deci, nu se pot reconstitui împrejurările de fapt reținute de membrii Comitetului de Supraveghere.</w:t>
      </w:r>
    </w:p>
    <w:p>
      <w:pPr>
        <w:pStyle w:val="Normal"/>
        <w:ind w:firstLine="708"/>
        <w:jc w:val="both"/>
        <w:rPr/>
      </w:pPr>
      <w:r>
        <w:rPr/>
        <w:t>În ceea ce privește sesizarea Comitetului de Supraveghere, Direcția Generală de Supraveghere și Control poate propune Comitetului de Supraveghere să adopte măsura revocării licenței, în situația în care constată, pe baza unor acte administrative că, în anumite situații, se rețin fapte cu caracter contravențional. Însă, în situaţia de faţă, nu este cazul şi nu există niciun act din care să se rețină că societatea ar fi avut o conduită nelegală.</w:t>
      </w:r>
    </w:p>
    <w:p>
      <w:pPr>
        <w:pStyle w:val="Normal"/>
        <w:ind w:firstLine="708"/>
        <w:jc w:val="both"/>
        <w:rPr/>
      </w:pPr>
      <w:r>
        <w:rPr/>
        <w:t>Cu privire la caracterul extraordinar al ședinței în care s-a adoptat această măsură, menționează că, potrivit dispozițiilor art. 4 din Anexa 2 la H.G. 298/2013, Comitetul de Supraveghere se întâlnește, în ședință ordinară, de două ori pe lună, dar se poate întruni în ședința extraordinară ori de câte ori este necesar pentru adoptarea unor măsuri urgente.</w:t>
      </w:r>
    </w:p>
    <w:p>
      <w:pPr>
        <w:pStyle w:val="Normal"/>
        <w:ind w:firstLine="708"/>
        <w:jc w:val="both"/>
        <w:rPr/>
      </w:pPr>
      <w:r>
        <w:rPr/>
        <w:t>Avocat Av1 precizează că nu există nicio mențiune nici în cuprinsul deciziei, nici în cel al convocatorului și nici în cuprinsul ordinii de zi, nu există nicio justificare a caracterului urgent care să fi determinat ședința Comitetului de supraveghere. Deci, ședința a fost nelegal constituită și, prin urmare, deciziile emise au un caracter aparent nelegal. În concluzie, apreciază că există o eroare de interpretare și aplicare a legii de către autoritate.</w:t>
      </w:r>
    </w:p>
    <w:p>
      <w:pPr>
        <w:pStyle w:val="Normal"/>
        <w:ind w:firstLine="708"/>
        <w:jc w:val="both"/>
        <w:rPr/>
      </w:pPr>
      <w:r>
        <w:rPr/>
        <w:t>În ceea ce privește paguba iminentă, învederează că societatea este împiedicată să obțină venituri din activitatea pe care o desfășoară neîntrerupt din anul 2008. Menționează că, din mai 2023 până în mai 2024, societatea a fost controlată de autoritate de 22 de ori, iar controalele s-au finalizat fără nicio sancțiune aplicabilă. Astfel, lipsa veniturilor obținute din activitate, coroborată cu menținerea obligațiilor de plată față de bugetul de stat, față de partenerii contractuali, de furnizori și față de angajații companiei, vor conduce la incapacitatea societății de a-și executa obligațiile, concedierea angajaților și, în final, ajungerea în procedura insolvenței și falimentului.</w:t>
      </w:r>
    </w:p>
    <w:p>
      <w:pPr>
        <w:pStyle w:val="Normal"/>
        <w:ind w:firstLine="708"/>
        <w:jc w:val="both"/>
        <w:rPr/>
      </w:pPr>
      <w:r>
        <w:rPr/>
        <w:t>Apărătorul reclamantei apreciază că singura soluție rezonabilă este aceea de suspendare a efectelor actului administrativ și, astfel, societatea să poată să-și mențină relațiile de afaceri, de muncă și de bună reputație.</w:t>
      </w:r>
    </w:p>
    <w:p>
      <w:pPr>
        <w:pStyle w:val="Normal"/>
        <w:ind w:firstLine="708"/>
        <w:jc w:val="both"/>
        <w:rPr/>
      </w:pPr>
      <w:r>
        <w:rPr/>
        <w:t>În ceea ce privește îndeplinirea obligațiilor fiscale, de asemenea, dacă actul administrativ nu se suspendă, reputația și imaginea societății vor fi afectate, iar sancțiunea revocării licenței de organizare a jocurilor de noroc este cea mai gravă dintre sancțiuni. Deci, prejudiciile sunt ireversibile.</w:t>
      </w:r>
    </w:p>
    <w:p>
      <w:pPr>
        <w:pStyle w:val="Normal"/>
        <w:ind w:firstLine="708"/>
        <w:jc w:val="both"/>
        <w:rPr/>
      </w:pPr>
      <w:r>
        <w:rPr/>
        <w:t>Pentru toate aceste considerente, solicită admiterea cererii de suspendare, fără cheltuieli de judecată, acestea urmând să fie solicitate pe cale separată.</w:t>
      </w:r>
    </w:p>
    <w:p>
      <w:pPr>
        <w:pStyle w:val="Normal"/>
        <w:ind w:firstLine="708"/>
        <w:jc w:val="both"/>
        <w:rPr/>
      </w:pPr>
      <w:r>
        <w:rPr/>
        <w:t>În susținerea celor menționate, invocă şi depune note scrise, practica instanțelor de judecată, respectiv a Curții de Apel ..., a Curții de Apel ... și a Curţii de Apel ...., practică care este în sensul sancționării autorității.</w:t>
      </w:r>
    </w:p>
    <w:p>
      <w:pPr>
        <w:pStyle w:val="Normal"/>
        <w:ind w:firstLine="708"/>
        <w:jc w:val="both"/>
        <w:rPr/>
      </w:pPr>
      <w:r>
        <w:rPr/>
      </w:r>
    </w:p>
    <w:p>
      <w:pPr>
        <w:pStyle w:val="Normal"/>
        <w:jc w:val="both"/>
        <w:rPr>
          <w:b/>
        </w:rPr>
      </w:pPr>
      <w:r>
        <w:rPr/>
        <w:tab/>
        <w:tab/>
        <w:tab/>
        <w:tab/>
        <w:tab/>
        <w:t xml:space="preserve"> </w:t>
      </w:r>
      <w:r>
        <w:rPr>
          <w:rStyle w:val="Fontdeparagrafimplicit"/>
          <w:b/>
        </w:rPr>
        <w:t>C U R T E A</w:t>
      </w:r>
    </w:p>
    <w:p>
      <w:pPr>
        <w:pStyle w:val="Normal"/>
        <w:jc w:val="both"/>
        <w:rPr>
          <w:rStyle w:val="Fontdeparagrafimplicit"/>
        </w:rPr>
      </w:pPr>
      <w:r>
        <w:rPr/>
      </w:r>
    </w:p>
    <w:p>
      <w:pPr>
        <w:pStyle w:val="Normal"/>
        <w:ind w:firstLine="708"/>
        <w:jc w:val="both"/>
        <w:rPr/>
      </w:pPr>
      <w:r>
        <w:rPr/>
        <w:t>Asupra cauzei de faţă, deliberând, constată următoarele;</w:t>
      </w:r>
    </w:p>
    <w:p>
      <w:pPr>
        <w:pStyle w:val="Normal"/>
        <w:jc w:val="both"/>
        <w:rPr/>
      </w:pPr>
      <w:r>
        <w:rPr/>
        <w:tab/>
        <w:t xml:space="preserve">Prin cererea înregistrată pe rolul Curţii de Apel ..., Secţia .., la data de 01.07.2024, sub nr. D1, reclamanta </w:t>
      </w:r>
      <w:r>
        <w:rPr>
          <w:rStyle w:val="Fontdeparagrafimplicit"/>
          <w:b/>
        </w:rPr>
        <w:t>S.C. R1 S.R.L.</w:t>
      </w:r>
      <w:r>
        <w:rPr/>
        <w:t xml:space="preserve"> a chemat în judecată pârâtul </w:t>
      </w:r>
      <w:r>
        <w:rPr>
          <w:rStyle w:val="Fontdeparagrafimplicit"/>
          <w:b/>
        </w:rPr>
        <w:t>Oficiul Naţional pentru Jocuri de Noroc</w:t>
      </w:r>
      <w:r>
        <w:rPr/>
        <w:t>, solicitând suspendarea în tot a Deciziei nr. X1 din data de ..., a Comitetului de Supraveghere al Oficiului Național pentru Jocuri de Noroc, privind revocarea Licenței de organizare a jocurilor de noroc tip slot-machine nr. ... şi obligarea pârâtului la plata cheltuielilor de judecată.</w:t>
      </w:r>
    </w:p>
    <w:p>
      <w:pPr>
        <w:pStyle w:val="Normal"/>
        <w:jc w:val="both"/>
        <w:rPr/>
      </w:pPr>
      <w:r>
        <w:rPr/>
        <w:tab/>
        <w:t xml:space="preserve">În motivarea cererii, reclamanta </w:t>
      </w:r>
      <w:r>
        <w:rPr>
          <w:rStyle w:val="Fontdeparagrafimplicit"/>
          <w:b/>
        </w:rPr>
        <w:t>S.C. R1 S.R.L.</w:t>
      </w:r>
      <w:r>
        <w:rPr/>
        <w:t xml:space="preserve"> a învederat următoarele aspecte:</w:t>
      </w:r>
    </w:p>
    <w:p>
      <w:pPr>
        <w:pStyle w:val="Listparagraf"/>
        <w:numPr>
          <w:ilvl w:val="0"/>
          <w:numId w:val="3"/>
        </w:numPr>
        <w:jc w:val="both"/>
        <w:rPr/>
      </w:pPr>
      <w:r>
        <w:rPr/>
        <w:t>Scurtă prezentare a situației de fapt</w:t>
      </w:r>
    </w:p>
    <w:p>
      <w:pPr>
        <w:pStyle w:val="Normal"/>
        <w:jc w:val="both"/>
        <w:rPr/>
      </w:pPr>
      <w:r>
        <w:rPr/>
        <w:tab/>
        <w:t>R1 S.R.L. este organizator de jocuri de noroc de tip Slot-machines,- desfășurând activitatea neîntrerupt din anul 2008, în conformitate cu dispozițiile Ordonanței de Urgență nr. 77/2009 privind organizarea și exploatarea jocurilor de noroc (denumită în continuare „OUG nr. 77/2009”) și Normelor Metodologice de punere în aplicare a Ordonanței de Urgență nr. 77/2009, adoptate prin Hotărârea Guvernului nr. 111/20016 (denumite în continuare „Norme Metodologice”).</w:t>
      </w:r>
    </w:p>
    <w:p>
      <w:pPr>
        <w:pStyle w:val="Normal"/>
        <w:ind w:firstLine="708"/>
        <w:jc w:val="both"/>
        <w:rPr/>
      </w:pPr>
      <w:r>
        <w:rPr/>
        <w:t>Conform Deciziei nr. X1, afișată pe website-ul administrat de pârâtul ONJN, www.onjn.ro, la data de 18.06.2024, Comitetul de Supraveghere din cadrul ONJN a dispus (i) revocarea licenței de organizare a jocurilor de noroc emisă în favoarea subscrisei, (ii) încetarea valabilității tuturor autorizațiilor de exploatare a jocurilor de noroc tip slot-machine și (iii) obligația de a achita diferența rămasă de plată din taxa anuală aferentă autorizațiilor de exploatare a jocurilor de noroc.</w:t>
      </w:r>
    </w:p>
    <w:p>
      <w:pPr>
        <w:pStyle w:val="Normal"/>
        <w:ind w:firstLine="708"/>
        <w:jc w:val="both"/>
        <w:rPr/>
      </w:pPr>
      <w:r>
        <w:rPr/>
        <w:t>Motivul reținut de Comitetul de Supraveghere pentru a justifica emiterea Deciziei nr. X1 a constat în aceea că, urmare a verificărilor efectuate în data de 07.05.2024 la unul dintre punctele de lucru ale reclamantei, au fost identificate în funcțiune un număr de 3 mijloace de joc tip slot-machine pentru care deținea autorizații de exploatare valabile, acordate conform deciziilor emise de Comitetul de Supraveghere din cadrul Oficiului Național pentru Jocuri de Noroc.</w:t>
      </w:r>
    </w:p>
    <w:p>
      <w:pPr>
        <w:pStyle w:val="Normal"/>
        <w:ind w:firstLine="708"/>
        <w:jc w:val="both"/>
        <w:rPr/>
      </w:pPr>
      <w:r>
        <w:rPr/>
        <w:t>Totodată, în cuprinsul Deciziei nr. X1, s-a reținut, în mod nelegal, că societatea încălcat prevederile art. 15 alin. (2) lit. b</w:t>
      </w:r>
      <w:r>
        <w:rPr>
          <w:rStyle w:val="Fontdeparagrafimplicit"/>
          <w:vertAlign w:val="superscript"/>
        </w:rPr>
        <w:t>1</w:t>
      </w:r>
      <w:r>
        <w:rPr/>
        <w:t>) din OUG nr. 77/2009.</w:t>
      </w:r>
    </w:p>
    <w:p>
      <w:pPr>
        <w:pStyle w:val="Normal"/>
        <w:ind w:firstLine="708"/>
        <w:jc w:val="both"/>
        <w:rPr/>
      </w:pPr>
      <w:r>
        <w:rPr/>
        <w:t>Aceste prevederi (intrate în vigoare la data de 28.04.2024) reglementează una dintre condițiile pe baza cărora se aprobă emiterea deciziei de autorizare, (care se verifică, așadar, de autoritate în procesul de verificare prealabil emiterii autorizării), societatea desfășurând activitatea în baza unor autorizații valabile, emise anterior intrării în vigoare a modificărilor legislative, când această condiție nu era aplicabilă.</w:t>
      </w:r>
    </w:p>
    <w:p>
      <w:pPr>
        <w:pStyle w:val="Listparagraf"/>
        <w:numPr>
          <w:ilvl w:val="0"/>
          <w:numId w:val="1"/>
        </w:numPr>
        <w:jc w:val="both"/>
        <w:rPr/>
      </w:pPr>
      <w:r>
        <w:rPr/>
        <w:t>Considerente cu privire la admisibilitatea prezentei cereri</w:t>
      </w:r>
    </w:p>
    <w:p>
      <w:pPr>
        <w:pStyle w:val="Normal"/>
        <w:ind w:firstLine="708"/>
        <w:jc w:val="both"/>
        <w:rPr/>
      </w:pPr>
      <w:r>
        <w:rPr/>
        <w:t>În conformitate cu dispozițiile art. 14 alin. (1) din Legea nr. 554/2004: „în cazuri bine justificate și pentru prevenirea unei pagube iminente, după sesizarea, în condițiile art. 7, o autorității publice care a emis actul sau a autorității ierarhic superioare, persoana vătămată poate să ceară instanței competente să dispună suspendarea executării actului administrativ unilateral până la pronunțarea instanței de fond. în cazul în care persoana vătămată nu introduce acțiunea în anularea actului în termen de 60 de zile, suspendarea încetează de drept și fără nicio formalitate.”</w:t>
      </w:r>
    </w:p>
    <w:p>
      <w:pPr>
        <w:pStyle w:val="Normal"/>
        <w:ind w:firstLine="708"/>
        <w:jc w:val="both"/>
        <w:rPr/>
      </w:pPr>
      <w:r>
        <w:rPr/>
        <w:t>Împotriva Deciziei nr. X1, în conformitate cu art. 7 alin (1) din Legea nr. 554/2004, reclamanta a formulat plângere prealabilă înregistrată ia Oficiul Național pentru Jocuri de Noroc în data de 01.07.2024.</w:t>
      </w:r>
    </w:p>
    <w:p>
      <w:pPr>
        <w:pStyle w:val="Normal"/>
        <w:ind w:firstLine="708"/>
        <w:jc w:val="both"/>
        <w:rPr/>
      </w:pPr>
      <w:r>
        <w:rPr/>
        <w:t>(i) Cu privire la existența cazului bine justificat</w:t>
      </w:r>
    </w:p>
    <w:p>
      <w:pPr>
        <w:pStyle w:val="Normal"/>
        <w:ind w:firstLine="708"/>
        <w:jc w:val="both"/>
        <w:rPr/>
      </w:pPr>
      <w:r>
        <w:rPr/>
        <w:t>În sensul legii, „cazul bine justificat” constituie acea împrejurare legată de starea de fapt şi de drept, care sunt de natură să creeze o îndoială serioasă asupra prezumției de legalitate de care se bucură un act administrativ, astfel cum este prevăzut prin art. 2 alin. (1) lit. t) din Legea nr. 554/2004.</w:t>
      </w:r>
    </w:p>
    <w:p>
      <w:pPr>
        <w:pStyle w:val="Normal"/>
        <w:ind w:firstLine="708"/>
        <w:jc w:val="both"/>
        <w:rPr/>
      </w:pPr>
      <w:r>
        <w:rPr/>
        <w:t>În urma unei analize sumare a condițiilor în care actul administrativ a fost emis, rezultă suspiciuni rezonabile privind încălcarea cerințelor de legalitate pe care se fundamentează caracterul executoriu ai actelor administrative. Coroborat cu iminența creării unei pagube semnificative în patrimoniul societății, îndoiala rezonabilă cu privire la legalitatea actului administrativ constituie, în opinia reclamantei, temeiuri pentru admiterea prezentei cereri.</w:t>
      </w:r>
    </w:p>
    <w:p>
      <w:pPr>
        <w:pStyle w:val="Normal"/>
        <w:ind w:firstLine="708"/>
        <w:jc w:val="both"/>
        <w:rPr/>
      </w:pPr>
      <w:r>
        <w:rPr/>
        <w:t>Decizia nr. X1 a fost emisă cu încălcarea dispozițiilor art. 17 alin. 2 litera i raportate la dispozițiile 15 alin. 2 litera b</w:t>
      </w:r>
      <w:r>
        <w:rPr>
          <w:rStyle w:val="Fontdeparagrafimplicit"/>
          <w:vertAlign w:val="superscript"/>
        </w:rPr>
        <w:t>1</w:t>
      </w:r>
      <w:r>
        <w:rPr/>
        <w:t xml:space="preserve"> din O.U.G. 77/2009, intrate în vigoare la data de 28.04.2024, conform cărora: „ (2) Pentru obținerea autorizației de exploatare a jocurilor de noroc, operatorii economici trebuie să facă dovada că:</w:t>
      </w:r>
    </w:p>
    <w:p>
      <w:pPr>
        <w:pStyle w:val="Normal"/>
        <w:ind w:firstLine="708"/>
        <w:jc w:val="both"/>
        <w:rPr/>
      </w:pPr>
      <w:r>
        <w:rPr/>
        <w:t>b</w:t>
      </w:r>
      <w:r>
        <w:rPr>
          <w:rStyle w:val="Fontdeparagrafimplicit"/>
          <w:vertAlign w:val="superscript"/>
        </w:rPr>
        <w:t>1</w:t>
      </w:r>
      <w:r>
        <w:rPr/>
        <w:t>) spațiul propus, dacă are amplasate mijloace de joc de tip slot-machine astfel cum sunt acestea definite în art. 10 alin. (1) lit. e), trebuie să se afle într-o unitate administrativ-teritorială cu o populație mai mare de 15.000 de locuitori. Dovada numărului de locuitori se face prin adeverință eliberată de primăria în a cărei rază teritorială se află spațiul propus.”</w:t>
      </w:r>
    </w:p>
    <w:p>
      <w:pPr>
        <w:pStyle w:val="Normal"/>
        <w:ind w:firstLine="708"/>
        <w:jc w:val="both"/>
        <w:rPr/>
      </w:pPr>
      <w:r>
        <w:rPr/>
        <w:t>Fiind o condiție aplicabilă în vederea autorizării activității (aspect care rezultă neîndoielnic din terminologia utilizată de legiuitor, „spațiu propus” pentru obținerea autorizației), verificarea acesteia se impune a fi realizată înainte de emiterea autorizației, pe baza cererilor formulate de operatorii economici ulterior intrării în vigoare a legii noi, verificarea fiind efectuată de către direcția specializată din cadrul autorității (Direcția Generală de Autorizare a Jocurilor de Noroc) ți nu posterior emiterii autorizației.</w:t>
      </w:r>
    </w:p>
    <w:p>
      <w:pPr>
        <w:pStyle w:val="Normal"/>
        <w:ind w:firstLine="708"/>
        <w:jc w:val="both"/>
        <w:rPr/>
      </w:pPr>
      <w:r>
        <w:rPr/>
        <w:t>Conform dispozițiilor art. 2 alin, 1 litera c) din Normele de punere în aplicare a OUG 77/2009, autorizația de exploatare a jocurilor de noroc conferă titularului dreptul de a desfășura activitatea de locuri de noroc tradiționale si la distantă în România,</w:t>
      </w:r>
    </w:p>
    <w:p>
      <w:pPr>
        <w:pStyle w:val="Normal"/>
        <w:ind w:firstLine="708"/>
        <w:jc w:val="both"/>
        <w:rPr/>
      </w:pPr>
      <w:r>
        <w:rPr/>
        <w:t>Prin urmare, odată ce solicitarea operatorului economic a fost aprobată, iar autorizația de exploatare a fost acordată, societatea poate desfășura activitatea, în condițiile avute în vedere la momentul acordării acesteia, pe întreaga perioadă de valabilitate a acesteia.</w:t>
      </w:r>
    </w:p>
    <w:p>
      <w:pPr>
        <w:pStyle w:val="Normal"/>
        <w:ind w:firstLine="708"/>
        <w:jc w:val="both"/>
        <w:rPr/>
      </w:pPr>
      <w:r>
        <w:rPr/>
        <w:t>Această interpretare rezultă fără echivoc din analiza dispozițiilor art. 15 alin. 8 din OUG 77/2009, potrivit cărora: „Licența de organizare și autorizația de exploatare a Jocurilor de noroc permit operatorului economic care le-a obținut să desfășoare activitatea pe întregul teritoriul României, fără a fi necesară obținerea de autorizații, aprobări, taxe suplimentare, avize ori licențe din partea altor autorități. (...) Condițiile pe care trebuie să le îndeplinească locațiile în care sunt exploatate jocurile de noroc, condițiile tehnice pe care trebuie să le îndeplinească mijloacele de joc, condițiile referitoare la regulamentele de joc și regulamentele interne în vederea acordării autorizației de exploatare a jocurilor de noroc, precum și obligațiile care le revin organizatorilor în vederea menținerii valabilității acestora se stabilesc prin normele metodologice de aplicare a prezentei ordonanțe de urgență”.</w:t>
      </w:r>
    </w:p>
    <w:p>
      <w:pPr>
        <w:pStyle w:val="Normal"/>
        <w:ind w:firstLine="708"/>
        <w:jc w:val="both"/>
        <w:rPr/>
      </w:pPr>
      <w:r>
        <w:rPr/>
        <w:t>Condițiile de desfășurare a activității sunt cele prevăzute de legea în vigoare la momentul emiterii acestora, dispozițiile art.150 alin, (1) lit. s) din Normele metodologice de punere în aplicare a OUG nr. 77/2009, fiind edificatoare în acest sens:</w:t>
      </w:r>
    </w:p>
    <w:p>
      <w:pPr>
        <w:pStyle w:val="Normal"/>
        <w:ind w:firstLine="708"/>
        <w:jc w:val="both"/>
        <w:rPr/>
      </w:pPr>
      <w:r>
        <w:rPr/>
        <w:t>„</w:t>
      </w:r>
      <w:r>
        <w:rPr/>
        <w:t>(1) Organizatorii de jocuri de noroc au, în funcție de specificul activității de jocuri de noroc desfășurate, următoarele obligații:</w:t>
      </w:r>
    </w:p>
    <w:p>
      <w:pPr>
        <w:pStyle w:val="Normal"/>
        <w:ind w:firstLine="708"/>
        <w:jc w:val="both"/>
        <w:rPr/>
      </w:pPr>
      <w:r>
        <w:rPr/>
        <w:t>s) să asigure menținerea condițiilor avute în vedere la autorizare pe întreaga perioadă de valabilitate a autorizației;”</w:t>
      </w:r>
    </w:p>
    <w:p>
      <w:pPr>
        <w:pStyle w:val="Normal"/>
        <w:ind w:firstLine="708"/>
        <w:jc w:val="both"/>
        <w:rPr/>
      </w:pPr>
      <w:r>
        <w:rPr/>
        <w:t>Competența de verificare a îndeplinirii condiției (după data când actul normativ a intrat în vigoare) aparține, așadar, Direcției Generale de Autorizare a Jocurilor de Noroc din cadrul O.N.J.N., care, pe baza documentației prezentate de solicitant formulează propuneri de aprobare sau respingere a cererii, pe care le înaintează Comitetului de Supraveghere al ONJN. Verificarea îndeplinirii condiției este, așadar, o acțiune anterioară autorizării, pe baza căreia se adoptă decizia de autorizare și nu poate constitui obiectiv de control realizat o posteriori.</w:t>
      </w:r>
    </w:p>
    <w:p>
      <w:pPr>
        <w:pStyle w:val="Normal"/>
        <w:jc w:val="both"/>
        <w:rPr/>
      </w:pPr>
      <w:r>
        <w:rPr/>
        <w:t>Față de acestea, vă solicităm să constatați că sancțiunea prevăzută de dispozițiile art. 17 alin. 2 litera i) din OUG 77/2009 nu are aplicabilitate în ipoteza prevăzută de art. 15 alin. 2 litera b1 din O.U.G. 77/2009.</w:t>
      </w:r>
    </w:p>
    <w:p>
      <w:pPr>
        <w:pStyle w:val="Normal"/>
        <w:ind w:firstLine="708"/>
        <w:jc w:val="both"/>
        <w:rPr/>
      </w:pPr>
      <w:r>
        <w:rPr/>
        <w:t>Dat fiind că societatea desfășura activitatea în incinta unui spațiu deja verificat de autoritate, (autorizațiile de exploatare a mijloacelor de joc fiind acordate pe baza criteriilor prevăzute de legea în vigoare la momentul emiterii autorizației, în considerarea punctului de lucru unde urmau să fie exploatate și unde au fost identificate), prin Decizia X1 autoritatea a făcut o greșită aplicare a normelor juridice, respectiv a dispozițiilor art. 17 alin. 2 litera i), raportate la art. 15 alin. 2 litera b</w:t>
      </w:r>
      <w:r>
        <w:rPr>
          <w:rStyle w:val="Fontdeparagrafimplicit"/>
          <w:vertAlign w:val="superscript"/>
        </w:rPr>
        <w:t>1</w:t>
      </w:r>
      <w:r>
        <w:rPr/>
        <w:t>.</w:t>
      </w:r>
    </w:p>
    <w:p>
      <w:pPr>
        <w:pStyle w:val="Normal"/>
        <w:ind w:firstLine="708"/>
        <w:jc w:val="both"/>
        <w:rPr/>
      </w:pPr>
      <w:r>
        <w:rPr/>
        <w:t xml:space="preserve"> </w:t>
      </w:r>
      <w:r>
        <w:rPr/>
        <w:t>Susţine necompetenta Comitetului de Supraveghere al O.NJ.N. de a constata fapta constând în încălcarea dispozițiilor art. 15 alin. 2 litera b</w:t>
      </w:r>
      <w:r>
        <w:rPr>
          <w:rStyle w:val="Fontdeparagrafimplicit"/>
          <w:vertAlign w:val="superscript"/>
        </w:rPr>
        <w:t>1</w:t>
      </w:r>
      <w:r>
        <w:rPr/>
        <w:t xml:space="preserve"> din OUG 77/2009.</w:t>
      </w:r>
    </w:p>
    <w:p>
      <w:pPr>
        <w:pStyle w:val="Normal"/>
        <w:ind w:firstLine="708"/>
        <w:jc w:val="both"/>
        <w:rPr/>
      </w:pPr>
      <w:r>
        <w:rPr/>
        <w:t>În incinta punctului de lucru din ..., societatea desfășura activitatea în baza autorizațiilor de exploatare a mijloacelor de joc, emise conform Deciziei Comitetului de Supraveghere nr. .../22.11.2023 (pentru mijloacele de joc având seriile ...6 și ...9), autorizațiile fiind valabile până la data de 30.11.2024 și conform Deciziei Comitetului de Supraveghere nr. .../ 13.03.2024 (pentru mijlocul de joc seria ...3), autorizația fiind valabilă până la data de 31.03.2024.</w:t>
      </w:r>
    </w:p>
    <w:p>
      <w:pPr>
        <w:pStyle w:val="Normal"/>
        <w:ind w:firstLine="708"/>
        <w:jc w:val="both"/>
        <w:rPr/>
      </w:pPr>
      <w:r>
        <w:rPr/>
        <w:t>Autorizațiile au fost emise pe baza prevederilor legale în vigoare la data emiterii, actele administrative pe baza cărora au fost acordate (deciziile Comitetului de Supraveghere anterior menționate) fiind în vigoare și beneficiind de prezumția de legalitate la data efectuării controalelor.</w:t>
      </w:r>
    </w:p>
    <w:p>
      <w:pPr>
        <w:pStyle w:val="Normal"/>
        <w:ind w:firstLine="708"/>
        <w:jc w:val="both"/>
        <w:rPr/>
      </w:pPr>
      <w:r>
        <w:rPr/>
        <w:t>Prin urmare, organele de control nu ar mai fi putut verifica îndeplinirea condiției prevăzute de art. 15 alin. 2 litera b</w:t>
      </w:r>
      <w:r>
        <w:rPr>
          <w:rStyle w:val="Fontdeparagrafimplicit"/>
          <w:vertAlign w:val="superscript"/>
        </w:rPr>
        <w:t>1</w:t>
      </w:r>
      <w:r>
        <w:rPr/>
        <w:t xml:space="preserve"> din OUG 77/2009, (care se confirmă, după data intrării în vigoare a legii noi, prin emiterea autorizațiilor), ci ar fi putut avea în vedere doar verificarea activității organizatorului de jocuri raportat la condițiile în care autorizația a fost emisă.</w:t>
      </w:r>
    </w:p>
    <w:p>
      <w:pPr>
        <w:pStyle w:val="Normal"/>
        <w:ind w:firstLine="708"/>
        <w:jc w:val="both"/>
        <w:rPr/>
      </w:pPr>
      <w:r>
        <w:rPr/>
        <w:t>Contrar celor reținute în cuprinsul Deciziei nr. X1, în cuprinsul procesului-verbal nr. ...1/07.05.2024, care stă la baza emiterii deciziei de revocare, nu s-a reținut încălcarea vreunei dispoziții legale (deci, nu a fost reținută încălcarea dispozițiilor art. 15 alin. 2 litera b</w:t>
      </w:r>
      <w:r>
        <w:rPr>
          <w:rStyle w:val="Fontdeparagrafimplicit"/>
          <w:vertAlign w:val="superscript"/>
        </w:rPr>
        <w:t xml:space="preserve">1 </w:t>
      </w:r>
      <w:r>
        <w:rPr/>
        <w:t>din OUG 77/2009) și nu a fost aplicată nicio sancțiune contravențională sau de altă natură.</w:t>
      </w:r>
    </w:p>
    <w:p>
      <w:pPr>
        <w:pStyle w:val="Normal"/>
        <w:ind w:firstLine="708"/>
        <w:jc w:val="both"/>
        <w:rPr/>
      </w:pPr>
      <w:r>
        <w:rPr/>
        <w:t>Organul de control a dispus prezentarea, până la data de 22.05.2024, a adeverinței eliberate de Primăria Orașului ... din care să rezulte numărul de locuitori ai orașului ..., județul ...; măsura dispusă apare ca fiind nelegală având în vedere considerentele anterior expuse, dar reprezintă în sine o dovadă a faptului că organul de control, chiar încălcând normele de competentă materială (verificările necesare pentru emiterea autorizațiilor fiind în sarcina Direcției Generale de Autorizare Jocuri de Noroc), nu ar fi putut constata încălcarea dispozițiilor art. 15 alin. 2 litera b1 din OUG 77/2009, analiza trebuind să fie realizată pe baza unei documentații (adeverința) pe care nici organizatorul și nici organul de control nu o deținea și care, nu a fost avută în vedere.</w:t>
      </w:r>
    </w:p>
    <w:p>
      <w:pPr>
        <w:pStyle w:val="Normal"/>
        <w:ind w:firstLine="708"/>
        <w:jc w:val="both"/>
        <w:rPr/>
      </w:pPr>
      <w:r>
        <w:rPr/>
        <w:t>Dată fiind imposibilitatea de a se constata încălcarea dispozițiilor legale (art. 15 alin. 2 litera b1 din OUG 77/2009), atât din perspectiva competenței organului de control, cât și ca urmare a faptului că documentația necesară nu era disponibilă. Comitetul de Supraveghere nu putea fi legal sesizat si, în mod evident, nu putea aplica măsura constând în suprimarea dreptului de exploatare a activității pe întreg teritoriul țării, (revocarea licenței de organizare deținută de societate), aplicarea oricărei sancțiuni (dar mai ales a uneia de această gravitate) fiind condiționată de constatarea faptei printr-un act de control susceptibil de control judiciar.</w:t>
      </w:r>
    </w:p>
    <w:p>
      <w:pPr>
        <w:pStyle w:val="Normal"/>
        <w:jc w:val="both"/>
        <w:rPr/>
      </w:pPr>
      <w:r>
        <w:rPr/>
        <w:t>Chiar dacă prin absurd s-ar considera că sancțiunea a fost aplicată de Comitetul de Supraveghere în urma constatărilor proprii în sensul că s-ar fi încălcat dispozițiile art. 15 alin. 2 litera b1din OUG 77/2009, o astfel de concluzie sfidează normele juridice, având în vedere următoarele considerente:</w:t>
      </w:r>
    </w:p>
    <w:p>
      <w:pPr>
        <w:pStyle w:val="Normal"/>
        <w:ind w:firstLine="708"/>
        <w:jc w:val="both"/>
        <w:rPr/>
      </w:pPr>
      <w:r>
        <w:rPr/>
        <w:t>i) Comitetul de Supraveghere nu este învestit cu atribuții de control, acestea fiind atribuite conform dispozițiilor art. 6 alin. 2 din H.G. 298/2013 unor persoane special desemnate (în exercitarea atribuțiilor, personalul cu atribuții de control în domeniul jocurilor de noroc din cadrul Oficiului este învestit cu exercițiul autorității publice, având dreptul să constate și să sancționeze abaterile de la dispozițiile legale în domeniul jocurilor de noroc sau să sesizeze organele competente, după caz.)</w:t>
      </w:r>
    </w:p>
    <w:p>
      <w:pPr>
        <w:pStyle w:val="Normal"/>
        <w:ind w:firstLine="708"/>
        <w:jc w:val="both"/>
        <w:rPr/>
      </w:pPr>
      <w:r>
        <w:rPr/>
        <w:t>ii) Mai mult, dispozițiile art. 15 alin. 2 litera b) a</w:t>
      </w:r>
      <w:r>
        <w:rPr>
          <w:rStyle w:val="Fontdeparagrafimplicit"/>
          <w:vertAlign w:val="superscript"/>
        </w:rPr>
        <w:t>1</w:t>
      </w:r>
      <w:r>
        <w:rPr/>
        <w:t xml:space="preserve"> din OUG 77/2009 vizează analizarea spațiului propus (acțiune premergătoare autorizării), or activitatea în punctul de lucru se desfășura în temeiul deciziilor de autorizare emise de același organ al autorității, controlul de legalitate fiind realizat de personalul specializat din cadrul Direcției Generale de Autorizare a Jocurilor de Noroc și confirmat de Comitet cu prilejul emiterii autorizațiilor.</w:t>
      </w:r>
    </w:p>
    <w:p>
      <w:pPr>
        <w:pStyle w:val="Normal"/>
        <w:ind w:firstLine="708"/>
        <w:jc w:val="both"/>
        <w:rPr/>
      </w:pPr>
      <w:r>
        <w:rPr/>
        <w:t>Față de împrejurarea că Decizia nr. X1 a fost adoptată cu încălcarea competențelor de verificare în ceea ce privește îndeplinirea condiției (de autorizare) prevăzută de art. 15 alin. 2 litera b</w:t>
      </w:r>
      <w:r>
        <w:rPr>
          <w:rStyle w:val="Fontdeparagrafimplicit"/>
          <w:vertAlign w:val="superscript"/>
        </w:rPr>
        <w:t>1</w:t>
      </w:r>
      <w:r>
        <w:rPr/>
        <w:t xml:space="preserve"> din OUG 77/2009 și a fost aplicată cu privire la autorizații valabile, actul administrativ ridică suspiciuni rezonabile de nelegalitate.</w:t>
      </w:r>
    </w:p>
    <w:p>
      <w:pPr>
        <w:pStyle w:val="Normal"/>
        <w:ind w:firstLine="708"/>
        <w:jc w:val="both"/>
        <w:rPr/>
      </w:pPr>
      <w:r>
        <w:rPr/>
        <w:t>Mai mult, în ceea ce privește sesizarea Comitetului de Supraveghere și a limitelor învestirii sale, vă învederăm că, potrivit Ordinii de zi publicată pe pagina de internet a autorității la data de ..., emitentul a fost învestit de Direcția Generală de Supraveghere și Control să se pronunțe cu privire la propunerea de „analizare a oportunității de aplicare a măsurii de revocare a licenței”.</w:t>
      </w:r>
    </w:p>
    <w:p>
      <w:pPr>
        <w:pStyle w:val="Normal"/>
        <w:ind w:firstLine="708"/>
        <w:jc w:val="both"/>
        <w:rPr/>
      </w:pPr>
      <w:r>
        <w:rPr/>
        <w:t>Astfel cum reiese din mențiunile existente pe site-ul autorității, Direcția Generală de Supraveghere și Control a solicitat Comitetului de Supraveghere să emită un punct de vedere cu privire la oportunitatea aplicării măsurii de sancționare, respectiv a solicitat un punct de vedere cu privire la interpretarea legislației, dar nu a formulat o propunere de revocare a licenței subscrisei, pentru care ar fi fost obligatorie constatarea unei conduite ilicite din partea societății, informarea prealabilă, audierea si acordarea posibilității societății de a se apăra.</w:t>
      </w:r>
    </w:p>
    <w:p>
      <w:pPr>
        <w:pStyle w:val="Normal"/>
        <w:ind w:firstLine="708"/>
        <w:jc w:val="both"/>
        <w:rPr/>
      </w:pPr>
      <w:r>
        <w:rPr/>
        <w:t>Cu toate acestea, cu nesocotirea limitelor învestirii, Comitetul de Supraveghere a decis revocarea licenței de organizare jocuri de noroc deținute de reclamantă.</w:t>
      </w:r>
    </w:p>
    <w:p>
      <w:pPr>
        <w:pStyle w:val="Normal"/>
        <w:ind w:firstLine="708"/>
        <w:jc w:val="both"/>
        <w:rPr/>
      </w:pPr>
      <w:r>
        <w:rPr/>
        <w:t>Mai susţine că Decizia nr. X1 a fost emisă în cadrul unei ședințe a Comitetului de Supraveghere nelegal constituită.</w:t>
      </w:r>
    </w:p>
    <w:p>
      <w:pPr>
        <w:pStyle w:val="Normal"/>
        <w:ind w:firstLine="708"/>
        <w:jc w:val="both"/>
        <w:rPr/>
      </w:pPr>
      <w:r>
        <w:rPr/>
        <w:t>Conform art. 4 din Regulamentul de organizare și funcționare a Comitetului de Supraveghere: „Comitetul se întrunește, de regulă, de două ori pe lună pentru avizarea documentațiilor depuse de operatorii economici sau ori de câte ori este nevoie pentru analizarea situațiilor care impun adoptarea unor decizii în regim de urgentă și va fi convocat de președintele ori vicepreședintele Oficiului, din proprie inițiativă sau la propunerea Direcției generale de autorizare jocuri de noroc”.</w:t>
      </w:r>
    </w:p>
    <w:p>
      <w:pPr>
        <w:pStyle w:val="Normal"/>
        <w:ind w:firstLine="708"/>
        <w:jc w:val="both"/>
        <w:rPr/>
      </w:pPr>
      <w:r>
        <w:rPr/>
        <w:t>În considerarea prevederilor anterior citate, reclamanta a apreciat că Decizia nr. X1 a fost adoptată în cadrul unei ședințe extraordinare. Pentru a verifica legalitatea constituirii ședinței și, subsecvent a adoptării deciziilor, condițiile convocării trebuie analizate din perspectiva dispozițiilor art. 4 din Regulamentul de organizare și funcționare a Comitetului de Supraveghere.</w:t>
      </w:r>
    </w:p>
    <w:p>
      <w:pPr>
        <w:pStyle w:val="Normal"/>
        <w:ind w:firstLine="708"/>
        <w:jc w:val="both"/>
        <w:rPr/>
      </w:pPr>
      <w:r>
        <w:rPr/>
        <w:t>În cuprinsul documentelor emise de autoritate nu există niciun indiciu cu privire la necesitatea adoptării deciziilor în regim urgent, cu atât mai mult cu cât controlul activității a fost efectuat în data de 07.05.2024, iar ședința ordinară a Comitetului era programată la data de 31.05.2024. Cerința motivării urgenței este o condiție de legalitate a actelor emise în cadrul ședințelor extraordinare, deciziile Comitetului fiind valid adoptate numai în condițiile în care ședința este legal constituită.</w:t>
      </w:r>
    </w:p>
    <w:p>
      <w:pPr>
        <w:pStyle w:val="Normal"/>
        <w:ind w:firstLine="708"/>
        <w:jc w:val="both"/>
        <w:rPr/>
      </w:pPr>
      <w:r>
        <w:rPr/>
        <w:t>Adoptarea unor decizii ale Comitetului privind sancționarea organizatorilor de jocuri de noroc nu reprezintă ele însele situații care să justifice convocarea în regim urgent a ședinței, împrejurare dovedită de conduita autorității în situații similare, când măsurile au fost adoptate în cadrul ședințelor ordinare.</w:t>
      </w:r>
    </w:p>
    <w:p>
      <w:pPr>
        <w:pStyle w:val="Normal"/>
        <w:ind w:firstLine="708"/>
        <w:jc w:val="both"/>
        <w:rPr/>
      </w:pPr>
      <w:r>
        <w:rPr/>
        <w:t>Analiza împrejurărilor care au format convingerea comitetului că în cauză este vorba despre o situație urgentă, (care impunea intervenția neîntârziată a autorității) prezintă relevanță atât din perspectiva respectării condiției de legalitate prevăzută de art. 4 din Regulamentul de organizare și funcționare a Comitetului de Supraveghere, dar și pentru a identifica, în lipsa oricărei alte referințe în cuprinsul Deciziei contestate, a consecințelor deosebit de grave pe care emitentul le avea în vedere la momentul analizării situației reținute în sarcina societății și pe care intenționa să le evite.</w:t>
      </w:r>
    </w:p>
    <w:p>
      <w:pPr>
        <w:pStyle w:val="Normal"/>
        <w:ind w:firstLine="708"/>
        <w:jc w:val="both"/>
        <w:rPr/>
      </w:pPr>
      <w:r>
        <w:rPr/>
        <w:t>Dată fiind lipsa oricărei mențiuni cu privire la necesitatea convocării urgente a ședinței Comitetului de Supraveghere în cuprinsul actelor comunicate de autoritate, concluzia nu poate fi decât în sensul că ședința a fost nelegal constituită, actele adoptate în aceste condiții fiind la rândul lor prezumate nelegale.</w:t>
      </w:r>
    </w:p>
    <w:p>
      <w:pPr>
        <w:pStyle w:val="Normal"/>
        <w:ind w:firstLine="708"/>
        <w:jc w:val="both"/>
        <w:rPr/>
      </w:pPr>
      <w:r>
        <w:rPr/>
        <w:t>Arată că decizia nr. X1 este nemotivată.</w:t>
      </w:r>
    </w:p>
    <w:p>
      <w:pPr>
        <w:pStyle w:val="Normal"/>
        <w:ind w:firstLine="708"/>
        <w:jc w:val="both"/>
        <w:rPr/>
      </w:pPr>
      <w:r>
        <w:rPr/>
        <w:t>Temeiul de drept reținut de Comitetul de Supraveghere în revocarea licenței de organizare a jocurilor de noroc tip slot- machine deținută de reclamantă îl constituie prevederile art. 17 alin. (2) lit. i) din OUG nr. 77/2009, potrivit cărora:</w:t>
      </w:r>
    </w:p>
    <w:p>
      <w:pPr>
        <w:pStyle w:val="Normal"/>
        <w:ind w:firstLine="708"/>
        <w:jc w:val="both"/>
        <w:rPr/>
      </w:pPr>
      <w:r>
        <w:rPr/>
        <w:t>„</w:t>
      </w:r>
      <w:r>
        <w:rPr/>
        <w:t>(2) Comitetul de Supraveghere al O.N.J.N. dispune, în funcție de consecințele produse, măsura revocării licenței de organizare a jocurilor de noroc și a licenței clasa a II-a pentru activități conexe, în una dintre următoarele situații:</w:t>
      </w:r>
    </w:p>
    <w:p>
      <w:pPr>
        <w:pStyle w:val="Normal"/>
        <w:ind w:firstLine="708"/>
        <w:jc w:val="both"/>
        <w:rPr/>
      </w:pPr>
      <w:r>
        <w:rPr/>
        <w:t>i) nerespectarea oricăreia dintre prevederile cuprinse la art. 5 alin. (8) și alin. (9), art. 10 alin. (4) și alin. (6), art. 12 alin. (2), alin. (8) și alin. (9), art. 14 alin. (2), art. 15 alin. (2) și (6), art. 16 și art. 21.”</w:t>
      </w:r>
    </w:p>
    <w:p>
      <w:pPr>
        <w:pStyle w:val="Normal"/>
        <w:ind w:firstLine="708"/>
        <w:jc w:val="both"/>
        <w:rPr/>
      </w:pPr>
      <w:r>
        <w:rPr/>
        <w:t>După cum se poate observa din textul de lege citat anterior, temeiul legal care dă posibilitatea autorității de a suprima dreptul societății desfășura activitatea economică impune membrilor Comitetului de Supraveghere al ONJN să efectueze o analiză prealabilă a condițiilor şi a consecințelor care decurg din aplicarea măsurii revocării licenței de organizare jocuri de noroc.</w:t>
      </w:r>
    </w:p>
    <w:p>
      <w:pPr>
        <w:pStyle w:val="Normal"/>
        <w:ind w:firstLine="708"/>
        <w:jc w:val="both"/>
        <w:rPr/>
      </w:pPr>
      <w:r>
        <w:rPr/>
        <w:t>Rațiunea pentru care legiuitorul a ales să reglementeze posibilitatea Comitetului de Supraveghere de a aplica măsura revocării în funcție de circumstanțele faptice, este reprezentată de faptul că, potrivit prevederile art. 53 alin. (2) din Constituția României, restrângerea exercițiului drepturilor șî libertăților poate fi dispusă numai dacă este necesară, iar o atare măsură trebuie să fie proporțională cu situația care a determinat-o.</w:t>
      </w:r>
    </w:p>
    <w:p>
      <w:pPr>
        <w:pStyle w:val="Normal"/>
        <w:ind w:firstLine="708"/>
        <w:jc w:val="both"/>
        <w:rPr/>
      </w:pPr>
      <w:r>
        <w:rPr/>
        <w:t>Așadar, Comitetul de Supraveghere avea obligația legală de a analiza, a priori, condițiile care determină aplicarea sancțiunii, dar și circumstanțele și consecințele faptei care s-ar fi reținut în sarcina subscrisei, numai în funcție de aceste criterii urmând a fi analizată necesitatea aplicării unei sancțiuni atât de drastice, care are ca efect direct suprimarea dreptului subscrisei de a desfășura activitatea economică.</w:t>
      </w:r>
    </w:p>
    <w:p>
      <w:pPr>
        <w:pStyle w:val="Normal"/>
        <w:ind w:firstLine="708"/>
        <w:jc w:val="both"/>
        <w:rPr/>
      </w:pPr>
      <w:r>
        <w:rPr/>
        <w:t>În virtutea principiilor legalității și transparenței decizionale, principii generale de drept public, ce stau la baza obligației de motivare a actului administrativ, autoritatea avea îndatorirea de a analiza și de a prezenta în cuprinsul Deciziei nr. X1 elementele care au determinat autoritatea să adopte măsura revocării.</w:t>
      </w:r>
    </w:p>
    <w:p>
      <w:pPr>
        <w:pStyle w:val="Normal"/>
        <w:ind w:firstLine="708"/>
        <w:jc w:val="both"/>
        <w:rPr/>
      </w:pPr>
      <w:r>
        <w:rPr/>
        <w:t>Însă, în cuprinsul deciziei, se regăsește doar o preluare pur formală a celor constatate de către inspectorii ONJN în cadrul controlului din data de 07.05.2024, mai exact, s-a reținut în mod succint că; „la data de 07.05.2024 la punctul de lucru al societății, situat în localitatea ..., județul ..., au fost identificate un număr de 3 mijloace de joc de tip slot machine, fapt consemnat în procesul verbal seria ONJN/B nr. ...1/ 07.05.2024. Astfel, ia punctul de lucru menționat a fost constatată în sarcina organizatorului de jocuri de noroc de tip slot-machines R1 S.R.L încălcarea prevederilor art. 15, alin. 2 litera b1 din OUG 77/2009”.</w:t>
      </w:r>
    </w:p>
    <w:p>
      <w:pPr>
        <w:pStyle w:val="Normal"/>
        <w:ind w:firstLine="708"/>
        <w:jc w:val="both"/>
        <w:rPr/>
      </w:pPr>
      <w:r>
        <w:rPr/>
        <w:t>Invocă faptul că Decizia nr. X1 a fost emisă cu încălcarea principiului neretroactivității legii.</w:t>
      </w:r>
    </w:p>
    <w:p>
      <w:pPr>
        <w:pStyle w:val="Normal"/>
        <w:ind w:firstLine="708"/>
        <w:jc w:val="both"/>
        <w:rPr>
          <w:i/>
          <w:i/>
        </w:rPr>
      </w:pPr>
      <w:r>
        <w:rPr/>
        <w:t>Astfel cum a arătat anterior, societatea dobândise dreptul de a exploata mijloacele de joc, în baza autorizațiilor care erau în vigoare la data adoptării legii noi (Legea 107/2024).</w:t>
      </w:r>
    </w:p>
    <w:p>
      <w:pPr>
        <w:pStyle w:val="Normal"/>
        <w:ind w:firstLine="708"/>
        <w:jc w:val="both"/>
        <w:rPr/>
      </w:pPr>
      <w:r>
        <w:rPr/>
        <w:t>Aceste împrejurări sunt de natură să ridice suspiciuni inclusiv cu privire la încălcarea principiului legalității reglementat de art. 6 din OUG nr. 57/2019 privind Codul administrativ conform căruia „Autoritățile și instituțiile administrației publice, precum și personalul acestora au obligația de o acționa cu respectarea prevederilor legale în vigoare și a tratatelor și a convențiilor internaționale la care România este parte”.</w:t>
      </w:r>
    </w:p>
    <w:p>
      <w:pPr>
        <w:pStyle w:val="Normal"/>
        <w:ind w:firstLine="708"/>
        <w:jc w:val="both"/>
        <w:rPr/>
      </w:pPr>
      <w:r>
        <w:rPr/>
        <w:t>Consecințele actului administrativ se produc atât în patrimoniul societății, dar și în patrimoniul terților - angajați, furnizori, parteneri și bugetul de stat, acesta din urmă afectat în mod direct (ca urmare a imposibilității subscrisei de executare a oricăror plăți), dar și indirect, prin plata ajutorului de șomaj și pierderea taxelor și impozitelor indirecte generate de activitatea reclamantei.</w:t>
      </w:r>
    </w:p>
    <w:p>
      <w:pPr>
        <w:pStyle w:val="Normal"/>
        <w:ind w:firstLine="708"/>
        <w:jc w:val="both"/>
        <w:rPr/>
      </w:pPr>
      <w:r>
        <w:rPr/>
        <w:t>Astfel cum rezultă la simpla analiză a dispozițiilor Deciziei nr. X1, concomitent cu revocarea licenței de organizare a activității, autoritatea a dispus, prin art. 3 din decizie, obligarea societății la plata taxelor aferente autorizațiilor de exploatare:</w:t>
      </w:r>
    </w:p>
    <w:p>
      <w:pPr>
        <w:pStyle w:val="Normal"/>
        <w:ind w:firstLine="708"/>
        <w:jc w:val="both"/>
        <w:rPr/>
      </w:pPr>
      <w:r>
        <w:rPr/>
        <w:t>„</w:t>
      </w:r>
      <w:r>
        <w:rPr/>
        <w:t>Art. 3 R1 S.R.L. este obligată să achite diferența rămasă de plată din taxa anuală aferentă autorizațiilor de exploatare a jocurilor de noroc, în conformitate cu prevederile art. 17 alin. 9) din Ordonanța de Urgență a Guvernului nr. 77/2009.”</w:t>
      </w:r>
    </w:p>
    <w:p>
      <w:pPr>
        <w:pStyle w:val="Normal"/>
        <w:ind w:firstLine="708"/>
        <w:jc w:val="both"/>
        <w:rPr/>
      </w:pPr>
      <w:r>
        <w:rPr/>
        <w:t>Conform dispozițiilor art. 17 alin. 9) din OUG 77/2009, obligația organizatorilor de jocuri de noroc de plată a taxelor subzistă oricărei situații care determină revocarea licenței, chiar dacă dreptul de organizare și exploatare a activității nu mai este recunoscut: „După revocarea licenței de organizare a jocurilor de noroc, pe perioada suspendării autorizației de exploatare a jocurilor de noroc, precum și după încetarea activității de jocuri de noroc, sub orice formă, operatorii economici organizatori de jocuri de noroc sunt obligați să achite diferența rămasă de plată din taxa anuală aferentă autorizației/autorizațiilor de exploatare a jocurilor de noroc.”</w:t>
      </w:r>
    </w:p>
    <w:p>
      <w:pPr>
        <w:pStyle w:val="Normal"/>
        <w:ind w:firstLine="708"/>
        <w:jc w:val="both"/>
        <w:rPr/>
      </w:pPr>
      <w:r>
        <w:rPr/>
        <w:t>Totodată, potrivit dispoziții lor art. 12 alin. 5 din OUG 77/2009, “în situația în care un operator economic nu mai deține licență de organizare a jocurilor de noroc validă, indiferent de motivul care a generat această stare, autorizațiile de exploatare a jocurilor de noroc emise în favoarea acestuia își pierd valabilitatea cu aceeași dată, iar operatorul economic respectiv este obligat ia plata taxelor de autorizare aferente, conform prevederilor art. 14.”</w:t>
      </w:r>
    </w:p>
    <w:p>
      <w:pPr>
        <w:pStyle w:val="Normal"/>
        <w:ind w:firstLine="708"/>
        <w:jc w:val="both"/>
        <w:rPr/>
      </w:pPr>
      <w:r>
        <w:rPr/>
        <w:t>Prin urmare, revocarea Licenței de organizare jocuri de noroc tip slot-machine emisă pe numele reclamantei determină înlăturarea dreptului de desfășurare a activității economice, imposibilitatea de a mai realiza venituri, dar menținerea obligațiilor de plată decurgând din deținerea licenței și autorizațiilor.</w:t>
      </w:r>
    </w:p>
    <w:p>
      <w:pPr>
        <w:pStyle w:val="Normal"/>
        <w:ind w:firstLine="708"/>
        <w:jc w:val="both"/>
        <w:rPr/>
      </w:pPr>
      <w:r>
        <w:rPr/>
        <w:t>Prin urmare, în sarcina societății vor fi menținute obligațiile de plată, după cum urmează:</w:t>
      </w:r>
    </w:p>
    <w:p>
      <w:pPr>
        <w:pStyle w:val="Normal"/>
        <w:ind w:firstLine="708"/>
        <w:jc w:val="both"/>
        <w:rPr/>
      </w:pPr>
      <w:r>
        <w:rPr/>
        <w:t>i) Taxa aferentă licenței de organizare a jocurilor de noroc -150.000 Euro (conform art. 1, punctul l, litera G) din Anexa la OUG 77/2009); taxa a fost achitată în avans, pentru întregul an de valabilitate a licenței, conform dispozițiilor art. 14 alin. 2 litera a, punctul ii) din OUG 77/2009); societatea nu va putea cere restituirea sumelor aferente perioadei în care nu desfășoară activitate ca urmare a aplicării actului administrativ contestat;</w:t>
      </w:r>
    </w:p>
    <w:p>
      <w:pPr>
        <w:pStyle w:val="Normal"/>
        <w:ind w:firstLine="708"/>
        <w:jc w:val="both"/>
        <w:rPr/>
      </w:pPr>
      <w:r>
        <w:rPr/>
        <w:t>ii) Contribuția anuală la fondul de prevenire a dependenței de jocuri de noroc: 300 Euro/mijloc de joc, conform art. 10 alin. 4, punctul iv) din OUG 77/2009;</w:t>
      </w:r>
    </w:p>
    <w:p>
      <w:pPr>
        <w:pStyle w:val="Normal"/>
        <w:ind w:firstLine="708"/>
        <w:jc w:val="both"/>
        <w:rPr/>
      </w:pPr>
      <w:r>
        <w:rPr/>
        <w:t>iii) Taxa anuală aferentă autorizațiilor de exploatare a activității - 5300 Euro/mijloc de joc, conform art. 1, punctul II, litera G) din Anexa la OUG 77/2009;</w:t>
      </w:r>
    </w:p>
    <w:p>
      <w:pPr>
        <w:pStyle w:val="Normal"/>
        <w:ind w:firstLine="708"/>
        <w:jc w:val="both"/>
        <w:rPr/>
      </w:pPr>
      <w:r>
        <w:rPr/>
        <w:t>iv) Taxa de viciu (anuală) - 500 Euro/mijloc de joc, conform art. 3 punctul C din Anexa la OUG 77/2009.</w:t>
      </w:r>
    </w:p>
    <w:p>
      <w:pPr>
        <w:pStyle w:val="Normal"/>
        <w:ind w:firstLine="708"/>
        <w:jc w:val="both"/>
        <w:rPr/>
      </w:pPr>
      <w:r>
        <w:rPr/>
        <w:t>La momentul emiterii Deciziei contestate, societatea deținea autorizații pentru un număr total de 166 de mijloace de joc, a căror valabilitate a încetat ca urmare a deciziei de revocare a licenței.</w:t>
      </w:r>
    </w:p>
    <w:p>
      <w:pPr>
        <w:pStyle w:val="Normal"/>
        <w:ind w:firstLine="708"/>
        <w:jc w:val="both"/>
        <w:rPr/>
      </w:pPr>
      <w:r>
        <w:rPr/>
        <w:t>Prin urmare, obligațiile de plată către bugetul de stat, pe care societatea este obligată să le execute pentru perioada în care nu are dreptul de a desfășura activitate, rezultând din aplicarea imediată a actului administrativ contestat sunt în cuantum de 573.742 Euro (respectiv 2.854.252 de lei, la cursul de schimb stabilit pentru conversia monedei euro, conform Anexei la OUG 77/2009).</w:t>
      </w:r>
    </w:p>
    <w:p>
      <w:pPr>
        <w:pStyle w:val="Normal"/>
        <w:ind w:firstLine="708"/>
        <w:jc w:val="both"/>
        <w:rPr/>
      </w:pPr>
      <w:r>
        <w:rPr/>
        <w:t>Pierderea financiară lunară medie (constând în venituri nerealizate), pe care societatea o va avea de suporta, calculată pe baza rezultatelor financiare din perioada ianuarie - mai 2024 este de 1.505.354 lei.</w:t>
      </w:r>
    </w:p>
    <w:p>
      <w:pPr>
        <w:pStyle w:val="Normal"/>
        <w:ind w:firstLine="708"/>
        <w:jc w:val="both"/>
        <w:rPr/>
      </w:pPr>
      <w:r>
        <w:rPr/>
        <w:t>Conform Fișei Sintetice emisă de Administrația Județeană a Finanțelor Publice ...., la data de 31.05.2024, societatea a achitat cu titlul de impozite, taxe directe ți contribuții către bugetul de stat consolidat, în perioada 01.01.2020 - 31.05.2024, suma de 23.140.178 lei, fiind un contribuabil fără istoric de dificultăți de plată.</w:t>
      </w:r>
    </w:p>
    <w:p>
      <w:pPr>
        <w:pStyle w:val="Normal"/>
        <w:ind w:firstLine="708"/>
        <w:jc w:val="both"/>
        <w:rPr/>
      </w:pPr>
      <w:r>
        <w:rPr/>
        <w:t>În vederea garantării obligațiilor de plată către bugetul de stat, societatea a constituit la data de 16.01.2024 fond de garanție în valoare de 2.487.500 lei, în contul Trezoreriei Municipiului /...., depozitul aflându-se la dispoziția organului fiscal.</w:t>
      </w:r>
    </w:p>
    <w:p>
      <w:pPr>
        <w:pStyle w:val="Normal"/>
        <w:ind w:firstLine="708"/>
        <w:jc w:val="both"/>
        <w:rPr/>
      </w:pPr>
      <w:r>
        <w:rPr/>
        <w:t>Punerea imediată în executare a actului administrativ, cu consecința lipsirii societății de venituri, va determina imposibilitatea îndeplinirii obligațiilor fiscale, aplicarea dobânzilor și penalităților de întârziere ți compensarea parțială a obligațiilor restante cu sumele disponibile în fondul de garanție, iar odată cu intrarea societății în incapacitate de plată, afectarea bugetelor locale și a bugetului de stat, prin reducerea încasărilor directe și indirecte, în ceea ce privește consecințele sociale ale punerii în executare a Deciziei contestate, vă solicităm să constatați că în activitatea societății sunt angrenați 19 salariați, valoarea totală medie a cheltuielilor aferente personalului {inclusiv salarii, alte drepturi salariate, taxe, contribuții și impozite aferente) fiind de aproximativ 100.000 Lei lunar (96.591 lei, achitată în cursul lunii martie 2024, conform Balanței de verificare pentru perioada 01.03.2024- 31.03.2024, anexată prezentei).</w:t>
      </w:r>
    </w:p>
    <w:p>
      <w:pPr>
        <w:pStyle w:val="Normal"/>
        <w:ind w:firstLine="708"/>
        <w:jc w:val="both"/>
        <w:rPr/>
      </w:pPr>
      <w:r>
        <w:rPr/>
        <w:t>În condițiile în care societatea nu mai poate desfășura activitate, salariații societății vor fi indisponibilități, sarcina financiară fiind transferată către bugetul de stat, pentru achitarea indemnizațiilor de șomai. în afara consecințelor financiare, încetarea intempestivă a raporturilor de muncă produce consecințe sociale și individuale semnificative, cu atât mai mult cu cât unele dintre contractele de muncă sunt în vigoare de mai mult de 10 ani (astfel cu rezultă din Registrul salariaților, anexat prezentei).</w:t>
      </w:r>
    </w:p>
    <w:p>
      <w:pPr>
        <w:pStyle w:val="Normal"/>
        <w:ind w:firstLine="708"/>
        <w:jc w:val="both"/>
        <w:rPr/>
      </w:pPr>
      <w:r>
        <w:rPr/>
        <w:t>Acestor obligații li se adaugă obligațiile financiare către partenerii și furnizorii societății. Astfel cum rezultă din Situația furnizorilor (anexată prezentei), fluxurile comerciale ale societății, respectiv achiziția de bunuri și servicii, în perioada 01.03.2024- 31.03.2024, au implicat plăți totale de 714.678, 67 lei, sume pe care societatea nu le va mai putea achita în condițiile încetării activității.</w:t>
      </w:r>
    </w:p>
    <w:p>
      <w:pPr>
        <w:pStyle w:val="Normal"/>
        <w:ind w:firstLine="708"/>
        <w:jc w:val="both"/>
        <w:rPr/>
      </w:pPr>
      <w:r>
        <w:rPr/>
        <w:t>Societatea desfășoară activitatea în incinta a 44 de puncte de lucru, înregistrate în temeiul unor contracte de închiriere/subînchiriere (astfel cum rezultă din Certificatul constatator nr. .../ 13.06.2024, anexat prezentei). Odată cu încetarea contractelor, societatea va pierde investițiile realizate în amenajarea și întreținerea acestora.</w:t>
      </w:r>
    </w:p>
    <w:p>
      <w:pPr>
        <w:pStyle w:val="Normal"/>
        <w:ind w:firstLine="708"/>
        <w:jc w:val="both"/>
        <w:rPr/>
      </w:pPr>
      <w:r>
        <w:rPr/>
        <w:t>Este de la sine înțeles că, dată fiind măsura dispusă prin decizia a cărei suspendare se solicită, societatea se va afla în imposibilitatea de a-și executa obligațiile față de partenerii contractuali, ca urmare a lipsei de venituri, cu consecința atragerii răspunderii contractuale.</w:t>
      </w:r>
    </w:p>
    <w:p>
      <w:pPr>
        <w:pStyle w:val="Normal"/>
        <w:ind w:firstLine="708"/>
        <w:jc w:val="both"/>
        <w:rPr/>
      </w:pPr>
      <w:r>
        <w:rPr/>
        <w:t>În condițiile în care societatea este împiedicată să desfășoare activitatea, (urmare a unui act administrativ care ridică suspiciuni rezonabile de nelegalitate) și, în consecință, este lipsită de posibilitatea de a obține venituri, consecința imediată o reprezintă iminenta intrare a societății în incapacitate de plată, respectiv în imposibilitatea executării obligațiilor, situație care va determina falimentul și lichidarea bunurilor societății.</w:t>
      </w:r>
    </w:p>
    <w:p>
      <w:pPr>
        <w:pStyle w:val="Normal"/>
        <w:ind w:firstLine="708"/>
        <w:jc w:val="both"/>
        <w:rPr/>
      </w:pPr>
      <w:r>
        <w:rPr/>
        <w:t>Odată ce imaginea societății este afectată în cel mai grav mod (societatea fiind acuzată că desfășoară activități în mod nelegal, care ar fi justificat aplicarea unei sancțiuni de către ONJN), în eventualitatea probabilă a anulării actului, refacerea imaginii și reputației companiei, respectiv înlăturarea din percepția publică a neîncrederii asociate acțiunilor societății și recuperarea relațiilor comerciale, de afaceri și a raporturilor de muncă presupun un proces îndelungat, care implică alocarea unor resurse distincte (financiare și umane) fără garanția că acestea ar conduce la repararea pagubei pricinuite, simpla anulare a actului administrativ nefiind suficientă pentru a repune societatea în situația anterioară.</w:t>
      </w:r>
    </w:p>
    <w:p>
      <w:pPr>
        <w:pStyle w:val="Normal"/>
        <w:ind w:firstLine="708"/>
        <w:jc w:val="both"/>
        <w:rPr/>
      </w:pPr>
      <w:r>
        <w:rPr/>
        <w:t>Prin urmare, demersul reclamantei urmărește prevenirea unei serii de consecințe care vor conduce la producerea unor prejudicii considerabile, greu sau imposibil de reparat in ipoteza în care executarea actul administrativ nu este suspendată, această situație fiind circumscrisă pe deplin noțiunii de pagubă iminentă definită de dispozițiile art. 2 alin. (1) lit. ş) din Legea 554/2004.</w:t>
      </w:r>
    </w:p>
    <w:p>
      <w:pPr>
        <w:pStyle w:val="Normal"/>
        <w:ind w:firstLine="708"/>
        <w:jc w:val="both"/>
        <w:rPr/>
      </w:pPr>
      <w:r>
        <w:rPr/>
        <w:t>Având în vedere argumentele expuse, reclamanta a solicitat ca prin hotărârea ce se va pronunța să se dispună suspendarea în tot a Deciziei Comitetului de Supraveghere din cadrul ONJN nr. X1 privind revocarea Licenței de organizare a jocurilor de noroc tip slot-machine nr. ... până la până la pronunțarea instanței de fond.</w:t>
      </w:r>
    </w:p>
    <w:p>
      <w:pPr>
        <w:pStyle w:val="Normal"/>
        <w:ind w:firstLine="708"/>
        <w:jc w:val="both"/>
        <w:rPr/>
      </w:pPr>
      <w:r>
        <w:rPr/>
        <w:t>În drept, prezenta acțiune a fost întemeiată pe dispozițiile art. 14 din Legea nr. 554/2004 privind contenciosul administrativ.</w:t>
      </w:r>
    </w:p>
    <w:p>
      <w:pPr>
        <w:pStyle w:val="Normal"/>
        <w:ind w:firstLine="708"/>
        <w:jc w:val="both"/>
        <w:rPr/>
      </w:pPr>
      <w:r>
        <w:rPr/>
        <w:t xml:space="preserve">În dovedirea susținerilor sale, în temeiul art. 254 Cod procedură civilă, reclamanta a solicitat încuviințarea probei cu înscrisurile anexate prezentei cereri, precum și a oricăror probe a căror necesitate se va ivi pe parcurs. </w:t>
      </w:r>
    </w:p>
    <w:p>
      <w:pPr>
        <w:pStyle w:val="Normal"/>
        <w:ind w:firstLine="708"/>
        <w:jc w:val="both"/>
        <w:rPr/>
      </w:pPr>
      <w:r>
        <w:rPr/>
        <w:t>În dovedirea susținerilor sale, reclamanta a anexat prezentei următoarele înscrisuri: împuternicire avocațială; dovada achitării taxei de timbru judiciar; Anexa nr. 1 - Decizia nr. X1 privind revocarea Licenței de organizare a jocurilor de noroc tip slot- machine nr. ...; Anexa nr. 2 - Plângerea prealabilă formulată împotrivit Deciziei nr. X1; Anexa nr. 3 - Procesul-Verbal de control nr. ...6/ 07.05.2024; Anexa nr. 4 - Hotărârea nr. 4 din data de 05.06.2024, pronunțară de înalta Curte de Casație și Justiție - Secțiile Unite; Anexa nr. 5-Ordinea de zi pentru ședința extraordinară a Comitetului de Supraveghere din data de ..., Anexa nr. 6 - Comunicatul din data de ...  publicat de ONJN pe pagina de internet www.onin.gov.ro cuprinzând clarificări privind modul de interpretare și aplicare a prevederilor art. 15 alin. (2) lit. bAl) din OUG nr. 77/2009; Articol de presă publicat pe pagina de internet www.... .ro cu privire la comunicatul de presă din ...  al ONJN; Anexa nr. 7 - Decizia nr. ... 2/29.07.2019 de acordare a Licenței de organizare a jocurilor de noroc la distanță seria ...; Anexa nr. 8 - Decizia nr. ...6/19.06.2023 de aprobare a autorizațiilor de exploatare pentru 4 mijloace de joc; Anexa nr. 9 - Decizia nr. ...3/18.08.2023 de aprobare a autorizațiilor de exploatare pentru 70 de mijloace de joc; Anexa nr. 10 - Decizia nr. .../22.11.2023 de aprobarea a autorizațiilor de exploatare pentru 44 de mijloacele de joc, printre care și mijloacele de joc având seriile ...6 și ...9; Anexa nr. 11-Decizia nr. .../13.03.2024 de aprobare a autorizației de exploatare pentru 48 de mijloace de joc, printre care și mijlocul de joc având seria ...3; Anexa nr. 12 - Declarații lunare privind veniturile realizate de organizatorii de jocuri de noroc de tip slot- machines (ianuarie- mai 2024); Anexa nr. 13 - Fișa Sintetică Simplificată emisă de Administrația Județeană a Finanțelor Publice ...în data de 31.05.2024, calcul accesorii până la data de 31.05.2024; Anexa nr. 14 - Extras de cont din data de 16.01.2024, ce atestă constituirea fondului de garanție; Anexa nr. 15 - Balanța de verificare pentru perioada 01.03.2024-31.03.2024; Anexa nr. 16 - Registru Salariați R1 SRL; Anexa nr. 17 - Situație Furnizori pentru perioada 01.03.2024-31.03.2024; Anexa nr. 18 - Certificat Constatator R1 SRL nr. .../ 13.06.2024;</w:t>
      </w:r>
    </w:p>
    <w:p>
      <w:pPr>
        <w:pStyle w:val="Normal"/>
        <w:ind w:firstLine="708"/>
        <w:jc w:val="both"/>
        <w:rPr/>
      </w:pPr>
      <w:r>
        <w:rPr/>
        <w:t xml:space="preserve">La data de 10.07.2024, pârâtul </w:t>
      </w:r>
      <w:r>
        <w:rPr>
          <w:rStyle w:val="Fontdeparagrafimplicit"/>
          <w:b/>
        </w:rPr>
        <w:t>Oficiul Naţional pentru Jocuri de Noroc</w:t>
      </w:r>
      <w:r>
        <w:rPr/>
        <w:t xml:space="preserve"> a depus</w:t>
      </w:r>
      <w:r>
        <w:rPr>
          <w:rStyle w:val="Fontdeparagrafimplicit"/>
          <w:b/>
        </w:rPr>
        <w:t xml:space="preserve"> „</w:t>
      </w:r>
      <w:r>
        <w:rPr>
          <w:rStyle w:val="Fontdeparagrafimplicit"/>
          <w:b/>
          <w:i/>
        </w:rPr>
        <w:t>întâmpinare</w:t>
      </w:r>
      <w:r>
        <w:rPr>
          <w:rStyle w:val="Fontdeparagrafimplicit"/>
          <w:b/>
        </w:rPr>
        <w:t xml:space="preserve">” </w:t>
      </w:r>
      <w:r>
        <w:rPr/>
        <w:t>prin care a prin care a solicitat respingerea cererii de suspendare.</w:t>
      </w:r>
    </w:p>
    <w:p>
      <w:pPr>
        <w:pStyle w:val="Normal"/>
        <w:ind w:firstLine="708"/>
        <w:jc w:val="both"/>
        <w:rPr/>
      </w:pPr>
      <w:r>
        <w:rPr/>
        <w:t>I. Pe cale de excepție, a invocat:</w:t>
      </w:r>
    </w:p>
    <w:p>
      <w:pPr>
        <w:pStyle w:val="Normal"/>
        <w:ind w:firstLine="708"/>
        <w:jc w:val="both"/>
        <w:rPr/>
      </w:pPr>
      <w:r>
        <w:rPr/>
        <w:t>a. Excepția lipsei calității procesuale pasive a Comitetului de Supraveghere și a președintelui ONJN.</w:t>
      </w:r>
    </w:p>
    <w:p>
      <w:pPr>
        <w:pStyle w:val="Normal"/>
        <w:ind w:firstLine="708"/>
        <w:jc w:val="both"/>
        <w:rPr/>
      </w:pPr>
      <w:r>
        <w:rPr/>
        <w:t>OUG nr. 20/2013 privind înființarea, organizarea și funcționarea Oficiului Național pentru Jocuri de Noroc și pentru modificarea și complotarea Ordonanței de urgentă a Guvernului nr. 77/2009 privind organizarea și exploatarea jocurilor de noroc</w:t>
      </w:r>
    </w:p>
    <w:p>
      <w:pPr>
        <w:pStyle w:val="Normal"/>
        <w:ind w:firstLine="708"/>
        <w:jc w:val="both"/>
        <w:rPr/>
      </w:pPr>
      <w:r>
        <w:rPr/>
        <w:t xml:space="preserve"> </w:t>
      </w:r>
      <w:r>
        <w:rPr/>
        <w:t>În cadrul Oficiului se înființează un comitet de supraveghere, denumit în continuare Comitetul, structura deliberativă și decizională, având următoarele atribuții:</w:t>
      </w:r>
    </w:p>
    <w:p>
      <w:pPr>
        <w:pStyle w:val="Normal"/>
        <w:ind w:firstLine="708"/>
        <w:jc w:val="both"/>
        <w:rPr/>
      </w:pPr>
      <w:r>
        <w:rPr/>
        <w:t>a) acordă dreptul de organizare și funcționare, avizele și/sau aprobările necesare înființării și funcționării jocurilor de noroc în România, conform prevederilor legale în vigoare;</w:t>
      </w:r>
    </w:p>
    <w:p>
      <w:pPr>
        <w:pStyle w:val="Normal"/>
        <w:ind w:firstLine="708"/>
        <w:jc w:val="both"/>
        <w:rPr/>
      </w:pPr>
      <w:r>
        <w:rPr/>
        <w:t>b) anulează, revocă, suspendă efectele documentelor privind dreptul de organizare și  funcționare în domeniul jocurilor de noroc și ale deciziilor emise, potrivit legislaţiei în vigoare;</w:t>
      </w:r>
    </w:p>
    <w:p>
      <w:pPr>
        <w:pStyle w:val="Normal"/>
        <w:ind w:firstLine="708"/>
        <w:jc w:val="both"/>
        <w:rPr/>
      </w:pPr>
      <w:r>
        <w:rPr/>
        <w:t>c) soluționează plângerile prealabile formulate de organizatorii de jocuri de noroc împotriva deciziilor Comitetului;</w:t>
      </w:r>
    </w:p>
    <w:p>
      <w:pPr>
        <w:pStyle w:val="Normal"/>
        <w:ind w:firstLine="708"/>
        <w:jc w:val="both"/>
        <w:rPr/>
      </w:pPr>
      <w:r>
        <w:rPr/>
        <w:t>d) încadrează din punct de vedere al legislației jocurilor de noroc o activitate desfășurată sau propusă a fi desfășurată de către un operator în categoriile de jocuri de noroc prevăzute de lege sau în afara acestora, după caz, în urma constatărilor proprii sau a sesizărilor ori cererilor primite.</w:t>
      </w:r>
    </w:p>
    <w:p>
      <w:pPr>
        <w:pStyle w:val="Normal"/>
        <w:ind w:firstLine="708"/>
        <w:jc w:val="both"/>
        <w:rPr/>
      </w:pPr>
      <w:r>
        <w:rPr/>
        <w:t>(2) În exercitarea atribuțiilor sale, Comitetul emite acte administrative sub formă de decizii semnate de președintele Oficiului, care pot fi contestate în condiţiile legii.”</w:t>
      </w:r>
    </w:p>
    <w:p>
      <w:pPr>
        <w:pStyle w:val="Normal"/>
        <w:ind w:firstLine="708"/>
        <w:jc w:val="both"/>
        <w:rPr/>
      </w:pPr>
      <w:r>
        <w:rPr/>
        <w:t>Din textul de lege reiese fără echivoc cum că Comitetul de supraveghere nu este  o persoana juridică distinctă, astfel încât nu poate sta în judecată în nume propriu.</w:t>
      </w:r>
    </w:p>
    <w:p>
      <w:pPr>
        <w:pStyle w:val="Normal"/>
        <w:ind w:firstLine="708"/>
        <w:jc w:val="both"/>
        <w:rPr/>
      </w:pPr>
      <w:r>
        <w:rPr/>
        <w:t>De asemenea, președintele instituției nu are calitate procesuală pasivă în cazul de față, întrucât acesta reprezintă Oficiul Național pentru Jocuri de Noroc și în această calitate semnează actele administrative emise în exercitarea atribuțiilor sale, potrivit dispozițiilor art. 1, 6, 7 şi 8 din același act normativ.</w:t>
      </w:r>
    </w:p>
    <w:p>
      <w:pPr>
        <w:pStyle w:val="Normal"/>
        <w:ind w:firstLine="708"/>
        <w:jc w:val="both"/>
        <w:rPr/>
      </w:pPr>
      <w:r>
        <w:rPr/>
        <w:t>II. Lămurirea problemei de legalitate invocate de reclamant cu privire la solicitarea admiterii cererii de suspendare a Deciziei nr. X1 din ..., conform căreia prevederile art. 15 alin. (2) lit. bA1) din O.U.G nr. 77/2009 privind organizarea și exploatarea jocurilor de noroc, cu modificările și completările ulterioare, nu este aplicabil autorizațiilor de exploatare emise anterior intrării în vigoare a Legii nr. 107/2004 privind aprobarea Ordonanței de urgență a Guvernului nr. 82/2023 pentru modificarea și completarea Ordonanței de urgență a Guvernului nr. 77/2009 privind organizarea și exploatarea jocurilor de noroc, precum și pentru modificarea Ordonanței de urgență Guvernului nr. 20/2013 privind înființarea, organizarea și funcționarea Oficiului Național pentru Jocuri de Noroc și pentru modificarea și completarea Ordonanței de urgenta Guvernului nr. 77/2009.</w:t>
      </w:r>
    </w:p>
    <w:p>
      <w:pPr>
        <w:pStyle w:val="Normal"/>
        <w:ind w:firstLine="708"/>
        <w:jc w:val="both"/>
        <w:rPr/>
      </w:pPr>
      <w:r>
        <w:rPr/>
        <w:t>H.G nr. 111/2016 pentru aprobarea Normelor metodologice de punere in aplicare a Ordonanței de urgență a Guvernului nr. 77/2009 privind organizarea și exploatarea jocurilor de noroc și pentru modificarea și completarea Hotărârii Guvernului nr. 298/2013 privind organizarea și funcționarea Oficiului Național pentru Jocuri de Noroc și pentru modificarea Hotărârii Guvernului nr. 870/2009 pentru aprobarea Normelor metodologice de aplicare a Ordonanței de urgență a Guvernului nr. 77/2009 și pentru abrogarea Hotărârii Guvernului nr. 870/2009 privind organizarea și exploatarea jocurilor de noroc.</w:t>
      </w:r>
    </w:p>
    <w:p>
      <w:pPr>
        <w:pStyle w:val="Normal"/>
        <w:ind w:firstLine="708"/>
        <w:jc w:val="both"/>
        <w:rPr/>
      </w:pPr>
      <w:r>
        <w:rPr/>
        <w:t>Pârâtul a menţionat că autorizațiile emise de ONJN, la solicitarea organizatorului de jocuri de noroc, pentru mijloacele de joc tip slot-machine, se obțin prin plata de taxe pentru fiecare mijloc de joc.</w:t>
      </w:r>
    </w:p>
    <w:p>
      <w:pPr>
        <w:pStyle w:val="Normal"/>
        <w:ind w:firstLine="708"/>
        <w:jc w:val="both"/>
        <w:rPr/>
      </w:pPr>
      <w:r>
        <w:rPr/>
        <w:t>Astfel, reclamanta care a solicitat autorizarea mijloacelor de joc de noroc tip slot- machine a achitat taxele legale pentru fiecare mijloc de joc de noroc, aceste autorizații de exploatare nefiind exploatare nefiind condiționate de o locație anume, rămânând la opțiunea organizatorului unde le exploatează, cu respectarea condițiilor legale.</w:t>
      </w:r>
    </w:p>
    <w:p>
      <w:pPr>
        <w:pStyle w:val="Normal"/>
        <w:ind w:firstLine="708"/>
        <w:jc w:val="both"/>
        <w:rPr/>
      </w:pPr>
      <w:r>
        <w:rPr/>
        <w:t>De aceea, după cum se poate analiza, pentru autorizațiile emise anterior intrării în vigoare a Legii nr 107/2024, s-a solicitat „dovada înregistrării ca punct de lucru a spațiului de joc şi o declarație pe propria răspundere din partea organizatorului că spațiul în care urmează a fi exploatate mijloacele de joc corespunde din punct de vedere sanitar și respectă normele PSI.</w:t>
      </w:r>
    </w:p>
    <w:p>
      <w:pPr>
        <w:pStyle w:val="Normal"/>
        <w:ind w:firstLine="708"/>
        <w:jc w:val="both"/>
        <w:rPr/>
      </w:pPr>
      <w:r>
        <w:rPr/>
        <w:t>Astfel, organizatorul de jocuri de noroc depunea această declarație doar pentru certificarea faptului că spațiul corespunde din punct de vedere sanitar și respectă normele PSI și dovada înregistrării ca punct de lucru a spațiului de joc.</w:t>
      </w:r>
    </w:p>
    <w:p>
      <w:pPr>
        <w:pStyle w:val="Normal"/>
        <w:ind w:firstLine="708"/>
        <w:jc w:val="both"/>
        <w:rPr/>
      </w:pPr>
      <w:r>
        <w:rPr/>
        <w:t>De asemenea, reclamantul nu precizează și nu supune analizei norma de drept în integralitatea sa, ci se rezumă la invocarea sintagmei „spaţiul propus”, fără a preciza continuarea acestei sintagme din articolul în cauză, respectiv dacă are amplasate mijloace de joc de tip slot-machine astfel cum sunt acestea definite în art. 10 alin. 1)  lit. e.</w:t>
      </w:r>
    </w:p>
    <w:p>
      <w:pPr>
        <w:pStyle w:val="Normal"/>
        <w:ind w:firstLine="708"/>
        <w:jc w:val="both"/>
        <w:rPr/>
      </w:pPr>
      <w:r>
        <w:rPr/>
        <w:t>Pârâtul a precizat că, pentru obținerea noilor autorizații, organizatorul de jocuri de noroc trebuie să respecte prevederile articolului menționat și, de asemenea, articolul astfel cum este formulat se referă la autorizații anterior emise pentru mijloacele de joc ce sunt în locația respectivă în exploatare, în condițiile în care prevederea normativă este clara „dacă are amplasate mijloace de joc de tip slot-machine astfel cum sunt acestea definite în art. 10 alin. 1) lit. e).</w:t>
      </w:r>
    </w:p>
    <w:p>
      <w:pPr>
        <w:pStyle w:val="Normal"/>
        <w:ind w:firstLine="708"/>
        <w:jc w:val="both"/>
        <w:rPr/>
      </w:pPr>
      <w:r>
        <w:rPr/>
        <w:t>Astfel, sintagma „dacă are”, cu certitudine, nu poate exista o altă interpretare, se referă la mijloace de joc deja autorizate, anterior intrării în vigoare a Legii nr. 107/2024, astfel încât noile mijloace de joc supuse cererii de autorizare nu pot funcționa în locaţiile care se află        într-o unitate administrativ teritorială cu o populație sub 15.000 de locuitori.</w:t>
      </w:r>
    </w:p>
    <w:p>
      <w:pPr>
        <w:pStyle w:val="Normal"/>
        <w:ind w:firstLine="708"/>
        <w:jc w:val="both"/>
        <w:rPr/>
      </w:pPr>
      <w:r>
        <w:rPr/>
        <w:t>În condițiile în care mijloacele de joc supuse autorizării nu îndeplinesc această condiție impusă de prevederile art. 15 alin. (2) lit. b</w:t>
      </w:r>
      <w:r>
        <w:rPr>
          <w:rStyle w:val="Fontdeparagrafimplicit"/>
          <w:vertAlign w:val="superscript"/>
        </w:rPr>
        <w:t>1</w:t>
      </w:r>
      <w:r>
        <w:rPr/>
        <w:t xml:space="preserve"> din Legea nr. 107/2024, respectiv O.U.G. nr. 77/2009. Pe cale de consecință, nici mijloacele de joc autorizate anterior Legii nr. 107/2024, nu mai pot funcționa în acea locație dacă nu mai este îndeplinită condiția prevăzută de art. 15 alin. (2) lit. b</w:t>
      </w:r>
      <w:r>
        <w:rPr>
          <w:rStyle w:val="Fontdeparagrafimplicit"/>
          <w:vertAlign w:val="superscript"/>
        </w:rPr>
        <w:t>1</w:t>
      </w:r>
      <w:r>
        <w:rPr/>
        <w:t xml:space="preserve"> din Legea nr. 107/2024.</w:t>
      </w:r>
    </w:p>
    <w:p>
      <w:pPr>
        <w:pStyle w:val="Normal"/>
        <w:ind w:firstLine="708"/>
        <w:jc w:val="both"/>
        <w:rPr/>
      </w:pPr>
      <w:r>
        <w:rPr/>
        <w:t>Această concluzie este rezultatul faptului că nu pot exista în același timp mijloace de joc, anterior autorizate Legii nr. 107/2024, care pot fi exploatate în locații existente într-o unitate administrativ teritorială sub 15.000 de locuitori si mijloace de joc autorizate ulterior intrării în vigoare a legii nr. 107/2024, care pot fi exploatate doar în unități administrativ teritoriale cu o populație peste 15.000 de locuitori.</w:t>
      </w:r>
    </w:p>
    <w:p>
      <w:pPr>
        <w:pStyle w:val="Normal"/>
        <w:ind w:firstLine="708"/>
        <w:jc w:val="both"/>
        <w:rPr/>
      </w:pPr>
      <w:r>
        <w:rPr/>
        <w:t>Legea nr. 107/2024 a fost aprobată pentru a fi aplicată si a produce efecte pentru toate mijloacele de ioc autorizate, neputând avea o „aplicare” parțială, respectiv pentru mijloacele de ioc autorizate anterior Legii nr. 107/2024 nu se aplică prevederile aprobate de Parlamentul României, aceasta aplicându-se „doar” pentru mijloacele de joc autorizate ulterior Legii nr, 107/2024, fiind o imposibilitate, în condițiile în care prin legea în cauză norma anterioară „nu mai există”, aceasta fiind aplicabilă doar până ta aprobarea noii prevederii legale, respectiv Legea nr. 107/2024.</w:t>
      </w:r>
    </w:p>
    <w:p>
      <w:pPr>
        <w:pStyle w:val="Normal"/>
        <w:ind w:firstLine="708"/>
        <w:jc w:val="both"/>
        <w:rPr/>
      </w:pPr>
      <w:r>
        <w:rPr/>
        <w:t>Astfel, posibilitatea organizatorului de jocuri de noroc de a nu respecta prevederile imperative ale art. 15 alin (2) lit. b</w:t>
      </w:r>
      <w:r>
        <w:rPr>
          <w:rStyle w:val="Fontdeparagrafimplicit"/>
          <w:vertAlign w:val="superscript"/>
        </w:rPr>
        <w:t>1</w:t>
      </w:r>
      <w:r>
        <w:rPr/>
        <w:t>) din O.U.G nr. 77/2009 privind organizarea și exploatarea jocurilor de noroc, cu modificările și completările ulterioare, pentru toate mijloacele de joc autorizate anterior aprobării Legii nr. 107/20224, nu poate fi primită, în condițiile în care autorizaţiile de exploatare se obțin doar prin achitarea taxelor conform art. 13 alin. (1) și art. 14 din O.U.G nr 77/2009 privind organizarea și exploatarea jocurilor de noroc, cu modificările completările ulterioare, spațiile în care trebuie să exploateze aceste mijloace de joc nu mai pot fi altele, ci doar cele care îndeplinesc prevederile art. 15 alin. (2) lit. b</w:t>
      </w:r>
      <w:r>
        <w:rPr>
          <w:rStyle w:val="Fontdeparagrafimplicit"/>
          <w:vertAlign w:val="superscript"/>
        </w:rPr>
        <w:t>1</w:t>
      </w:r>
      <w:r>
        <w:rPr/>
        <w:t>) din Legea nr. 107/2024.</w:t>
      </w:r>
    </w:p>
    <w:p>
      <w:pPr>
        <w:pStyle w:val="Normal"/>
        <w:ind w:firstLine="708"/>
        <w:jc w:val="both"/>
        <w:rPr/>
      </w:pPr>
      <w:r>
        <w:rPr/>
        <w:t>In caz contrar, cum a precizat, ar exista mijloace de joc, ale aceluiași organizator de jocuri de noroc, ce ar funcționa în locații existente în U.A.T.- uri cu o populație sub 15.000 de locuitori și mijloace de joc ce ar funcționa doar în locații existente în U.A.T.- uri cu o populație peste 15.000 de locuitori, ceea ce ar face ca prevederile Legii nr. 107/2024 să nu aibă finalitatea dorită, în condițiile în care norma juridică trebuie să fie interpretată în sensul aplicării ei.</w:t>
      </w:r>
    </w:p>
    <w:p>
      <w:pPr>
        <w:pStyle w:val="Normal"/>
        <w:ind w:firstLine="708"/>
        <w:jc w:val="both"/>
        <w:rPr/>
      </w:pPr>
      <w:r>
        <w:rPr/>
        <w:t>Prevederile în cauză au un caracter special, derogând de la regulile generale, fiind aplicabil organizatorilor de jocuri de noroc ce exploatează mijloace de joc tip slot-machine.</w:t>
      </w:r>
    </w:p>
    <w:p>
      <w:pPr>
        <w:pStyle w:val="Normal"/>
        <w:ind w:firstLine="708"/>
        <w:jc w:val="both"/>
        <w:rPr/>
      </w:pPr>
      <w:r>
        <w:rPr/>
        <w:t>Pârâtul a apreciat că singurele autorități în măsură să instituie, modifice și modifica norme juridice de aplicabilitate generală și, cu atât mai mult, de aplicabilitate specială, sunt Parlamentul, ca unică autoritate legiuitoare a României și Guvernul României.</w:t>
      </w:r>
    </w:p>
    <w:p>
      <w:pPr>
        <w:pStyle w:val="Normal"/>
        <w:ind w:firstLine="708"/>
        <w:jc w:val="both"/>
        <w:rPr/>
      </w:pPr>
      <w:r>
        <w:rPr/>
        <w:t>Astfel, instanțele și organizatorii de jocuri de noroc nu pot și nu au competența de a desființa norme juridice instituite prin acte normative, publicate în Monitorul Oficial al României si de a crea, în locul normelor generale sau speciale, alte norme cu aplicabilitate generală sau specială</w:t>
      </w:r>
    </w:p>
    <w:p>
      <w:pPr>
        <w:pStyle w:val="Normal"/>
        <w:ind w:firstLine="708"/>
        <w:jc w:val="both"/>
        <w:rPr/>
      </w:pPr>
      <w:r>
        <w:rPr/>
        <w:t>În concluzie, deși reclamantul invocă faptul că prevederile Legii nr. 107/2024 nu sunt aplicabile autorizațiilor de exploatare obținute anterior aprobării legii nr. 107/2024, în fapt și în drept contestă prevederile legale speciale si imperative prevăzute de art. 15 alin. 2 lit. b</w:t>
      </w:r>
      <w:r>
        <w:rPr>
          <w:rStyle w:val="Fontdeparagrafimplicit"/>
          <w:vertAlign w:val="superscript"/>
        </w:rPr>
        <w:t>1</w:t>
      </w:r>
      <w:r>
        <w:rPr/>
        <w:t>, ce trebuie interpretat în integralitatea sa din O.U.G nr. 77/2009 privind organizarea și exploatarea jocurilor de noroc, cu modificările si completările ulterioare, articol aflat in vigoare și care nu a fost declarat neconstituțional, pe care nu dorește să le respecte, deși invocă respectarea prevederilor legale și, mai mult, solicită admiterea cererii prin încălcarea prevederilor constituționale, art. 1 alin. (4), art. 61 alin. (1), art. 115 și art. 126 alin. (1) din Constituția României, în condițiile în care instanțele nu au competența de a institui, modifica și abroga norme juridice de aplicare generală și specială, ci a soluționa, aplicând legea, litigiile dintre subiectele de drept cu privire la existența, întinderea si exercitarea drepturilor lor subiective.</w:t>
      </w:r>
    </w:p>
    <w:p>
      <w:pPr>
        <w:pStyle w:val="Normal"/>
        <w:ind w:firstLine="708"/>
        <w:jc w:val="both"/>
        <w:rPr/>
      </w:pPr>
      <w:r>
        <w:rPr/>
        <w:t>Reclamanta critică soluțiile legislative, art. 15 alin. (2) lit. b</w:t>
      </w:r>
      <w:r>
        <w:rPr>
          <w:rStyle w:val="Fontdeparagrafimplicit"/>
          <w:vertAlign w:val="superscript"/>
        </w:rPr>
        <w:t>1</w:t>
      </w:r>
      <w:r>
        <w:rPr/>
        <w:t>), adoptate prin Legea nr. 107/2009 aprobarea Ordonanței de urgență a Guvernului nr. 82/2023 pentru modificarea si completarea Ordonanței de urgență a Guvernului nr 77/2009, precum și pentru modificarea Ordonanței de urgență a Guvernului nr. 20/2013 privind înființarea, organizarea și funcționarea Oficiului Național pentru Jocuri de Noroc și pentru modificarea și completarea Ordonanței de urgentă a Guvernului nr. 77/2009, invocând propria interpretate și solicitând instanței să achieseze la aceasta, cu nerespectarea prevederilor constituționale, din perspectiva efectelor asupra activității sale.</w:t>
      </w:r>
    </w:p>
    <w:p>
      <w:pPr>
        <w:pStyle w:val="Normal"/>
        <w:ind w:firstLine="708"/>
        <w:jc w:val="both"/>
        <w:rPr/>
      </w:pPr>
      <w:r>
        <w:rPr/>
        <w:t>Cu privire la cererea de suspendare a executării actului administrativ, pârâtul a menționat că instituția suspendării unui act administrativ reprezintă creația legislativă în baza căreia  judecătorul învestit cu soluționarea unei astfel de cauze apreciază tocmai  posibilitatea suspendării unui act administrativ până la soluționarea cauzei, dată la care este consfințită legalitatea sau nelegalitatea acestuia.</w:t>
      </w:r>
    </w:p>
    <w:p>
      <w:pPr>
        <w:pStyle w:val="Normal"/>
        <w:ind w:firstLine="708"/>
        <w:jc w:val="both"/>
        <w:rPr/>
      </w:pPr>
      <w:r>
        <w:rPr/>
        <w:t>În cadrul procedurii suspendării de executare nu se poate face o analiză  a conținutului raportului juridic dedus judecății, pentru a nu se prejudicia fondul cauzei, dar  aceasta nu înseamnă că, împrejurările de fapt sau de drept care ar putea crea o îndoială serioasă asupra  legalității actului administrativ se limitează la dimensiunea formală a acestuia.</w:t>
      </w:r>
    </w:p>
    <w:p>
      <w:pPr>
        <w:pStyle w:val="Normal"/>
        <w:ind w:firstLine="708"/>
        <w:jc w:val="both"/>
        <w:rPr/>
      </w:pPr>
      <w:r>
        <w:rPr/>
        <w:t>Suspendarea executării actului administrativ constituie o situație de exceptie, în cadrul căreia instanţa are numai posibilitatea să efectueze o cercetare sumară a aparenţei dreptului, întrucât în cadrul procedurii prevăzute de lege pentru suspendarea executării actului administrativ nu poate fi prejudiciat fondul litigiului.</w:t>
      </w:r>
    </w:p>
    <w:p>
      <w:pPr>
        <w:pStyle w:val="Normal"/>
        <w:ind w:firstLine="708"/>
        <w:jc w:val="both"/>
        <w:rPr/>
      </w:pPr>
      <w:r>
        <w:rPr/>
        <w:t>Cele două condiții legale, respectiv cazul bine justificat și paguba iminentă nu pot fi analizate decât împreună, deoarece nu se poate vorbi despre un caz bine justificat dacă nu,  învederează, în același timp, iminența producerii unei pagube semnificative şi  care reprezintă un  element esenţial pentru a motiva existența cazului bine justificat de admitere a suspendării actului  administrativ.</w:t>
      </w:r>
    </w:p>
    <w:p>
      <w:pPr>
        <w:pStyle w:val="Normal"/>
        <w:ind w:firstLine="708"/>
        <w:jc w:val="both"/>
        <w:rPr/>
      </w:pPr>
      <w:r>
        <w:rPr/>
        <w:t>De asemenea, cazul bine justificat nu poate fi argumentat prin invocarea unor aspecte ce ţin de legalitatea actului administrativ, întrucât acestea vizează fondul actului, care se analizează  numai în cadrul acțiunii în anulare.</w:t>
      </w:r>
    </w:p>
    <w:p>
      <w:pPr>
        <w:pStyle w:val="Normal"/>
        <w:ind w:firstLine="708"/>
        <w:jc w:val="both"/>
        <w:rPr/>
      </w:pPr>
      <w:r>
        <w:rPr/>
        <w:t>III. Cu privire la condiția cazului bine justificat, prin actul administrativ, respectiv Decizia nr. X1 s-a dispus revocarea licenței de organizare a jocurilor de noroc tip siot-machine, seria ... emisă în favoarea reclamantei R1 SRL.</w:t>
      </w:r>
    </w:p>
    <w:p>
      <w:pPr>
        <w:pStyle w:val="Normal"/>
        <w:ind w:firstLine="708"/>
        <w:jc w:val="both"/>
        <w:rPr/>
      </w:pPr>
      <w:r>
        <w:rPr/>
        <w:t>Având în vedere faptul că motivele invocate în cuprinsul cererii de suspendare se referă numai la argumente care vizează legalitatea actului administrativ contestat, rezultă că reclamanta nu face dovada existenței unui caz bine justificat și, pe cale de consecință, nu sunt îndeplinite condițiile necesare pentru admiterea cererii de suspendare.</w:t>
      </w:r>
    </w:p>
    <w:p>
      <w:pPr>
        <w:pStyle w:val="Normal"/>
        <w:ind w:firstLine="708"/>
        <w:jc w:val="both"/>
        <w:rPr/>
      </w:pPr>
      <w:r>
        <w:rPr/>
        <w:t>Pe cale de consecință, aprecierile reclamantei cu privire la aspectele mai sus menționate, precum și asupra legalității actului administrativ nu se pot subsuma condiției cazului bine justificat, în sensul art. 14 din Legea nr. 554/2004, întrucât împrejurările legate de starea de drept și de fapt, nu sunt de natură să creeze o îndoială serioasă in privinţa legalității acestei decizii.</w:t>
      </w:r>
    </w:p>
    <w:p>
      <w:pPr>
        <w:pStyle w:val="Normal"/>
        <w:ind w:firstLine="708"/>
        <w:jc w:val="both"/>
        <w:rPr/>
      </w:pPr>
      <w:r>
        <w:rPr/>
        <w:t>Pârâtul a învederat că nu există nicio legătură directă între autorizațiile emise de ONJN la solicitarea organizatorului de jocuri de noroc, pentru mijloacele de joc tip slot-machine, în condițiile în care autorizațiile de exploatare a mijloacelor de joc tip slot-machine se obțin prin plata de taxe pentru fiecare mijloc de joc, nefiind o altă condiție pentru emiterea autorizației, deoarece, ulterior obținerii acestor autorizații, organizatorul de jocuri de noroc (reclamanta) este obligat să notifice ONJN cu privire la locația/punctul de lucru unde acestea urmează a fi exploatate (art. 78 alin. (6), art. 150 lit. n) din HG nr. 111/2016).</w:t>
      </w:r>
    </w:p>
    <w:p>
      <w:pPr>
        <w:pStyle w:val="Normal"/>
        <w:ind w:firstLine="708"/>
        <w:jc w:val="both"/>
        <w:rPr/>
      </w:pPr>
      <w:r>
        <w:rPr/>
        <w:t>Comitetul de supraveghere analizează si decide doar în baza documentelor si înscrisurilor de la momentul întrunirii în cadrul ședințelor.</w:t>
      </w:r>
    </w:p>
    <w:p>
      <w:pPr>
        <w:pStyle w:val="Normal"/>
        <w:ind w:firstLine="708"/>
        <w:jc w:val="both"/>
        <w:rPr/>
      </w:pPr>
      <w:r>
        <w:rPr/>
        <w:t>Reclamantul nu se poate prevala de faptul că nu a cunoscut aceste prevederi legale, deoarece acesta la momentul solicitării licențierii activității de jocuri de noroc a depus, în conformitate cu prevederile Anexei nr. 6 a) din HG nr 111/2016 la pct. 10.</w:t>
      </w:r>
    </w:p>
    <w:p>
      <w:pPr>
        <w:pStyle w:val="Normal"/>
        <w:ind w:firstLine="708"/>
        <w:jc w:val="both"/>
        <w:rPr/>
      </w:pPr>
      <w:r>
        <w:rPr/>
        <w:t>De asemenea, trebuie avut în vedere faptul că paguba invocată de reclamantă nu are caracter arbitrar, fiind consecința aplicării dispozițiilor legale consecință a nerespectării normelor juridice care guvernează activitățile din domeniul jocurilor de noroc.</w:t>
      </w:r>
    </w:p>
    <w:p>
      <w:pPr>
        <w:pStyle w:val="Normal"/>
        <w:ind w:firstLine="708"/>
        <w:jc w:val="both"/>
        <w:rPr/>
      </w:pPr>
      <w:r>
        <w:rPr/>
        <w:t>IV. Cu privire la condiția prevenirii unei pagubei iminente, pârâtul a susținut că reclamanta  nu a prezentat dovezi certe din care să rezulte paguba, respectiv nu a probat iminența producerii unui prejudiciu material în patrimoniul său, susceptibil  atragă temporizarea efectului actului administrativ, simpla invocare a faptului că nu au obligația de a respecta prevederile legate, obligatorii prin efectul normelor juridice in baza cărora a fost emisă decizia a cărei suspendare se solicită, nu reprezintă o paguba în patrimoniul acesteia, ci o obligație pe care reclamanta a cunoscut-o sau trebuia să o cunoască de la momentul publicării Legii nr. 107/2024 în Monitorul Oficial al României.</w:t>
      </w:r>
    </w:p>
    <w:p>
      <w:pPr>
        <w:pStyle w:val="Normal"/>
        <w:ind w:firstLine="708"/>
        <w:jc w:val="both"/>
        <w:rPr/>
      </w:pPr>
      <w:r>
        <w:rPr/>
        <w:t>Măsura suspendării reclamă un caracter urgent în ceea ce privește prejudicierea persoanei juridice, însă reclamantul nu a făcut dovada că riscul este unul actual sau iminent, astfel cum a menționat valoarea taxelor ce trebuiau achitate fiind cunoscută la momentul de autorizare a mijloacelor de joc.</w:t>
      </w:r>
    </w:p>
    <w:p>
      <w:pPr>
        <w:pStyle w:val="Normal"/>
        <w:ind w:firstLine="708"/>
        <w:jc w:val="both"/>
        <w:rPr/>
      </w:pPr>
      <w:r>
        <w:rPr/>
        <w:t>V. Referitor la emiterea Deciziei nr. X1 de Comitetul de Supraveghere din cadrul Oficiului Național pentru Jocuri de Noroc, acesta a analizat propunerile direcției de specialitate respectiv Direcția ,,Supraveghere și Control nr. ..., privind aplicarea măsurii revocării Licenței de organizare a jocurilor de noroc tip Slot - machine seria ... valabilă începând cu data de 01.09.2019, emisă în favoarea R1 SRL nu au în vedere că operatorul economic nu a respectat dispozițiile referitoare la desfășurarea acu . de jocuri de noroc/exploatarea mijloacelor de joc tip slot-machine în spații situate in unitaţi administrativ teritoriale având o populație mai mare de 15.000 de locuitori.</w:t>
      </w:r>
    </w:p>
    <w:p>
      <w:pPr>
        <w:pStyle w:val="Normal"/>
        <w:ind w:firstLine="708"/>
        <w:jc w:val="both"/>
        <w:rPr/>
      </w:pPr>
      <w:r>
        <w:rPr/>
        <w:t>Ca urmare a verificărilor efectuate de către inspectori din cadrul DGSC - ONJN la punctele de lucru precizate în decizia a cărei suspendare se solicită, a fost constatată in sarcina organizatorului de jocuri de noroc tip Slot machine R1 SRL încălcarea prevederilor art. 15, alin. (2), lit. b</w:t>
      </w:r>
      <w:r>
        <w:rPr>
          <w:rStyle w:val="Fontdeparagrafimplicit"/>
          <w:vertAlign w:val="superscript"/>
        </w:rPr>
        <w:t>1</w:t>
      </w:r>
      <w:r>
        <w:rPr/>
        <w:t>), din O.UG nr.77/2009 privind organizarea ș exploatarea jocurilor de noroc, cu modificările și completările ulterioare.</w:t>
      </w:r>
    </w:p>
    <w:p>
      <w:pPr>
        <w:pStyle w:val="Normal"/>
        <w:ind w:firstLine="708"/>
        <w:jc w:val="both"/>
        <w:rPr/>
      </w:pPr>
      <w:r>
        <w:rPr/>
        <w:t>Ca atare, organizatorul de jocuri de noroc nu a respectat obligația prevăzută la art. 125 alin. 2 lit. b</w:t>
      </w:r>
      <w:r>
        <w:rPr>
          <w:rStyle w:val="Fontdeparagrafimplicit"/>
          <w:vertAlign w:val="superscript"/>
        </w:rPr>
        <w:t>1</w:t>
      </w:r>
      <w:r>
        <w:rPr/>
        <w:t>) din OUG nr.77/2009 privind organizarea șt exploatarea jocurilor de noroc cu modificările și completările ulterioare, respectiv ca „spațiul propus, dacă are amplasat mijloace de joc de tip slot-machine astfel cum sunt acestea definite in art. 10 alin. 1 lit. e trebuie să se afle într-o unitate administrativ-teritorială cu o populație mai mare de 15.000 de locuitori. Dovada numărului de locuitori se face prin adeverință eliberată de primăria în a cărei rază teritorială se află spațiul propus.”</w:t>
      </w:r>
    </w:p>
    <w:p>
      <w:pPr>
        <w:pStyle w:val="Normal"/>
        <w:ind w:firstLine="708"/>
        <w:jc w:val="both"/>
        <w:rPr/>
      </w:pPr>
      <w:r>
        <w:rPr/>
        <w:t>În acest context, în ședința Comitetului de Supraveghere din data de ... a fost analizată situația organizatorului de jocuri de noroc R1 SRL și tinând cont de dispozițiile art. 7 alin. (1) lit. b) si alin (2) din Ordonanța de Urgența 20/2013, art. 15. alin. (2), lit. b</w:t>
      </w:r>
      <w:r>
        <w:rPr>
          <w:rStyle w:val="Fontdeparagrafimplicit"/>
          <w:vertAlign w:val="superscript"/>
        </w:rPr>
        <w:t>1</w:t>
      </w:r>
      <w:r>
        <w:rPr/>
        <w:t>), art. 17, alin. (2). lit. i), art. 17 alin. 5 și alin. 19 din OUG nr 77/2009, s-a decis revocarea licenței de organizare a jocurilor de noroc tip slot-masine emisă în favoarea acesteia, în acest sens fiind emis actul administrativ - Decizia nr. X1.</w:t>
      </w:r>
    </w:p>
    <w:p>
      <w:pPr>
        <w:pStyle w:val="Normal"/>
        <w:ind w:firstLine="708"/>
        <w:jc w:val="both"/>
        <w:rPr/>
      </w:pPr>
      <w:r>
        <w:rPr/>
        <w:t>Ulterior finalizării controalelor și în conformitate cu dispozițiile art.17 alin. (5) din OUG 77/2009, s-a dispus de către Comitetul de Supraveghere prin Decizia nr. X1 revocarea licenței de organizare jocurilor de noroc emisă în favoarea societății reclamante.</w:t>
      </w:r>
    </w:p>
    <w:p>
      <w:pPr>
        <w:pStyle w:val="Normal"/>
        <w:ind w:firstLine="708"/>
        <w:jc w:val="both"/>
        <w:rPr/>
      </w:pPr>
      <w:r>
        <w:rPr/>
        <w:t>Ca atare, Decizia nr. X1 a Comitetului de Supraveghere din cadrul ONJN este un act administrativ individual, în cauză, fiind aplicabile reglementări generale din Legea nr. 554/2004 privind contenciosul administrativ, precum și act normativ special ce reglementează desfășurarea activității în domeniul jocurilor de noroc.</w:t>
      </w:r>
    </w:p>
    <w:p>
      <w:pPr>
        <w:pStyle w:val="Normal"/>
        <w:ind w:firstLine="708"/>
        <w:jc w:val="both"/>
        <w:rPr/>
      </w:pPr>
      <w:r>
        <w:rPr/>
        <w:t>VI. Referitor la neretroactivitatea legii civile, pârâtul a învederat că la data de 28.04.2024 au intrat in vigoare prevederile Legii nr. 107/2024, lege publicată în Monotonul Oficial nr 370 din 18.04.2024.</w:t>
      </w:r>
    </w:p>
    <w:p>
      <w:pPr>
        <w:pStyle w:val="Normal"/>
        <w:ind w:firstLine="708"/>
        <w:jc w:val="both"/>
        <w:rPr/>
      </w:pPr>
      <w:r>
        <w:rPr/>
        <w:t>Reglementarea cuprinsă în conținutul art. 15 alin. (2), lit. b</w:t>
      </w:r>
      <w:r>
        <w:rPr>
          <w:rStyle w:val="Fontdeparagrafimplicit"/>
          <w:vertAlign w:val="superscript"/>
        </w:rPr>
        <w:t>1</w:t>
      </w:r>
      <w:r>
        <w:rPr/>
        <w:t>) din OUG nr. 77/2009 modificat prin Legea nr. 107/2024 instituie obligativitatea ca spațiul în care sunt exploatate mijloace de joc de tip slot-machine să fie într-o unitate administrativ-teritorială cu o populație mai mare de 15.000 de locuitori, deci nu poate fi pusă în discuție o aplicare în mod retroactiv a unei legi noi, deoarece nu se pretinde îndeplinirea obligației anterior intrării în vigoare a legii, ci numai începând cu data de 28.04.2024 , pentru viitor, fiind vorba, în fapt, de o aplicare a legii noi la situațiile aflate în curs.</w:t>
      </w:r>
    </w:p>
    <w:p>
      <w:pPr>
        <w:pStyle w:val="Normal"/>
        <w:ind w:firstLine="708"/>
        <w:jc w:val="both"/>
        <w:rPr/>
      </w:pPr>
      <w:r>
        <w:rPr/>
        <w:t>Astfel, legea nouă este de imediată aplicare, regulă de drept tradusă prin aceea că legea nouă se va aplica, de îndată tuturor situațiilor ivite după acest moment, excluzând aplicarea legii vechi. Altfel spus, legea nouă nu se va aplica numai situațiilor viitoare, care s-au născut ulterior adoptării ci și situațiilor care au început anterior și ale căror efecte nu s-au finalizat, fiind în curs - fapte în curs de a-și produce efectele.</w:t>
      </w:r>
    </w:p>
    <w:p>
      <w:pPr>
        <w:pStyle w:val="Normal"/>
        <w:ind w:firstLine="708"/>
        <w:jc w:val="both"/>
        <w:rPr/>
      </w:pPr>
      <w:r>
        <w:rPr/>
        <w:t>În dovedirea susținerilor, a înțeles să se folosească de proba cu înscrisuri şi alte probe pertinente, concludente și utile cauzei sau a căror necesitate ar rezulta din dezbateri.</w:t>
      </w:r>
    </w:p>
    <w:p>
      <w:pPr>
        <w:pStyle w:val="Normal"/>
        <w:ind w:firstLine="708"/>
        <w:jc w:val="both"/>
        <w:rPr/>
      </w:pPr>
      <w:r>
        <w:rPr/>
        <w:t>În drept, întâmpinarea a fost întemeiată pe dispozițiile OUG nr. 77/2009 privind organizarea și exploatarea jocurilor de noroc, cu modificările și completările ulterioare, HG nr.111/2016 privind NM de aplicare a OUG nr. 77/2009, Legea nr. 107/2024 privind aprobarea Ordonanței de urgență a Guvernului nr. 82/2023 pentru modificarea și completarea Ordonanței de urgență a Guvernului nr. 77/2009 privind organizarea și exploatarea jocurilor de noroc, precum și pentru modificarea Ordonanței de urgență a Guvernului nr 20/2013 privind înființarea organizarea și funcționarea Oficiului Național pentru Jocuri de Noroc și pentru modificarea și completarea Ordonanței de urgență a Guvernului nr. 77/2009 privind organizarea și exploatarea jocurilor de noroc, Legea nr. 554/2004 privind contenciosul administrativ şi a prevederilor legale invocate prin întâmpinare.</w:t>
      </w:r>
    </w:p>
    <w:p>
      <w:pPr>
        <w:pStyle w:val="Normal"/>
        <w:ind w:firstLine="720"/>
        <w:jc w:val="both"/>
        <w:rPr>
          <w:b/>
          <w:i/>
          <w:i/>
        </w:rPr>
      </w:pPr>
      <w:r>
        <w:rPr>
          <w:rStyle w:val="Fontdeparagrafimplicit"/>
          <w:b/>
          <w:i/>
        </w:rPr>
        <w:t>Analizând actele şi lucrările dosarului, prin prisma normelor incidente în cauză, Curtea constată următoarele:</w:t>
      </w:r>
    </w:p>
    <w:p>
      <w:pPr>
        <w:pStyle w:val="Normal"/>
        <w:ind w:firstLine="720"/>
        <w:jc w:val="both"/>
        <w:rPr/>
      </w:pPr>
      <w:r>
        <w:rPr>
          <w:rStyle w:val="Fontdeparagrafimplicit"/>
        </w:rPr>
        <w:t xml:space="preserve">Prin cererea de chemare în judecată, societatea reclamantă a solicitat </w:t>
      </w:r>
      <w:r>
        <w:rPr/>
        <w:t>suspendarea executării Deciziei nr. X1 din data de ... a Comitetului de Supraveghere al Oficiului Național pentru Jocuri de Noroc, până la pronunţarea instanţei de fond.</w:t>
      </w:r>
    </w:p>
    <w:p>
      <w:pPr>
        <w:pStyle w:val="Normal"/>
        <w:ind w:firstLine="708"/>
        <w:jc w:val="both"/>
        <w:rPr/>
      </w:pPr>
      <w:r>
        <w:rPr/>
        <w:t xml:space="preserve">Ca situație de fapt premisă, s-a reținut că, prin Decizia nr. X1, Comitetul de Supraveghere din cadrul ONJN a dispus revocarea licenței de organizare a jocurilor de noroc emisă în favoarea societății, încetarea valabilității tuturor autorizațiilor de exploatare a jocurilor de noroc tip slot-machine și obligația de a achita diferența rămasă de plată din taxa anuală aferentă autorizațiilor de exploatare a jocurilor de noroc. </w:t>
      </w:r>
    </w:p>
    <w:p>
      <w:pPr>
        <w:pStyle w:val="Normal"/>
        <w:ind w:firstLine="708"/>
        <w:jc w:val="both"/>
        <w:rPr/>
      </w:pPr>
      <w:r>
        <w:rPr/>
        <w:t>În motivarea acestei decizii, s-a arătat că reclamanta nu a respectat dispozițiile art. 15 alin.2 lit. b</w:t>
      </w:r>
      <w:r>
        <w:rPr>
          <w:rStyle w:val="Fontdeparagrafimplicit"/>
          <w:vertAlign w:val="superscript"/>
        </w:rPr>
        <w:t>1</w:t>
      </w:r>
      <w:r>
        <w:rPr/>
        <w:t xml:space="preserve"> din OUG nr.77/2009,  intrate în vigoare la data de 28.04.2024, respectiv că mijloacele de joc de tip slot machine trebuie să se afle într-o unitate administrativ teritorială cu o populaţie mai mare de 15.000 de locuitori.</w:t>
      </w:r>
    </w:p>
    <w:p>
      <w:pPr>
        <w:pStyle w:val="Normal"/>
        <w:ind w:firstLine="708"/>
        <w:jc w:val="both"/>
        <w:rPr/>
      </w:pPr>
      <w:r>
        <w:rPr/>
        <w:t>În argumentarea nelegalității evidente a actului contestat, reclamanta a invocat o serie de motive privind încălcarea dispozițiilor art. 17 alin. 2 litera i) raportate la dispozițiile art. 15 alin. 2 litera b</w:t>
      </w:r>
      <w:r>
        <w:rPr>
          <w:rStyle w:val="Fontdeparagrafimplicit"/>
          <w:vertAlign w:val="superscript"/>
        </w:rPr>
        <w:t xml:space="preserve">1 </w:t>
      </w:r>
      <w:r>
        <w:rPr/>
        <w:t>din OUG nr. 77/2009 în referire la încălcarea principiului neretroactivității legii, aspecte procedurale privind necompetenta Comitetului de Supraveghere al O.N.J.N. de a constata fapta și nelegalitatea constituirii ședinței, precum și nemotivarea actului contestat.</w:t>
      </w:r>
    </w:p>
    <w:p>
      <w:pPr>
        <w:pStyle w:val="Normal"/>
        <w:ind w:firstLine="708"/>
        <w:jc w:val="both"/>
        <w:rPr/>
      </w:pPr>
      <w:r>
        <w:rPr>
          <w:rStyle w:val="Fontdeparagrafimplicit"/>
          <w:color w:val="000000"/>
        </w:rPr>
        <w:t>Suspendarea executării actelor administrative trebuie considerată ca fiind un eficient instrument procedural aflat la îndemâna autorităţii emitente sau a instanţei de judecată pentru a asigura respectarea principiului legalităţii, fiind echitabil ca atât timp cât autoritatea publică sau judecătorul se află în proces de evaluare, acestea să nu-şi producă efecte asupra celor vizaţi. În considerarea celor două principii incidente în materie - al legalităţii actului şi al executării acestuia din oficiu - suspendarea executării constituie însă o situaţie de excepţie, aceasta putând fi dispusă numai în cazurile şi în condiţiile expres prevăzute de lege. - Decizia ICCJ nr.2199/2009.</w:t>
      </w:r>
    </w:p>
    <w:p>
      <w:pPr>
        <w:pStyle w:val="Normal"/>
        <w:ind w:firstLine="708"/>
        <w:jc w:val="both"/>
        <w:rPr/>
      </w:pPr>
      <w:r>
        <w:rPr/>
        <w:t>În drept, instanţa reţine că, potrivit art.14 alin.1 din Legea nr. 554/2004 „în cazuri bine justificate şi pentru prevenirea unei pagube iminente, după sesizarea, în condiţiile art.7, a autorităţii publice care a emis actul sau a autorităţii ierarhic superioare, persoana vătămată poate să ceară instanţei competente să dispună suspendarea executării actului administrativ unilateral până la pronunţarea instanţei de fond.”</w:t>
      </w:r>
    </w:p>
    <w:p>
      <w:pPr>
        <w:pStyle w:val="Normal"/>
        <w:ind w:firstLine="708"/>
        <w:jc w:val="both"/>
        <w:rPr/>
      </w:pPr>
      <w:r>
        <w:rPr/>
        <w:t xml:space="preserve">Pentru a fi dispusă suspendarea executării actului administrativ, trebuie îndeplinite cumulativ două condiţii, </w:t>
      </w:r>
      <w:r>
        <w:rPr>
          <w:rStyle w:val="Fontdeparagrafimplicit"/>
          <w:i/>
        </w:rPr>
        <w:t>respectiv existenţa unui caz bine justificat şi prevenirea unei pagube iminente</w:t>
      </w:r>
      <w:r>
        <w:rPr/>
        <w:t xml:space="preserve"> şi o a treia, de ordin procedural, şi anume condiţia ca reclamantul să facă dovada sesizării în condiţiile art. 7 a autorităţii publice care a emis actul. </w:t>
      </w:r>
    </w:p>
    <w:p>
      <w:pPr>
        <w:pStyle w:val="Normal"/>
        <w:ind w:firstLine="708"/>
        <w:jc w:val="both"/>
        <w:rPr/>
      </w:pPr>
      <w:r>
        <w:rPr/>
        <w:t>Cererea de suspendare se analizează în raport de dispoziţiile art.14, dar şi prin raportare la dispoziţiile art. 2 alin. 1 lit. ş şi t din Legea 554/2004, care definesc noţiunile de „pagubă iminentă” şi „cazuri bine justificate” pe care art. 14 din Legea 554/2004 le utilizează.</w:t>
      </w:r>
    </w:p>
    <w:p>
      <w:pPr>
        <w:pStyle w:val="Normal"/>
        <w:ind w:firstLine="708"/>
        <w:jc w:val="both"/>
        <w:rPr/>
      </w:pPr>
      <w:r>
        <w:rPr/>
        <w:t xml:space="preserve">Îndeplinirea condiţiilor se analizează în funcţie de circumstanţele concrete ale fiecărei cauze, pe baza împrejurărilor de fapt şi de drept prezentate de partea interesată, care ar trebui să ofere indicii suficiente de răsturnare a prezumţiei de legalitate de care se bucură actul administrativ şi să facă verosimilă iminenţa producerii unei pagube, dificil de reparat, în cazul particular supus evaluării. </w:t>
      </w:r>
    </w:p>
    <w:p>
      <w:pPr>
        <w:pStyle w:val="Normal"/>
        <w:ind w:firstLine="708"/>
        <w:jc w:val="both"/>
        <w:rPr/>
      </w:pPr>
      <w:r>
        <w:rPr/>
        <w:t>Trebuie remarcat că judecătorul investit cu o cerere de suspendare a actului administrativ este chemat să realizeze o verificare sumară a motivelor de nelegalitate invocate de parte, legiuitorul neacordând instanţei posibilitatea să rezolve pe această cale fondul pretenţiei.</w:t>
      </w:r>
    </w:p>
    <w:p>
      <w:pPr>
        <w:pStyle w:val="Normal"/>
        <w:ind w:firstLine="708"/>
        <w:jc w:val="both"/>
        <w:rPr/>
      </w:pPr>
      <w:r>
        <w:rPr/>
        <w:t>În considerarea acestor aspecte de ordin teoretic, Curtea reține că disputa între părţi este generată de aplicabilitatea art. I pct. 6 din Legea nr. 107/2024 privind aprobarea Ordonanţei de urgenţă a Guvernului nr. 82/2023 pentru modificarea şi completarea Ordonanţei de urgenţă a Guvernului nr. 77/2009 privind organizarea şi exploatarea jocurilor de noroc, precum şi pentru modificarea Ordonanţei de urgenţă a Guvernului nr. 20/2013 privind înfiinţarea, organizarea şi funcţionarea Oficiului Naţional pentru Jocuri de Noroc şi pentru modificarea şi completarea Ordonanţei de urgenţă a Guvernului nr. 77/2009.</w:t>
      </w:r>
    </w:p>
    <w:p>
      <w:pPr>
        <w:pStyle w:val="Normal"/>
        <w:ind w:firstLine="708"/>
        <w:jc w:val="both"/>
        <w:rPr/>
      </w:pPr>
      <w:r>
        <w:rPr/>
        <w:t>Art. 15 din OUG nr. 77/2009, text normativ din care face parte modificarea citată, reglementează condiţiile pentru obţinerea licenţei de organizare a jocurilor de noroc.</w:t>
      </w:r>
    </w:p>
    <w:p>
      <w:pPr>
        <w:pStyle w:val="Normal"/>
        <w:ind w:firstLine="708"/>
        <w:jc w:val="both"/>
        <w:rPr/>
      </w:pPr>
      <w:r>
        <w:rPr/>
        <w:t xml:space="preserve"> </w:t>
      </w:r>
      <w:r>
        <w:rPr/>
        <w:t xml:space="preserve">Alineatul al doilea al acestui articol se referă la condiţiile pentru </w:t>
      </w:r>
      <w:r>
        <w:rPr>
          <w:rStyle w:val="Fontdeparagrafimplicit"/>
          <w:i/>
          <w:u w:val="single"/>
        </w:rPr>
        <w:t>obţinerea autorizaţiei</w:t>
      </w:r>
      <w:r>
        <w:rPr/>
        <w:t xml:space="preserve"> de exploatare a jocurilor de noroc, în enumerarea acestor condiţii regăsindu-se şi aceea stabilită prin art. 15 alin. 2 lit. b</w:t>
      </w:r>
      <w:r>
        <w:rPr>
          <w:rStyle w:val="Fontdeparagrafimplicit"/>
          <w:vertAlign w:val="superscript"/>
        </w:rPr>
        <w:t>1</w:t>
      </w:r>
      <w:r>
        <w:rPr/>
        <w:t>).</w:t>
      </w:r>
    </w:p>
    <w:p>
      <w:pPr>
        <w:pStyle w:val="Normal"/>
        <w:spacing w:line="259" w:lineRule="auto"/>
        <w:ind w:firstLine="708"/>
        <w:jc w:val="both"/>
        <w:rPr/>
      </w:pPr>
      <w:r>
        <w:rPr/>
        <w:t xml:space="preserve">Dispozițiile OUG 77/2009 au fost modificate prin OUG 82/2023 și completate prin Legea de aprobare nr.107/2024, în sensul că, pe lângă condițiile inițiale de obţinere a autorizaţiilor de exploatare a jocurilor de noroc,   impuse la prevederile art. 15 alin 2 lit. a – k,  legiuitorul a impus condiția suplimentară prevăzută de lit.b ind.1 potrivit căreia, pentru obținerea autorizației de exploatare a jocurilor de noroc, operatorii economici trebuie să facă dovadă că spațiul propus, dacă are amplasate mijloace de joc de tip slot-machine astfel cum sunt acestea definite în art. 10 alin. (1) lit. e), trebuie să se afle într-o unitate administrativ teritorială cu o populație mai mare de 15.000 de locuitori. </w:t>
      </w:r>
    </w:p>
    <w:p>
      <w:pPr>
        <w:pStyle w:val="Normal"/>
        <w:spacing w:line="259" w:lineRule="auto"/>
        <w:ind w:firstLine="708"/>
        <w:jc w:val="both"/>
        <w:rPr/>
      </w:pPr>
      <w:r>
        <w:rPr/>
        <w:t xml:space="preserve">Dispozițiile legale mai sus amintite au fost introduse prin Legea nr. 107/2024 în procedura de aprobare a OUG 82/2023. Legea 107/2024 a fost publicată în Monitorul Oficial al României în data de 18.04.2024 a produs efecte în termen de 10 zile aşa cum impun dispozițiile art. II din același act normativ. </w:t>
      </w:r>
    </w:p>
    <w:p>
      <w:pPr>
        <w:pStyle w:val="Normal"/>
        <w:spacing w:line="259" w:lineRule="auto"/>
        <w:ind w:firstLine="708"/>
        <w:jc w:val="both"/>
        <w:rPr/>
      </w:pPr>
      <w:r>
        <w:rPr/>
        <w:t xml:space="preserve">Potrivit art. 17 alin.(2) Comitetul de Supraveghere al O.N.J.N. dispune, în funcţie de consecinţele produse, măsura revocării licenţei de organizare a jocurilor de noroc şi a licenţei clasa a II-a pentru activităţi conexe, în una dintre următoarele situaţii: i ) nerespectarea oricăreia dintre prevederile cuprinse la art. 5 alin. (8) şi alin. (9), art. 10 alin. (4) şi alin. (6), art. 12 alin. (2), alin. (8) şi alin. (9), art. 14 alin. (2), </w:t>
      </w:r>
      <w:r>
        <w:rPr>
          <w:rStyle w:val="Fontdeparagrafimplicit"/>
          <w:b/>
          <w:i/>
        </w:rPr>
        <w:t>art. 15 alin. (2)</w:t>
      </w:r>
      <w:r>
        <w:rPr/>
        <w:t xml:space="preserve"> şi (6), art. 16 şi art. 21.</w:t>
      </w:r>
    </w:p>
    <w:p>
      <w:pPr>
        <w:pStyle w:val="Normal"/>
        <w:spacing w:line="259" w:lineRule="auto"/>
        <w:ind w:firstLine="708"/>
        <w:jc w:val="both"/>
        <w:rPr/>
      </w:pPr>
      <w:r>
        <w:rPr/>
        <w:t>Este de observat că prin OUG nr. 80 din 28 iunie 2024 pentru modificarea şi completarea Ordonanţei de urgenţă a Guvernului nr. 77/2009 privind organizarea şi exploatarea jocurilor de noroc , legiuitorul, sesizând situaţia licenţelor şi autorizaţiilor  emise  în mod legal anterior datei de 28.04.2024  şi faptul că sancţiunea revocării licenţei  de organizare a jocurilor de noroc era prevăzută pentru neîndeplinirea unei condiţii de obţinere a autorizaţiei  de exploatare a jocurilor de noroc ce nu era în vigoare la data emiterii licenţelor şi autorizaţiilor, a prevăzut sancţiunea sistării  activităţii de exploatare de jocuri de noroc tip slot-machines pentru organizatorii de jocuri de noroc tip slot-machines ,  însă doar pentru punctul de lucru din comuna, oraşul sau municipiul unde populaţia după domiciliu a scăzut sub 15.000 de locuitori</w:t>
      </w:r>
    </w:p>
    <w:p>
      <w:pPr>
        <w:pStyle w:val="Normal"/>
        <w:spacing w:line="259" w:lineRule="auto"/>
        <w:ind w:firstLine="708"/>
        <w:jc w:val="both"/>
        <w:rPr/>
      </w:pPr>
      <w:r>
        <w:rPr/>
        <w:t>Astfel, articolul 15 alineatul (2), litera b1) se modifică şi va avea următorul cuprins:</w:t>
      </w:r>
    </w:p>
    <w:p>
      <w:pPr>
        <w:pStyle w:val="Normal"/>
        <w:spacing w:line="259" w:lineRule="auto"/>
        <w:ind w:firstLine="708"/>
        <w:jc w:val="both"/>
        <w:rPr/>
      </w:pPr>
      <w:r>
        <w:rPr/>
        <w:t xml:space="preserve"> </w:t>
      </w:r>
      <w:r>
        <w:rPr/>
        <w:t>"b1) spaţiul propus, dacă are amplasate mijloace de joc tip slot-machines, astfel cum sunt acestea definite în art. 10 alin. (1) lit. e), trebuie să se afle într-o unitate administrativ-teritorială de tip comună, oraş sau municipiu, cu o populaţie după domiciliu mai mare de 15.000 de locuitori. Oficiul Naţional pentru Jocuri de Noroc are obligaţia de a interoga TEMPO online sau orice altă bază de date statistice a Institutului Naţional de Statistică pentru a verifica dacă este îndeplinită această condiţie, la momentul verificării dosarului de autorizare a acestor tipuri de mijloace de joc.</w:t>
      </w:r>
    </w:p>
    <w:p>
      <w:pPr>
        <w:pStyle w:val="Normal"/>
        <w:spacing w:line="259" w:lineRule="auto"/>
        <w:ind w:firstLine="708"/>
        <w:jc w:val="both"/>
        <w:rPr/>
      </w:pPr>
      <w:r>
        <w:rPr/>
        <w:t xml:space="preserve"> </w:t>
      </w:r>
      <w:r>
        <w:rPr/>
        <w:t>Dacă Oficiul Naţional pentru Jocuri de Noroc constată, din datele actualizate ale Institutului Naţional de Statistică, că într-o comună, într-un oraş sau municipiu populaţia după domiciliu a scăzut sub 15.000 de locuitori, va dispune de urgenţă, în 3 zile lucrătoare, pentru toţi organizatorii de jocuri de noroc tip slot-machines din respectiva unitate administrativ-teritorială, sistarea activităţii de exploatare de jocuri de noroc tip slot-machines, dispoziţie care trebuie dusă la îndeplinire de către organizatori în maximum 3 zile lucrătoare de la data primirii acesteia.</w:t>
      </w:r>
    </w:p>
    <w:p>
      <w:pPr>
        <w:pStyle w:val="Normal"/>
        <w:spacing w:line="259" w:lineRule="auto"/>
        <w:ind w:firstLine="708"/>
        <w:jc w:val="both"/>
        <w:rPr/>
      </w:pPr>
      <w:r>
        <w:rPr/>
        <w:t xml:space="preserve">Organizatorii de jocuri de noroc tip slot-machines se pot sesiza din oficiu cu privire la faptul că, din datele actualizate ale Institutului Naţional de Statistică, într-o comună, într-un oraş sau într-un municipiu în care exploatează jocuri de noroc tip slot-machines populaţia după domiciliu a scăzut sub 15.000 de locuitori şi procedează la sistarea activităţii de exploatare a mijloacelor de joc tip slot-machines în respectivele unităţi administrativ-teritoriale, informând Oficiul Naţional pentru Jocuri de Noroc cu privire la aceasta în termen de maximum 48 de ore de la data sistării activităţii. Atunci când termenul anterior menţionat cade într-o zi nelucrătoare, acest termen se prelungeşte până în prima zi lucrătoare care urmează." </w:t>
      </w:r>
    </w:p>
    <w:p>
      <w:pPr>
        <w:pStyle w:val="Normal"/>
        <w:spacing w:line="259" w:lineRule="auto"/>
        <w:ind w:firstLine="708"/>
        <w:jc w:val="both"/>
        <w:rPr/>
      </w:pPr>
      <w:r>
        <w:rPr/>
        <w:t xml:space="preserve">Deşi analiza motivelor de nelegalitate invocate de către reclamantă, respectiv încălcarea principiului neretroactivității legii civile, revine instanţei sesizate cu acţiunea în anularea actului, în verificarea acestor critici susţinute de reclamantă în dovedirea cazului bine justificat,  Curtea constată că, în aparenţă, interpretarea şi aplicarea art. 15 alin 2 lit. a – k,  respectiv  condiția suplimentară prevăzută de lit.b ind.1 potrivit căreia, pentru obținerea autorizației de exploatare a jocurilor de noroc, operatorii economici trebuie să facă dovadă că spațiul propus, dacă are amplasate mijloace de joc de tip slot-machine astfel cum sunt acestea definite în art. 10 alin. (1) lit. e), trebuie să se afle într-o unitate administrativ teritorială cu o populație mai mare de 15.000 de locuitori şi a disp. art. 17 alin 2 lit. i din OUG 77/2009 potrivit cărora Comitetul de Supraveghere al O.N.J.N. dispune, în funcție de consecințele produse, măsura revocării licenței de organizare a jocurilor de noroc și a licenței clasa a II-a pentru activități conexe, în una dintre următoarele situații: nerespectarea oricăreia dintre prevederile cuprinse la art. 5 alin. (8) și alin. (9), art. 10 alin. (4) și alin. (6), art. 12 alin. (2), alin. (8) și alin. (9), art. 14 alin, (2), art. 15 alin. (2) și (6), art. 16 și art. 21,   </w:t>
      </w:r>
      <w:r>
        <w:rPr>
          <w:rStyle w:val="Fontdeparagrafimplicit"/>
          <w:b/>
        </w:rPr>
        <w:t>reprezintă o împrejurare de drept care are capacitatea să producă o îndoială serioasă asupra prezumţiei de legalitate de care beneficiază actul administrativ, în condiţiile în care, aceste prevederi se aplica şi licenţelor de  organizare a jocurilor de noroc, emise în mod valabil anterior intrării in vigoare a Legii 107/2024</w:t>
      </w:r>
      <w:r>
        <w:rPr/>
        <w:t>.</w:t>
      </w:r>
    </w:p>
    <w:p>
      <w:pPr>
        <w:pStyle w:val="Normal"/>
        <w:spacing w:line="259" w:lineRule="auto"/>
        <w:ind w:firstLine="708"/>
        <w:jc w:val="both"/>
        <w:rPr/>
      </w:pPr>
      <w:r>
        <w:rPr/>
        <w:t>Prin urmare, la nivel de aparenţă, principiul legal „</w:t>
      </w:r>
      <w:r>
        <w:rPr>
          <w:rStyle w:val="Fontdeparagrafimplicit"/>
          <w:b/>
        </w:rPr>
        <w:t xml:space="preserve">tempus regit actum”, sinteză </w:t>
      </w:r>
      <w:r>
        <w:rPr/>
        <w:t xml:space="preserve"> a condiţiei de claritate şi previzibilitate a legii a legii, care se referă explicit la operatorii care urmează să fie autorizaţi, iar în privinţa situaţiei operatorilor care deja derulează activitate şi ar trebui să se supună noilor condiţii de operare a activităţii, mai restrictive,pare a fi fost încălcat.</w:t>
      </w:r>
    </w:p>
    <w:p>
      <w:pPr>
        <w:pStyle w:val="Normal"/>
        <w:spacing w:line="259" w:lineRule="auto"/>
        <w:ind w:firstLine="708"/>
        <w:jc w:val="both"/>
        <w:rPr/>
      </w:pPr>
      <w:r>
        <w:rPr/>
        <w:t xml:space="preserve"> </w:t>
      </w:r>
      <w:r>
        <w:rPr/>
        <w:t>Legiuitorul nu a prevăzut norme tranzitorii, nici un termen rezonabil, previzibil, eventual un termen de graţie pentru adaptarea operatorilor economici deja autorizaţi la noile criterii (Legea nr. 107/2024 a intrat în vigoare la 10 zile de la publicarea în Monitorul Oficial). Nu trebuie omis faptul că legiuitorul a instituit o nouă condiţie pentru derularea activităţii, prin norme care, în lipsa unor dispoziţii tranzitorii, ar urma să se aplice şi situaţiilor în curs, într-un termen scurt, de 10 zile de la intrarea în vigoare a Legii nr. 107/2024.</w:t>
      </w:r>
    </w:p>
    <w:p>
      <w:pPr>
        <w:pStyle w:val="Normal"/>
        <w:ind w:firstLine="708"/>
        <w:jc w:val="both"/>
        <w:rPr/>
      </w:pPr>
      <w:r>
        <w:rPr/>
        <w:t>Din această perspectivă, în baza probatoriului sumar existent în acest cadru procesual şi în urma unei analize a aparenţei de temeinicie a motivului invocat, Curtea, fără a prejudeca fondul, apreciază că există suficiente indicii care să justifice existența unui caz bine justificat în prezenta cauză.</w:t>
      </w:r>
    </w:p>
    <w:p>
      <w:pPr>
        <w:pStyle w:val="Normal"/>
        <w:ind w:firstLine="708"/>
        <w:jc w:val="both"/>
        <w:rPr>
          <w:shd w:val="clear" w:fill="FFFFFF"/>
        </w:rPr>
      </w:pPr>
      <w:r>
        <w:rPr/>
        <w:t>În ceea ce privește restul criticilor avansate în referire la nelegalitatea actului administrativ contestat, Curtea reaminteşte faptul că natura prezentei proceduri implică obligaţia instanţei de a nu realiza o analiză a fondului raportului juridic dedus judecăţii. În aceste condiţii, verificările pe care instanţa le poate face, se plasează, atât în privinţa elementelor de nelegalitate avansate de reclamantă, cât şi în privinţa apărărilor formulate de pârât, exclusiv la nivelul aparenţei.</w:t>
      </w:r>
    </w:p>
    <w:p>
      <w:pPr>
        <w:pStyle w:val="Normal"/>
        <w:ind w:firstLine="708"/>
        <w:jc w:val="both"/>
        <w:rPr/>
      </w:pPr>
      <w:r>
        <w:rPr/>
        <w:t>În aceste condiții, îndoiala serioasă asupra legalităţii actului administrativ trebuie sa fie evidentă, să poată fi decelată cu uşurinţă printr-o cercetare sumară a aparenței dreptului, pentru că în cadrul procedurii suspendării, pe calea careia pot fi dispuse numai masuri provizorii, nu este permisa prejudecarea fondului litigiului. Elementele apreciate de societate ca fiind nelegalități evidente ale actului contestat depăşesc cu mult limitele posibilităţii de analiză conferite instanţei de judecată în cadrul prezentei proceduri.</w:t>
      </w:r>
    </w:p>
    <w:p>
      <w:pPr>
        <w:pStyle w:val="Normal"/>
        <w:ind w:firstLine="708"/>
        <w:jc w:val="both"/>
        <w:rPr/>
      </w:pPr>
      <w:r>
        <w:rPr/>
        <w:t>În subsidiar, este de menționat că o analiză amplă a criticilor care vizează nemotivarea actului administrativ contestat, precum și neregularități în procedura de emitere a actului se circumscrie, în fapt, unei analizei pe fond, iar cercetarea punctuală a fiecărei nereguli invocate de reclamantă presupune administrarea unor probe cu respectarea principiului contradictorialităţii, egalităţii de arme, precum şi dreptului la apărare, procedeu inadmisibil în această fază procesuală.</w:t>
      </w:r>
    </w:p>
    <w:p>
      <w:pPr>
        <w:pStyle w:val="Normal"/>
        <w:ind w:firstLine="708"/>
        <w:jc w:val="both"/>
        <w:rPr/>
      </w:pPr>
      <w:r>
        <w:rPr/>
        <w:t xml:space="preserve">Fără  a avea caracter exhaustiv şi fără a prejudeca fondul cauzei, Curtea , la nivel de aparenţă observă că  art. 15 din OUG nr. 77/2009, reglementează </w:t>
      </w:r>
      <w:r>
        <w:rPr>
          <w:rStyle w:val="Fontdeparagrafimplicit"/>
          <w:i/>
          <w:u w:val="single"/>
        </w:rPr>
        <w:t>condiţiile pentru obţinerea licenţei de organizare</w:t>
      </w:r>
      <w:r>
        <w:rPr/>
        <w:t xml:space="preserve"> a jocurilor de noroc, reclamanta exhibând o decizie de acordare licenţă nr.... 2/2019, fila 35, iar pe de altă parte principiul simetriei actelor juridice include ca şi tehnică de încetare a efectelor actului administrativ intrat în circuitul civil, anulare. Pe cale de consecinţă , măsura revocării, la nivel de aparenţă pare a nu se circumscrie acestor exigenţe. </w:t>
      </w:r>
    </w:p>
    <w:p>
      <w:pPr>
        <w:pStyle w:val="Normal"/>
        <w:ind w:firstLine="708"/>
        <w:jc w:val="both"/>
        <w:rPr/>
      </w:pPr>
      <w:r>
        <w:rPr/>
        <w:t xml:space="preserve">În ceea ce priveşte </w:t>
      </w:r>
      <w:r>
        <w:rPr>
          <w:rStyle w:val="Fontdeparagrafimplicit"/>
          <w:i/>
        </w:rPr>
        <w:t xml:space="preserve">condiţia privind existenţa unei pagube iminente, </w:t>
      </w:r>
      <w:r>
        <w:rPr/>
        <w:t>instanţa constată că este definită de art. 2 alin. 1 lit. ş din Legea nr. 554/2004 drept prejudiciu material viitor, previzibil sau după caz, perturbarea previzibilă gravă a funcţionării unei autorităţi publice ori a unui serviciu public.</w:t>
      </w:r>
    </w:p>
    <w:p>
      <w:pPr>
        <w:pStyle w:val="Normal"/>
        <w:ind w:firstLine="708"/>
        <w:jc w:val="both"/>
        <w:rPr/>
      </w:pPr>
      <w:r>
        <w:rPr>
          <w:rStyle w:val="Fontdeparagrafimplicit"/>
          <w:color w:val="000000"/>
        </w:rPr>
        <w:t>Plecând de la definiţia pagubei iminente dată de </w:t>
      </w:r>
      <w:hyperlink w:tgtFrame="_blank" w:anchor="/dokument/16856600/2021-10-13?cm=DOCUMENT" r:id="rId2">
        <w:r>
          <w:rPr>
            <w:rStyle w:val="ListLabel19"/>
            <w:color w:val="000000"/>
            <w:u w:val="single"/>
          </w:rPr>
          <w:t>Legea contenciosului administrativ,</w:t>
        </w:r>
      </w:hyperlink>
      <w:r>
        <w:rPr>
          <w:rStyle w:val="Fontdeparagrafimplicit"/>
          <w:color w:val="000000"/>
        </w:rPr>
        <w:t> se poate considera că este îndeplinită această condiţie numai dacă prejudiciul creat ca urmare al adoptării actului administrativ a cărui suspendare se solicită ar fi greu sau imposibil de recuperat. Trebuie avut în vedere că iminenţa producerii unei pagube ar trebui să constea într-o consecinţă a executării, iar nu în însăşi executarea actului administrativ atacat.</w:t>
      </w:r>
    </w:p>
    <w:p>
      <w:pPr>
        <w:pStyle w:val="Normal"/>
        <w:ind w:firstLine="708"/>
        <w:jc w:val="both"/>
        <w:rPr/>
      </w:pPr>
      <w:r>
        <w:rPr/>
        <w:t>În susţinerea îndeplinirii acestei condiții, societatea reclamantă a arătat faptul că deținea autorizații pentru un număr total de 166 de mijloace de joc, a căror valabilitate a încetat ca urmare a deciziei de revocare a licenței. Această măsură determină înlăturarea dreptului de desfășurare a activității economice și imposibilitatea de a mai realiza venituri, cu menținerea obligațiilor de plată decurgând din deținerea licenței și autorizațiilor.</w:t>
      </w:r>
    </w:p>
    <w:p>
      <w:pPr>
        <w:pStyle w:val="Normal"/>
        <w:ind w:firstLine="708"/>
        <w:jc w:val="both"/>
        <w:rPr/>
      </w:pPr>
      <w:r>
        <w:rPr/>
        <w:t>Astfel, începând cu 1987 în Hotărârea H împotriva Belgiei, Curtea a hotărât că reprezintă  o valoare de ordin patrimonial clientela şi impune aplicarea garanţiilor dreptului de proprietate instituite de Convenţie.</w:t>
      </w:r>
    </w:p>
    <w:p>
      <w:pPr>
        <w:pStyle w:val="Normal"/>
        <w:ind w:firstLine="708"/>
        <w:jc w:val="both"/>
        <w:rPr/>
      </w:pPr>
      <w:r>
        <w:rPr/>
        <w:t>Se constată astfel că reclamanta este pusă în situaţia de a suporta un prejudiciu viitor şi previzibil, prin riscul de a-şi pierde clientela fiind în situația efectivă de a nu își mai putea desfășura activitatea.</w:t>
      </w:r>
    </w:p>
    <w:p>
      <w:pPr>
        <w:pStyle w:val="Normal"/>
        <w:ind w:firstLine="708"/>
        <w:jc w:val="both"/>
        <w:rPr/>
      </w:pPr>
      <w:r>
        <w:rPr/>
        <w:t>In fine, nu mai puţin relevanta este si  împrejurarea ca măsura  dispusa in cauza este in acord si cu recomandarea nr. R(89) 8 adoptata de Comitetul de Miniştri din cadrul Consiliului Europei la 13.09.1989, referitoare la protecţia jurisdicţionala provizorie in materia administrativa.        </w:t>
      </w:r>
    </w:p>
    <w:p>
      <w:pPr>
        <w:pStyle w:val="Normal"/>
        <w:ind w:firstLine="708"/>
        <w:jc w:val="both"/>
        <w:rPr/>
      </w:pPr>
      <w:r>
        <w:rPr/>
        <w:t xml:space="preserve">  </w:t>
      </w:r>
      <w:r>
        <w:rPr/>
        <w:t>In cuprinsul acesteia se arata ca executarea imediata si integrala a actelor administrative contestate sau susceptibile de a fi contestate poate cauza persoanelor juridice, in anumite circumstanţe, un prejudiciu ireparabil, pe care echitatea îl impune sa fie evitat, in măsura posibilului.</w:t>
      </w:r>
    </w:p>
    <w:p>
      <w:pPr>
        <w:pStyle w:val="Normal"/>
        <w:ind w:firstLine="708"/>
        <w:jc w:val="both"/>
        <w:rPr/>
      </w:pPr>
      <w:r>
        <w:rPr/>
        <w:t>Faţă de cele expuse, instanţa constată indeplinită şi această condiţie.</w:t>
      </w:r>
    </w:p>
    <w:p>
      <w:pPr>
        <w:pStyle w:val="Normal"/>
        <w:ind w:firstLine="708"/>
        <w:jc w:val="both"/>
        <w:rPr/>
      </w:pPr>
      <w:r>
        <w:rPr/>
        <w:t>Concluzionând, Curtea constată că reclamanta, prin cererea de suspendare, a furnizat instanţei, în concret, elemente care, la o primă analiză sumară, specifică unui astfel de litigiu, conduc la reţinerea că în cauză sunt indeplinite condiţiile impuse de art.14 din Legea nr. 554/2004, motiv pentru care va dispune suspendarea executării Deciziei nr. X1 până la pronunţarea instanţei de fond.</w:t>
      </w:r>
    </w:p>
    <w:p>
      <w:pPr>
        <w:pStyle w:val="Normal"/>
        <w:jc w:val="both"/>
        <w:rPr>
          <w:b/>
        </w:rPr>
      </w:pPr>
      <w:r>
        <w:rPr>
          <w:b/>
        </w:rPr>
      </w:r>
    </w:p>
    <w:p>
      <w:pPr>
        <w:pStyle w:val="Normal"/>
        <w:jc w:val="center"/>
        <w:rPr>
          <w:b/>
        </w:rPr>
      </w:pPr>
      <w:r>
        <w:rPr>
          <w:rStyle w:val="Fontdeparagrafimplicit"/>
          <w:b/>
        </w:rPr>
        <w:t>PENTRU ACESTE MOTIVE,</w:t>
        <w:br/>
        <w:t>ÎN NUMELE LEGII</w:t>
      </w:r>
    </w:p>
    <w:p>
      <w:pPr>
        <w:pStyle w:val="Normal"/>
        <w:jc w:val="center"/>
        <w:rPr>
          <w:b/>
        </w:rPr>
      </w:pPr>
      <w:r>
        <w:rPr>
          <w:rStyle w:val="Fontdeparagrafimplicit"/>
          <w:b/>
        </w:rPr>
        <w:t>HOTĂRĂŞTE:</w:t>
      </w:r>
    </w:p>
    <w:p>
      <w:pPr>
        <w:pStyle w:val="Normal"/>
        <w:jc w:val="center"/>
        <w:rPr>
          <w:rStyle w:val="Fontdeparagrafimplicit"/>
        </w:rPr>
      </w:pPr>
      <w:r>
        <w:rPr/>
      </w:r>
    </w:p>
    <w:p>
      <w:pPr>
        <w:pStyle w:val="Normal"/>
        <w:jc w:val="both"/>
        <w:rPr>
          <w:rStyle w:val="Fontdeparagrafimplicit"/>
        </w:rPr>
      </w:pPr>
      <w:r>
        <w:rPr/>
      </w:r>
    </w:p>
    <w:p>
      <w:pPr>
        <w:pStyle w:val="Normal"/>
        <w:ind w:firstLine="708"/>
        <w:jc w:val="both"/>
        <w:rPr/>
      </w:pPr>
      <w:r>
        <w:rPr/>
        <w:t xml:space="preserve">Admite cererea formulată de reclamanta </w:t>
      </w:r>
      <w:r>
        <w:rPr>
          <w:rStyle w:val="Fontdeparagrafimplicit"/>
          <w:b/>
        </w:rPr>
        <w:t>S.C. R1 S.R.L.</w:t>
      </w:r>
      <w:r>
        <w:rPr/>
        <w:t xml:space="preserve">, cu sediul în ... şi cu sediul procesual ales la Cabinet de avocat Av1, din ..., ...., mansardă, în contradictoriu cu pârâtul </w:t>
      </w:r>
      <w:r>
        <w:rPr>
          <w:rStyle w:val="Fontdeparagrafimplicit"/>
          <w:b/>
        </w:rPr>
        <w:t>Oficiul Naţional pentru Jocuri de Noroc</w:t>
      </w:r>
      <w:r>
        <w:rPr/>
        <w:t xml:space="preserve">, cu sediul în ..., având ca obiect „suspendare executare act administrativ”. </w:t>
      </w:r>
    </w:p>
    <w:p>
      <w:pPr>
        <w:pStyle w:val="Normal"/>
        <w:ind w:firstLine="708"/>
        <w:jc w:val="both"/>
        <w:rPr/>
      </w:pPr>
      <w:r>
        <w:rPr/>
        <w:t xml:space="preserve">Dispune suspendarea deciziei nr. X1 până la pronunțarea instanței de fond. </w:t>
      </w:r>
    </w:p>
    <w:p>
      <w:pPr>
        <w:pStyle w:val="Normal"/>
        <w:ind w:firstLine="708"/>
        <w:jc w:val="both"/>
        <w:rPr/>
      </w:pPr>
      <w:r>
        <w:rPr/>
        <w:t xml:space="preserve">Cu recurs în 5 zile de la comunicare. </w:t>
      </w:r>
    </w:p>
    <w:p>
      <w:pPr>
        <w:pStyle w:val="Normal"/>
        <w:ind w:firstLine="708"/>
        <w:jc w:val="both"/>
        <w:rPr/>
      </w:pPr>
      <w:r>
        <w:rPr/>
        <w:t>Recursul se va depune la sediul Curţii de Apel ...</w:t>
      </w:r>
    </w:p>
    <w:p>
      <w:pPr>
        <w:pStyle w:val="Normal"/>
        <w:ind w:firstLine="708"/>
        <w:jc w:val="both"/>
        <w:rPr>
          <w:b/>
        </w:rPr>
      </w:pPr>
      <w:r>
        <w:rPr/>
        <w:t>Pronunţată la data de ..., conform art. 402 Cod procedură civilă,  prin punerea soluţiei la dispoziţia părţilor de către Grefa instanţei.</w:t>
      </w:r>
      <w:r>
        <w:rPr>
          <w:rStyle w:val="Fontdeparagrafimplicit"/>
          <w:b/>
        </w:rPr>
        <w:t xml:space="preserve"> </w:t>
      </w:r>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rStyle w:val="Fontdeparagrafimplicit"/>
                <w:b/>
              </w:rPr>
              <w:t>Preşedinte,</w:t>
            </w:r>
          </w:p>
          <w:p>
            <w:pPr>
              <w:pStyle w:val="Normal"/>
              <w:spacing w:line="252" w:lineRule="auto"/>
              <w:jc w:val="center"/>
              <w:rPr>
                <w:b/>
              </w:rPr>
            </w:pPr>
            <w:r>
              <w:rPr>
                <w:rStyle w:val="Fontdeparagrafimplicit"/>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b/>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rStyle w:val="Fontdeparagrafimplicit"/>
                <w:b/>
              </w:rPr>
              <w:t>Grefier,</w:t>
            </w:r>
          </w:p>
          <w:p>
            <w:pPr>
              <w:pStyle w:val="Normal"/>
              <w:spacing w:line="252" w:lineRule="auto"/>
              <w:jc w:val="center"/>
              <w:rPr>
                <w:b/>
              </w:rPr>
            </w:pPr>
            <w:r>
              <w:rPr>
                <w:rStyle w:val="Fontdeparagrafimplicit"/>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2" w:lineRule="auto"/>
              <w:jc w:val="center"/>
              <w:rPr>
                <w:b/>
              </w:rPr>
            </w:pPr>
            <w:r>
              <w:rPr>
                <w:b/>
              </w:rPr>
            </w:r>
          </w:p>
        </w:tc>
      </w:tr>
    </w:tbl>
    <w:p>
      <w:pPr>
        <w:pStyle w:val="Normal"/>
        <w:ind w:firstLine="708"/>
        <w:jc w:val="both"/>
        <w:rPr>
          <w:sz w:val="20"/>
        </w:rPr>
      </w:pPr>
      <w:r>
        <w:rPr>
          <w:sz w:val="20"/>
        </w:rPr>
      </w:r>
    </w:p>
    <w:p>
      <w:pPr>
        <w:pStyle w:val="Normal"/>
        <w:rPr>
          <w:sz w:val="16"/>
        </w:rPr>
      </w:pPr>
      <w:r>
        <w:rPr>
          <w:sz w:val="16"/>
        </w:rPr>
      </w:r>
    </w:p>
    <w:p>
      <w:pPr>
        <w:pStyle w:val="Normal"/>
        <w:rPr>
          <w:sz w:val="16"/>
        </w:rPr>
      </w:pPr>
      <w:r>
        <w:rPr>
          <w:rStyle w:val="Fontdeparagrafimplicit"/>
          <w:sz w:val="16"/>
        </w:rPr>
        <w:t>Red. jud.    A0006/...</w:t>
      </w:r>
    </w:p>
    <w:p>
      <w:pPr>
        <w:pStyle w:val="Normal"/>
        <w:rPr>
          <w:sz w:val="16"/>
        </w:rPr>
      </w:pPr>
      <w:bookmarkStart w:name="_Hlk83891334" w:id="9"/>
      <w:r>
        <w:rPr>
          <w:rStyle w:val="Fontdeparagrafimplicit"/>
          <w:sz w:val="16"/>
        </w:rPr>
        <w:t>Tehnored.  ..../ 4 ex./</w:t>
      </w:r>
      <w:bookmarkEnd w:id="9"/>
      <w:r>
        <w:rPr>
          <w:rStyle w:val="Fontdeparagrafimplicit"/>
          <w:sz w:val="16"/>
        </w:rPr>
        <w:t>...</w:t>
      </w:r>
    </w:p>
    <w:p>
      <w:pPr>
        <w:pStyle w:val="Normal"/>
        <w:rPr>
          <w:rStyle w:val="Fontdeparagrafimplicit"/>
        </w:rPr>
      </w:pPr>
      <w:r>
        <w:rPr/>
      </w:r>
    </w:p>
    <w:p>
      <w:pPr>
        <w:pStyle w:val="Normal"/>
        <w:rPr>
          <w:rStyle w:val="Fontdeparagrafimplicit"/>
        </w:rPr>
      </w:pPr>
      <w:r>
        <w:rPr/>
      </w:r>
    </w:p>
    <w:sectPr>
      <w:footerReference w:type="default" r:id="rId3"/>
      <w:type w:val="nextPage"/>
      <w:pgSz w:w="11906" w:h="16838"/>
      <w:pgMar w:top="851" w:right="1418" w:bottom="851" w:left="1418"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
      <w:jc w:val="center"/>
      <w:rPr/>
    </w:pPr>
    <w:r>
      <w:rPr/>
      <w:fldChar w:fldCharType="begin"/>
    </w:r>
    <w:r>
      <w:rPr/>
      <w:instrText xml:space="preserve"> PAGE </w:instrText>
    </w:r>
    <w:r>
      <w:rPr/>
      <w:fldChar w:fldCharType="separate"/>
    </w:r>
    <w:r>
      <w:rPr/>
      <w:t>20</w:t>
    </w:r>
    <w:r>
      <w:rPr/>
      <w:fldChar w:fldCharType="end"/>
    </w:r>
  </w:p>
  <w:p>
    <w:pPr>
      <w:pStyle w:val="Subso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2">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 w:numId="2">
    <w:abstractNumId w:val="2"/>
  </w:num>
  <w:num w:numId="3">
    <w:abstractNumId w:val="1"/>
    <w:lvlOverride w:ilvl="0">
      <w:startOverride w:val="1"/>
    </w:lvlOverride>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ecris_cdms/document_upload.aspx?id_document=5400000001777032&amp;id_departament=5&amp;id_sesiune=2785774&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character" w:styleId="AntetCaracter">
    <w:name w:val="Antet Caracter"/>
    <w:link w:val="Antet"/>
    <w:qFormat/>
    <w:rPr/>
  </w:style>
  <w:style w:type="character" w:styleId="SubsolCaracter">
    <w:name w:val="Subsol Caracter"/>
    <w:link w:val="Subsol"/>
    <w:qFormat/>
    <w:rPr/>
  </w:style>
  <w:style w:type="character" w:styleId="Titlu1Caracter">
    <w:name w:val="Titlu 1 Caracter"/>
    <w:link w:val="Titlu1"/>
    <w:qFormat/>
    <w:rPr>
      <w:b/>
      <w:sz w:val="28"/>
      <w:lang w:val="en-US"/>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1">
    <w:name w:val="Titlu 1"/>
    <w:basedOn w:val="Normal"/>
    <w:next w:val="Normal"/>
    <w:link w:val="Titlu1Caracter"/>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Antet">
    <w:name w:val="Antet"/>
    <w:basedOn w:val="Normal"/>
    <w:link w:val="AntetCaracter"/>
    <w:qFormat/>
    <w:pPr>
      <w:tabs>
        <w:tab w:val="clear" w:pos="720"/>
        <w:tab w:val="center" w:pos="4536" w:leader="none"/>
        <w:tab w:val="right" w:pos="9072" w:leader="none"/>
      </w:tabs>
    </w:pPr>
    <w:rPr/>
  </w:style>
  <w:style w:type="paragraph" w:styleId="Subsol">
    <w:name w:val="Subsol"/>
    <w:basedOn w:val="Normal"/>
    <w:link w:val="SubsolCaracter"/>
    <w:qFormat/>
    <w:pPr>
      <w:tabs>
        <w:tab w:val="clear" w:pos="720"/>
        <w:tab w:val="center" w:pos="4536" w:leader="none"/>
        <w:tab w:val="right" w:pos="9072" w:leader="none"/>
      </w:tabs>
    </w:pPr>
    <w:rPr/>
  </w:style>
  <w:style w:type="paragraph" w:styleId="Listparagraf">
    <w:name w:val="Listă paragraf"/>
    <w:basedOn w:val="Normal"/>
    <w:qFormat/>
    <w:pPr>
      <w:spacing w:before="0" w:after="0"/>
      <w:ind w:left="720"/>
      <w:contextualSpacing/>
    </w:pPr>
    <w:rPr/>
  </w:style>
  <w:style w:type="paragraph" w:styleId="msonormal">
    <w:name w:val="msonormal"/>
    <w:basedOn w:val="Normal"/>
    <w:qFormat/>
    <w:pPr>
      <w:spacing w:before="280" w:after="280"/>
    </w:pPr>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ntact.ro/"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80</ap:TotalTime>
  <ap:Application>LibreOffice/24.2.7.2$Linux_X86_64 LibreOffice_project/420$Build-2</ap:Application>
  <ap:AppVersion>15.0000</ap:AppVersion>
  <ap:Pages>13</ap:Pages>
  <ap:Words>12206</ap:Words>
  <ap:Characters>70116</ap:Characters>
  <ap:CharactersWithSpaces>82219</ap:CharactersWithSpaces>
  <ap:Paragraphs>245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