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A2AC" w14:textId="4F288671" w:rsidR="009279E6" w:rsidRDefault="00ED3BF3">
      <w:r>
        <w:t>Cod ECLI    ECLI:RO:CA....:....</w:t>
      </w:r>
    </w:p>
    <w:p w14:paraId="75FD402D" w14:textId="7B07FC3A" w:rsidR="009279E6" w:rsidRDefault="00ED3BF3">
      <w:r>
        <w:t>Dosar nr. .....12</w:t>
      </w:r>
    </w:p>
    <w:p w14:paraId="0F93F82F" w14:textId="77777777" w:rsidR="009279E6" w:rsidRDefault="00ED3BF3">
      <w:pPr>
        <w:jc w:val="center"/>
      </w:pPr>
      <w:r>
        <w:t>R O M Â N I A</w:t>
      </w:r>
    </w:p>
    <w:p w14:paraId="3AA4E40A" w14:textId="77777777" w:rsidR="009279E6" w:rsidRDefault="009279E6">
      <w:pPr>
        <w:jc w:val="center"/>
      </w:pPr>
    </w:p>
    <w:p w14:paraId="62CD199D" w14:textId="788A13B2" w:rsidR="009279E6" w:rsidRDefault="00ED3BF3">
      <w:pPr>
        <w:jc w:val="center"/>
      </w:pPr>
      <w:r>
        <w:t>CURTEA DE APEL X</w:t>
      </w:r>
    </w:p>
    <w:p w14:paraId="715C8EE6" w14:textId="27A35322" w:rsidR="009279E6" w:rsidRDefault="00ED3BF3">
      <w:pPr>
        <w:jc w:val="center"/>
        <w:rPr>
          <w:rStyle w:val="Fontdeparagrafimplicit1"/>
          <w:lang w:val="en-US"/>
        </w:rPr>
      </w:pPr>
      <w:r>
        <w:t>SECŢIA .... CONTENCIOS ADMINISTRATIV ŞI FISCAL</w:t>
      </w:r>
    </w:p>
    <w:p w14:paraId="06E2F8DB" w14:textId="77777777" w:rsidR="009279E6" w:rsidRDefault="009279E6">
      <w:pPr>
        <w:rPr>
          <w:rStyle w:val="Fontdeparagrafimplicit1"/>
        </w:rPr>
      </w:pPr>
    </w:p>
    <w:p w14:paraId="4C71A13B" w14:textId="2825983B" w:rsidR="009279E6" w:rsidRDefault="00ED3BF3">
      <w:pPr>
        <w:jc w:val="center"/>
      </w:pPr>
      <w:bookmarkStart w:id="0" w:name="tip_incheiere"/>
      <w:r>
        <w:t>DECIZIE</w:t>
      </w:r>
      <w:bookmarkEnd w:id="0"/>
      <w:r>
        <w:t xml:space="preserve"> Nr. ...</w:t>
      </w:r>
    </w:p>
    <w:p w14:paraId="3E432CB3" w14:textId="349D818C" w:rsidR="009279E6" w:rsidRDefault="00ED3BF3">
      <w:pPr>
        <w:jc w:val="center"/>
      </w:pPr>
      <w:r>
        <w:t>Şedinţa </w:t>
      </w:r>
      <w:bookmarkStart w:id="1" w:name="tip_sedinta"/>
      <w:r>
        <w:t>publică</w:t>
      </w:r>
      <w:bookmarkEnd w:id="1"/>
      <w:r>
        <w:t xml:space="preserve"> de la ..... </w:t>
      </w:r>
    </w:p>
    <w:p w14:paraId="3216A7D2" w14:textId="77777777" w:rsidR="009279E6" w:rsidRDefault="00ED3BF3">
      <w:pPr>
        <w:jc w:val="center"/>
      </w:pPr>
      <w:r>
        <w:t>Completul compus din:</w:t>
      </w:r>
    </w:p>
    <w:p w14:paraId="2A30E022" w14:textId="311BD5B4" w:rsidR="009279E6" w:rsidRDefault="00ED3BF3">
      <w:pPr>
        <w:jc w:val="center"/>
      </w:pPr>
      <w:r>
        <w:t>PREŞEDINTE A0017</w:t>
      </w:r>
    </w:p>
    <w:p w14:paraId="30133EB6" w14:textId="2BD26D48" w:rsidR="009279E6" w:rsidRDefault="00ED3BF3">
      <w:pPr>
        <w:jc w:val="center"/>
      </w:pPr>
      <w:r>
        <w:t>Judecător ...</w:t>
      </w:r>
    </w:p>
    <w:p w14:paraId="6D599518" w14:textId="31A23B6F" w:rsidR="009279E6" w:rsidRDefault="00ED3BF3">
      <w:pPr>
        <w:jc w:val="center"/>
      </w:pPr>
      <w:r>
        <w:t>Judecător ...</w:t>
      </w:r>
    </w:p>
    <w:p w14:paraId="20B9B6C7" w14:textId="2067B1B3" w:rsidR="009279E6" w:rsidRDefault="00ED3BF3">
      <w:pPr>
        <w:jc w:val="center"/>
      </w:pPr>
      <w:r>
        <w:t>Grefier ...</w:t>
      </w:r>
    </w:p>
    <w:p w14:paraId="0FA5A9EB" w14:textId="77777777" w:rsidR="009279E6" w:rsidRDefault="009279E6">
      <w:pPr>
        <w:jc w:val="center"/>
      </w:pPr>
    </w:p>
    <w:p w14:paraId="617443A2" w14:textId="77777777" w:rsidR="009279E6" w:rsidRDefault="009279E6">
      <w:pPr>
        <w:jc w:val="center"/>
      </w:pPr>
      <w:bookmarkStart w:id="2" w:name="nume_procuror"/>
      <w:bookmarkEnd w:id="2"/>
    </w:p>
    <w:p w14:paraId="44537E96" w14:textId="38357FEA" w:rsidR="009279E6" w:rsidRDefault="00ED3BF3">
      <w:pPr>
        <w:ind w:firstLine="708"/>
        <w:jc w:val="both"/>
      </w:pPr>
      <w:r>
        <w:t>Pe rol judecarea cauzei în Contencios administrativ şi fiscal privind pe revizuenta SC XYZ COM S.R.L. împotriva Deciziei civile nr. ....2019 pronunţată de Curtea de Apel X- Secţia .... contencios administrativ şi fiscal în dosarul nr. ...2016, în contradictoriu cu intimata U.A.T. GD, PRIN PRIMAR şi intimatul CONSILIUL LOCAL GD, PRIN PRIMAR, având ca obiect anulare act administrativ.</w:t>
      </w:r>
    </w:p>
    <w:p w14:paraId="522C0713" w14:textId="77777777" w:rsidR="009279E6" w:rsidRDefault="00ED3BF3">
      <w:pPr>
        <w:ind w:firstLine="708"/>
        <w:jc w:val="both"/>
      </w:pPr>
      <w:r>
        <w:t xml:space="preserve">La apelul nominal făcut în şedinţa </w:t>
      </w:r>
      <w:bookmarkStart w:id="3" w:name="tip_sedinta_copie_1"/>
      <w:r>
        <w:t>publică</w:t>
      </w:r>
      <w:bookmarkEnd w:id="3"/>
      <w:r>
        <w:t xml:space="preserve"> la prima strigare şi la a doua strigare a cauzei nu au răspuns părţile. </w:t>
      </w:r>
    </w:p>
    <w:p w14:paraId="7E1841C9" w14:textId="77777777" w:rsidR="009279E6" w:rsidRDefault="00ED3BF3">
      <w:pPr>
        <w:ind w:firstLine="708"/>
        <w:jc w:val="both"/>
      </w:pPr>
      <w:r>
        <w:t xml:space="preserve">Procedura de citare este </w:t>
      </w:r>
      <w:bookmarkStart w:id="4" w:name="tip_procedura"/>
      <w:r>
        <w:t>legal</w:t>
      </w:r>
      <w:bookmarkEnd w:id="4"/>
      <w:r>
        <w:t xml:space="preserve"> îndeplinită.</w:t>
      </w:r>
    </w:p>
    <w:p w14:paraId="03A0ACB7" w14:textId="77777777" w:rsidR="009279E6" w:rsidRDefault="00ED3BF3">
      <w:pPr>
        <w:ind w:firstLine="708"/>
        <w:jc w:val="both"/>
      </w:pPr>
      <w:r>
        <w:t xml:space="preserve">S-a făcut </w:t>
      </w:r>
      <w:bookmarkStart w:id="5" w:name="tip_doc_despre_cauza"/>
      <w:r>
        <w:t>referatul</w:t>
      </w:r>
      <w:bookmarkEnd w:id="5"/>
      <w:r>
        <w:t xml:space="preserve"> cauzei de către </w:t>
      </w:r>
      <w:bookmarkStart w:id="6" w:name="functia_celui_care_f"/>
      <w:r>
        <w:t>grefier</w:t>
      </w:r>
      <w:bookmarkEnd w:id="6"/>
      <w:r>
        <w:t>, după care,</w:t>
      </w:r>
    </w:p>
    <w:p w14:paraId="460EA326" w14:textId="77777777" w:rsidR="009279E6" w:rsidRDefault="00ED3BF3">
      <w:pPr>
        <w:ind w:firstLine="708"/>
        <w:jc w:val="both"/>
      </w:pPr>
      <w:r>
        <w:t xml:space="preserve">Curtea constată că părţile au solicitat judecarea cauzei şi în lipsă, astfel încât rămâne în pronunţare pe excepţiile nulităţii şi inadmisibilităţii cererii de revizuire şi, în subsidiar pe fondul cererii de revizuire. </w:t>
      </w:r>
    </w:p>
    <w:p w14:paraId="3A95CB43" w14:textId="77777777" w:rsidR="009279E6" w:rsidRDefault="009279E6">
      <w:pPr>
        <w:jc w:val="both"/>
      </w:pPr>
    </w:p>
    <w:p w14:paraId="1FA396BE" w14:textId="77777777" w:rsidR="009279E6" w:rsidRDefault="00ED3BF3">
      <w:pPr>
        <w:jc w:val="center"/>
      </w:pPr>
      <w:r>
        <w:t>CURTEA</w:t>
      </w:r>
    </w:p>
    <w:p w14:paraId="61DAC2D9" w14:textId="77777777" w:rsidR="009279E6" w:rsidRDefault="00ED3BF3">
      <w:r>
        <w:tab/>
      </w:r>
    </w:p>
    <w:p w14:paraId="2071F825" w14:textId="77777777" w:rsidR="009279E6" w:rsidRDefault="00ED3BF3">
      <w:pPr>
        <w:ind w:firstLine="708"/>
        <w:rPr>
          <w:rStyle w:val="Fontdeparagrafimplicit1"/>
          <w:i/>
        </w:rPr>
      </w:pPr>
      <w:r>
        <w:rPr>
          <w:rStyle w:val="Fontdeparagrafimplicit1"/>
          <w:i/>
        </w:rPr>
        <w:t>Deliberând asupra cererii de revizuire, constată următoarele:</w:t>
      </w:r>
    </w:p>
    <w:p w14:paraId="4F4959D7" w14:textId="07B81D07" w:rsidR="009279E6" w:rsidRDefault="00ED3BF3">
      <w:pPr>
        <w:ind w:firstLine="708"/>
        <w:jc w:val="both"/>
      </w:pPr>
      <w:r>
        <w:t xml:space="preserve">Prin </w:t>
      </w:r>
      <w:r>
        <w:rPr>
          <w:rStyle w:val="Fontdeparagrafimplicit1"/>
          <w:b/>
        </w:rPr>
        <w:t>decizia civilă</w:t>
      </w:r>
      <w:r>
        <w:t xml:space="preserve"> nr. ....2019 pronunţată de Curtea de Apel X - Secţia .... contencios administrativ şi fiscal în dosarul nr. ...2016, instanţa a dispus respingerea recursului declarat de SC XYZ COM S.R.L în contradictoriu cu intimata U.A.T. GD, PRIN PRIMAR şi intimatul CONSILIUL LOCAL GD, PRIN PRIMAR, împotriva sentinţei civile nr. .....2018 pronunţată de Tribunalul Y în dosarul nr. ...2016.</w:t>
      </w:r>
    </w:p>
    <w:p w14:paraId="4C086200" w14:textId="42388D08" w:rsidR="009279E6" w:rsidRDefault="00ED3BF3">
      <w:pPr>
        <w:ind w:firstLine="708"/>
        <w:jc w:val="both"/>
      </w:pPr>
      <w:r>
        <w:t xml:space="preserve">SC XYZ COM S.R.L a formulat </w:t>
      </w:r>
      <w:r>
        <w:rPr>
          <w:rStyle w:val="Fontdeparagrafimplicit1"/>
          <w:b/>
        </w:rPr>
        <w:t>cerere de revizuire</w:t>
      </w:r>
      <w:r>
        <w:t xml:space="preserve"> împotriva deciziei civile menţionate. Cererea de revizuire a fost înregistrata la data de .....2019. Motivarea revizuirii a fost depusa la data de .....2019, după redactarea deciziei civile împotriva căreia s-a formulat cerere de revizuire. </w:t>
      </w:r>
    </w:p>
    <w:p w14:paraId="78A46C1E" w14:textId="72057D71" w:rsidR="009279E6" w:rsidRDefault="00ED3BF3">
      <w:pPr>
        <w:ind w:firstLine="708"/>
        <w:jc w:val="both"/>
      </w:pPr>
      <w:r>
        <w:t>În motivarea cererii de revizuire, revizuenta a arătat, în esenţă, că prin acţiunea înregistrată sub nr....2016 pe rolul Judecătoriei S, intimata-reclamantă UAT Comuna GD şi Consiliul local GD au solicitat instanţei de judecată să constate rezoluţiunea contractelor de concesiune .... din 15.12.2008 şi respectiv .... din 11.05.2009 încheiate cu pârâta, (cu repunerea părţilor în situaţia anterioară) şi obligarea societatii la plata redevenţelor restante în sumă totală de 168594 lei (din care 106554 debit şi 62040 lei majorări calculate la 1.08.2015).</w:t>
      </w:r>
    </w:p>
    <w:p w14:paraId="56D4BE19" w14:textId="1E2662A3" w:rsidR="009279E6" w:rsidRDefault="00ED3BF3">
      <w:pPr>
        <w:ind w:firstLine="708"/>
        <w:jc w:val="both"/>
      </w:pPr>
      <w:r>
        <w:t>Prin Sentinţa Civilă nr. ... din ....2017, Judecătoria S a declinat competenţa de soluţionare a cauzei în favoarea Tribunalului Y- Contencios administrativ.</w:t>
      </w:r>
    </w:p>
    <w:p w14:paraId="3A8DA105" w14:textId="12404304" w:rsidR="009279E6" w:rsidRDefault="00ED3BF3">
      <w:pPr>
        <w:ind w:firstLine="708"/>
        <w:jc w:val="both"/>
      </w:pPr>
      <w:r>
        <w:t>După înregistrarea cauzei pe rolul Tribunalului Y, instanţa de judecată prin încheierea de şedinţă din data de ....2017 a adus la cunoştinţa părţilor din prezenta cauză următoarele:</w:t>
      </w:r>
    </w:p>
    <w:p w14:paraId="666711C8" w14:textId="77777777" w:rsidR="009279E6" w:rsidRDefault="00ED3BF3">
      <w:pPr>
        <w:ind w:firstLine="708"/>
        <w:jc w:val="both"/>
      </w:pPr>
      <w:r>
        <w:t xml:space="preserve">„Tribunalul aduce la cunoştinţa părţilor că din cuprinsul cererii de chemare în judecată reiese faptul că reclamanţii solicită o sumă globală de 168.594 lei care este formată din 106.554 lei debit, 62.040 lei majorări calculate până la data de 01.08.2015 (data la care se </w:t>
      </w:r>
      <w:r>
        <w:lastRenderedPageBreak/>
        <w:t>pretinde de către reclamanţi că ar fi reziliat unilateral contractul de concesiune). Se arată că această sumă reprezintă redevenţă neachitată. De asemenea din cuprinsul acţiunii reiese că pretenţiile sunt solicitate şi în urma activării unei clauze contractuale, şi anume art. 10 pct.4 lit.a din contractul de concesiune, conform căruia rezilierea intervine în cazul nerespectării obligaţiilor contractuale de către concesionar, prin rezilierea unilaterală de către concedent, cu plata unei despăgubiri, plata redevenţei datorată pentru perioada de timp rămasă până la finalizarea contractului, în sarcina concesionarului. Raportat la aceste aspecte solicită lămuriri avocatului reclamanţilor în sensul de a preciza cât din suma solicitată reprezintă redevenţă neachitată de către pârâtă, data până la care trebuia achitată redevenţă, modalitatea de calcul a penalităţilor (zile de întârziere, procent) şi cât reprezintă despăgubiri solicitate în temeiul art.10 pct 4 lit a din contract, având în vedere că în cauză a fost invocată şi excepţia prescripţiei. "</w:t>
      </w:r>
    </w:p>
    <w:p w14:paraId="1B22251D" w14:textId="77777777" w:rsidR="009279E6" w:rsidRDefault="00ED3BF3">
      <w:pPr>
        <w:ind w:firstLine="708"/>
        <w:jc w:val="both"/>
      </w:pPr>
      <w:r>
        <w:t>De asemenea, instanţa de judecată a pus în vedere avocatului reclamanţilor să precizeze clar care este redevenţă neachitată până la momentul rezilierii unilaterale a contractelor la data de 01.08.2015, respectiv de când până când nu s-a achitat această redevenţă şi penalităţile pentru redevenţele respective, deoarece acestea se stabilesc pe zile de întârziere.</w:t>
      </w:r>
    </w:p>
    <w:p w14:paraId="07F67BE4" w14:textId="77777777" w:rsidR="009279E6" w:rsidRDefault="00ED3BF3">
      <w:pPr>
        <w:ind w:firstLine="708"/>
        <w:jc w:val="both"/>
      </w:pPr>
      <w:r>
        <w:t>Totodată, instanţa de judecată i-a solicitat avocatului intimaţilor-reclamanţi să precizeze clar care este despăgubirea pe care o solicită, respectiv care este cuantumul acesteia care efect al activării clauzei prevăzute la art.10 pct.4 lit.a din contract.</w:t>
      </w:r>
    </w:p>
    <w:p w14:paraId="15FB8FB4" w14:textId="77777777" w:rsidR="009279E6" w:rsidRDefault="00ED3BF3">
      <w:pPr>
        <w:ind w:firstLine="708"/>
        <w:jc w:val="both"/>
      </w:pPr>
      <w:r>
        <w:t>La termenul din data de 29.01.2018, s-au depus de către avocatul intimatilor-reclamanti următoarele înscrisuri:</w:t>
      </w:r>
    </w:p>
    <w:p w14:paraId="6EC4B6DE" w14:textId="2474C35D" w:rsidR="009279E6" w:rsidRDefault="00ED3BF3">
      <w:pPr>
        <w:ind w:firstLine="708"/>
        <w:jc w:val="both"/>
      </w:pPr>
      <w:r>
        <w:t>Adresa nr.... din 12.01.2018 către Tribunalul Y, prin care au fost comunicate următoarele detalii cu privire la restanţele cu care figurează S.C. XYZ SRL, CUI ... cu sediul în Brăila:</w:t>
      </w:r>
    </w:p>
    <w:p w14:paraId="0BA8519F" w14:textId="1821C44D" w:rsidR="009279E6" w:rsidRDefault="00ED3BF3">
      <w:pPr>
        <w:ind w:firstLine="708"/>
        <w:jc w:val="both"/>
      </w:pPr>
      <w:r>
        <w:t>- suma restantă de plată pentru concesiune, la data de 12.01.2018, este de 193377 lei din care: suma 97347 lei debite restante anii 2010-2015 şi suma 96030 lei accesorii calculate până la data de 12.01.2018. Menţionăm că, în data de 11.09.2015, conform PV nr. ... din 11.09.2015, au încetat de comun acord contractele de concesiune nr..../2008 şi .../2009, dată până la care s-au calculat debitele evidenţiate anterior.</w:t>
      </w:r>
    </w:p>
    <w:p w14:paraId="534FF4B0" w14:textId="19BF6B04" w:rsidR="009279E6" w:rsidRDefault="00ED3BF3">
      <w:pPr>
        <w:ind w:firstLine="708"/>
        <w:jc w:val="both"/>
      </w:pPr>
      <w:r>
        <w:t>De asemenea, au anexat acestei adrese următoarele documente: situaţia debitelor restante, decizie referitoare la obligaţiile de plată accesorii nr. ..../12.01.2018, proces verbal nr. .... din 11.09.2015, angajament de plată nr. ... din 11.09.2015, dovada îndeplinirii procedurii de înmânare a deciziei de plată nr..../07.08.2015 (respinsă primirea), titlul executoriu nr...../14.03.2013, deciziile de plată nr. .... din 14.08.2012/03.09.2012, înştiinţare debite din data 25.11.2011.</w:t>
      </w:r>
    </w:p>
    <w:p w14:paraId="3D6AD90E" w14:textId="3C0307C2" w:rsidR="009279E6" w:rsidRDefault="00ED3BF3">
      <w:pPr>
        <w:ind w:firstLine="708"/>
        <w:jc w:val="both"/>
      </w:pPr>
      <w:r>
        <w:t xml:space="preserve">La termenul din data de </w:t>
      </w:r>
      <w:r w:rsidR="00B36573">
        <w:t>...</w:t>
      </w:r>
      <w:r>
        <w:t xml:space="preserve">.02.2018, instanţa de judecata a dat cuvântul părţilor, pe excepţia prescripţiei şi pe fondul cauzei, fără însă să observe că intimatele-reclamante nu se conformaseră dispoziţiilor instanţei de la termenul din data de </w:t>
      </w:r>
      <w:r w:rsidR="00B36573">
        <w:t>...</w:t>
      </w:r>
      <w:r>
        <w:t>.12.2017.</w:t>
      </w:r>
    </w:p>
    <w:p w14:paraId="4715D51D" w14:textId="40D43715" w:rsidR="009279E6" w:rsidRDefault="00ED3BF3">
      <w:pPr>
        <w:ind w:firstLine="708"/>
        <w:jc w:val="both"/>
      </w:pPr>
      <w:r>
        <w:t>Prin Sentinţa nr. ...2018, instanţa de fond a admis cererea intimatelor-reclamante şi a respins excepţia prescripţiei.</w:t>
      </w:r>
    </w:p>
    <w:p w14:paraId="2B9D8A02" w14:textId="77777777" w:rsidR="009279E6" w:rsidRDefault="00ED3BF3">
      <w:pPr>
        <w:ind w:firstLine="708"/>
        <w:jc w:val="both"/>
      </w:pPr>
      <w:r>
        <w:t>Împotriva acestei sentinţe, revizuenta-pârâtă a formulat recurs.</w:t>
      </w:r>
    </w:p>
    <w:p w14:paraId="55C44BB6" w14:textId="4EA7426F" w:rsidR="009279E6" w:rsidRDefault="00ED3BF3">
      <w:pPr>
        <w:ind w:firstLine="708"/>
        <w:jc w:val="both"/>
      </w:pPr>
      <w:r>
        <w:t>La termenul din data de 18.03.2019, în faţa instanţei Curţii de Apel X, reprezentantul revizuentei-parate a dezvoltat oral motivele de recurs:</w:t>
      </w:r>
    </w:p>
    <w:p w14:paraId="66996EEA" w14:textId="77777777" w:rsidR="009279E6" w:rsidRDefault="00ED3BF3">
      <w:pPr>
        <w:ind w:firstLine="708"/>
        <w:jc w:val="both"/>
      </w:pPr>
      <w:r>
        <w:t>-</w:t>
      </w:r>
      <w:r>
        <w:tab/>
        <w:t>astfel, a precizat că instanţa de fond ar fi trebuit să constate nulitatea, în conformitate cu art.196 Cod procedură civilă a cererii de chemare în judecată, având în vedere faptul că aceasta nu este semnată;</w:t>
      </w:r>
    </w:p>
    <w:p w14:paraId="2740F322" w14:textId="77777777" w:rsidR="009279E6" w:rsidRDefault="00ED3BF3">
      <w:pPr>
        <w:ind w:firstLine="708"/>
        <w:jc w:val="both"/>
      </w:pPr>
      <w:r>
        <w:t>-</w:t>
      </w:r>
      <w:r>
        <w:tab/>
        <w:t>de asemenea, a susţinut că ar trebui să se constate, prin admiterea recursului, nulitatea cererii de chemare în judecată, în conformitate cu art.196 Cod procedură civilă;</w:t>
      </w:r>
    </w:p>
    <w:p w14:paraId="01BC16F4" w14:textId="77777777" w:rsidR="009279E6" w:rsidRDefault="00ED3BF3">
      <w:pPr>
        <w:ind w:firstLine="708"/>
        <w:jc w:val="both"/>
      </w:pPr>
      <w:r>
        <w:t>-</w:t>
      </w:r>
      <w:r>
        <w:tab/>
        <w:t>a subliniat că la dosarul cauzei nu s-au depus dovezi din care să reiasă că s-au respectat dispoziţiile art. 7 din Legea nr.554/2004, având în vedere că prin cele două contracte de concesiune, părţile au stabilit de comun acord ca acele litigii care sunt izvorâte din prezentele contracte să fie soluţionate potrivit legii contenciosului administrativ;</w:t>
      </w:r>
    </w:p>
    <w:p w14:paraId="27C93994" w14:textId="77777777" w:rsidR="009279E6" w:rsidRDefault="00ED3BF3">
      <w:pPr>
        <w:ind w:firstLine="708"/>
        <w:jc w:val="both"/>
      </w:pPr>
      <w:r>
        <w:lastRenderedPageBreak/>
        <w:t>-</w:t>
      </w:r>
      <w:r>
        <w:tab/>
        <w:t>potrivit art.7 din Legea nr. 554/2004, partea nemulţumită trebuie să facă procedura prealabilă dacă se constată o încălcare a obligaţiei, izvorâtă din contract, în termen de 6 luni. Această dispoziţie legală nu a fost respectată şi a apreciat că în ipoteza admiterii recursului, ar trebui respinsă acţiunea ca inadmisibilă;</w:t>
      </w:r>
    </w:p>
    <w:p w14:paraId="6DB29950" w14:textId="77777777" w:rsidR="009279E6" w:rsidRDefault="00ED3BF3">
      <w:pPr>
        <w:ind w:firstLine="708"/>
        <w:jc w:val="both"/>
      </w:pPr>
      <w:r>
        <w:t>-</w:t>
      </w:r>
      <w:r>
        <w:tab/>
        <w:t>a susţinut că este întemeiată excepţia prescripţiei dreptului material la acţiune invocată în faţa instanţei de fond, reiterată prin recurs;</w:t>
      </w:r>
    </w:p>
    <w:p w14:paraId="77B08BE5" w14:textId="7028ECE3" w:rsidR="009279E6" w:rsidRDefault="00ED3BF3">
      <w:pPr>
        <w:ind w:firstLine="708"/>
        <w:jc w:val="both"/>
      </w:pPr>
      <w:r>
        <w:t>-</w:t>
      </w:r>
      <w:r>
        <w:tab/>
        <w:t xml:space="preserve">a precizat că, la termenul de judecată din data de </w:t>
      </w:r>
      <w:r w:rsidR="004C7FD3">
        <w:t>...</w:t>
      </w:r>
      <w:r>
        <w:t>.01.2018, Tribunalul Y i-a pus în vedere intimatei reclamante să depună o precizare din care să reiasă modalitatea de calcul a penalităţilor, debitul până la data rezilierii contractului şi cuantumul pentru cauza penalizatoare care s-a aplicat datorită culpei societăţii recurente.</w:t>
      </w:r>
    </w:p>
    <w:p w14:paraId="4AF3B784" w14:textId="77777777" w:rsidR="009279E6" w:rsidRDefault="00ED3BF3">
      <w:pPr>
        <w:ind w:firstLine="708"/>
        <w:jc w:val="both"/>
      </w:pPr>
      <w:r>
        <w:t>Insă, la dosarul cauzei, în faţa instanţei de fond, au fost depuse titluri executorii, un angajament de plată şi un Proces-verbal. Instanţa de fond a respins excepţia prescripţiei dreptului material la acţiune şi s-a raportat la Procesul-Verbal care a fost întocmit de către părţi şi la angajamentul de plată însă a reţinut că nu este o creanţă fiscală ci o creanţă de drept comun. Admite că este aşa, însă mergând pe acest raţionament, instanţa de fond ar fi trebuit să persiste în cererea pentru precizarea acţiunii şi administrarea probei cu expertiză pentru a se stabili din ce este compusă creanţa şi dacă sunt debite prescrise.</w:t>
      </w:r>
    </w:p>
    <w:p w14:paraId="02D42F61" w14:textId="77777777" w:rsidR="009279E6" w:rsidRDefault="00ED3BF3">
      <w:pPr>
        <w:ind w:firstLine="708"/>
        <w:jc w:val="both"/>
      </w:pPr>
      <w:r>
        <w:t>-</w:t>
      </w:r>
      <w:r>
        <w:tab/>
        <w:t>instanţa s-a raportat la un act nelegal, respectiv la titlurile executorii care au fost emise şi a respins excepţia prescripţiei. Or, reţinând că nu este o creanţă fiscală, titlurile executorii emise în temeiul Codului fiscal şi Codului de procedură fiscală sunt acte nelegale şi nu au nicio valoare juridică. A precizat că instanţa de fond trebuia să reţină că este o creanţă de drept comun şi să administreze toate probele şi să se raporteze doar la acelea care ţin de dreptul comun;</w:t>
      </w:r>
    </w:p>
    <w:p w14:paraId="212A4959" w14:textId="77777777" w:rsidR="009279E6" w:rsidRDefault="00ED3BF3">
      <w:pPr>
        <w:ind w:firstLine="708"/>
        <w:jc w:val="both"/>
      </w:pPr>
      <w:r>
        <w:t>- a solicitat să se constate că instanţa de fond, în mod greşit a abandonat solicitarea din data de 29.01.2018, privind precizarea acţiunii şi a dat eficacitatea juridică acelor acte care au fost întocmite în temeiul Codului fiscal, respectiv Deciziei referitoare la obligaţii de plată accesorii şi a titlurilor executorii. Aceste acte sunt acte fiscale care nu produc consecinţe juridice, întrucât, prin Decizia pronunţată de I.C.C.J. în 2012 s-a reţinut că litigiile referitoare la contractele de concesiuni sunt litigii de drept comun.</w:t>
      </w:r>
    </w:p>
    <w:p w14:paraId="6E4C9C25" w14:textId="77777777" w:rsidR="009279E6" w:rsidRDefault="00ED3BF3">
      <w:pPr>
        <w:ind w:firstLine="708"/>
        <w:jc w:val="both"/>
      </w:pPr>
      <w:r>
        <w:t>In concluzie, a solicitat admiterea recursului, casarea sentinţei recurate şi, rejudecând, trimiterea cauzei spre rejudecare la instanţa de fond în vederea administrării probei cu expertiză pentru a se stabili dacă acea creanţă care a fost precizată şi s-a depus un titlu executoriu, este o creanţă prescriptibilă sau nu şi dacă modalitatea de calcul a acelei creanţe este modalitatea corectă, respectiv din ce sunt compuse penalităţile, majorările, debitul până la data rezilierii, debitul după data rezilierii pentru clauza care a fost aplicată pentru nerespectarea obligaţiilor contractuale.</w:t>
      </w:r>
    </w:p>
    <w:p w14:paraId="0C0F2CDC" w14:textId="7C851858" w:rsidR="009279E6" w:rsidRDefault="00ED3BF3">
      <w:pPr>
        <w:ind w:firstLine="708"/>
        <w:jc w:val="both"/>
      </w:pPr>
      <w:r>
        <w:t>Prin Decizia ....2019 s-a respins recursul ca nefondat.</w:t>
      </w:r>
    </w:p>
    <w:p w14:paraId="3D389950" w14:textId="77777777" w:rsidR="009279E6" w:rsidRDefault="00ED3BF3">
      <w:pPr>
        <w:ind w:firstLine="708"/>
        <w:jc w:val="both"/>
        <w:rPr>
          <w:rStyle w:val="Fontdeparagrafimplicit1"/>
          <w:b/>
        </w:rPr>
      </w:pPr>
      <w:r>
        <w:rPr>
          <w:rStyle w:val="Fontdeparagrafimplicit1"/>
          <w:b/>
        </w:rPr>
        <w:t>Motivele de revizuire invocate sunt:</w:t>
      </w:r>
    </w:p>
    <w:p w14:paraId="3F5E5E0A" w14:textId="77777777" w:rsidR="009279E6" w:rsidRDefault="00ED3BF3">
      <w:pPr>
        <w:ind w:firstLine="708"/>
        <w:jc w:val="both"/>
      </w:pPr>
      <w:r>
        <w:t>În speţă sunt incidente dispoziţiile art. 21 alin. 1 din Legea nr. 554/2004 a contenciosului administrativ, cu modificările si completările ulterioare, conform cu care: „(l)Constituie motiv de revizuire, care se adaugă la cele prevăzute de Codul de procedură civilă, pronunţarea hotărârilor rămase definitive prin încălcarea principiului priorităţii dreptului Uniunii Europene, reglementat la art. 148 alin. (2) coroborat cu art. 20 alin. (2) din Constituţia României, republicată.</w:t>
      </w:r>
    </w:p>
    <w:p w14:paraId="224A8684" w14:textId="77777777" w:rsidR="009279E6" w:rsidRDefault="00ED3BF3">
      <w:pPr>
        <w:ind w:firstLine="708"/>
        <w:jc w:val="both"/>
      </w:pPr>
      <w:r>
        <w:t>Astfel, cu toate ca prin hotărârea pronunţata in recurs, instanţa a respins recursul ca nefondat, subscrisa are deschisa calea extraordinara de atac a revizuirii întemeiata pe dispoziţiile art. 21 alin. 1 din Legea nr. 554/2004, in raport de dispoziiile alin. 2 ale art. 21 din Legea nr. 554/2004, potrivit cărora „(2)Sunt supuse revizuirii, pentru motivul prevăzut la alin. (1), şi hotărârile definitive care nu evocă fondul."</w:t>
      </w:r>
    </w:p>
    <w:p w14:paraId="20174A79" w14:textId="77777777" w:rsidR="009279E6" w:rsidRDefault="00ED3BF3">
      <w:pPr>
        <w:ind w:firstLine="708"/>
        <w:jc w:val="both"/>
      </w:pPr>
      <w:r>
        <w:t xml:space="preserve">In ceea ce priveşte intrunirea condiţiei impusa de alin. 1 al art. 21 din Legea nr. 554/2004, în interpretarea textului legal mai sus menţionat, Completul pentru dezlegarea unor chestiuni de drept al înaltei Curţi de Casaţie şi Justiţie a statuat prin Decizia nr. 45 din data de 12 decembrie 2016, că, în interpretarea şi aplicarea dispoziţiilor art. 21 alin. (2) din Legea nr. 554/2004 (n.n. art. 21 alin. (1) din Legea nr. 554/2004, dupa modificarea de la data de </w:t>
      </w:r>
      <w:r>
        <w:lastRenderedPageBreak/>
        <w:t>02.08.2018 prin Legea 212/2018), cererea de revizuire este admisibilă în baza unor decizii ale Curţii de Justiţie a Uniunii Europene, indiferent de momentul pronunţării acestora şi de împrejurarea invocării sau nu în litigiul de bază a dispoziţiilor de drept european preexistente, încălcate prin hotărârea a cărei revizuire se cere.</w:t>
      </w:r>
    </w:p>
    <w:p w14:paraId="3890D99A" w14:textId="77777777" w:rsidR="009279E6" w:rsidRDefault="00ED3BF3">
      <w:pPr>
        <w:ind w:firstLine="708"/>
        <w:jc w:val="both"/>
      </w:pPr>
      <w:r>
        <w:t>Astfel, s-a reţinut prin decizia referită că motiv al revizuirii întemeiate pe art. 21 alin. (2) teza întâi din Legea nr. 554/2004 (n.n. art. 21 alin. (1) din Legea nr. 554/2004, dupa modificarea de la data de 02.08.2018 prin Legea 212/2018), îl constituie calificarea juridică a faptelor prin prisma normei de drept european incidente sau a interpretării acesteia rezultate dintr-o hotărâre CJUE, iar nu faptele deduse judecăţii, care reprezintă un element imutabil al litigiului. In mod judicios reţine instanţa supremă în considerentele deciziei amintite că "Instanţa trebuie să aplice dreptul, care îi este cunoscut, inclusiv dreptul european şi hotărârile interpretative ale CJUE, care au caracter obligatoriu pentru instanţele statelor membre şi se bucură de prioritate în aplicare, potrivit art. 148 alin. (2) din Constituţie". Tocmai de aceea, s-a statuat că "nu este necesar ca partea să fi invocat în cursul soluţionării procesului încălcarea vreunui text din dreptul european, însă trebuie să fi invocat dreptul subiectiv ocrotit de dreptul european, chiar dacă nu s-a referit la incompatibilitatea normei interne cu dreptul european".</w:t>
      </w:r>
    </w:p>
    <w:p w14:paraId="27F8B406" w14:textId="4578D71C" w:rsidR="009279E6" w:rsidRDefault="00ED3BF3">
      <w:pPr>
        <w:ind w:firstLine="708"/>
        <w:jc w:val="both"/>
      </w:pPr>
      <w:r>
        <w:t>In speţă, la pronunţarea Deciziei civile nr. ....2019, instanţa de recurs nu a avut in vedere dreptul comunitar. Astfel, intrucat instanţa de recurs a mentinut hotărârea pronunţata in cauza de către instanţa de fond, tinand cont si analizând documentele fiscale depuse de către intimatii-reclamanti, aceasta trebuia sa aplice in prezenta cauza Hotărârea Curţii de Justiţie a Uniunii Europene din 9 noiembrie 2017 in cauza C-298/16, Ispas, având ca obiect o cerere de decizie preliminară formulată în temeiul articolului 267 TFUE de Curtea de Apel Cluj (România), „Trimitere preliminară - Principii generale ale dreptului Uniunii- Dreptul la o bună administrare şi dreptul la apărare - Reglementare naţională fiscală care prevede dreptul de a fi ascultat şi dreptul de a fi informat în cursul unei proceduri administrative fiscale - Decizie de impunere a taxei pe valoarea adăugată emisă de autorităţile fiscale naţionale fără a da acces contribuabilului la informaţiile şi la documentele care constituie temeiul deciziei menţionate".</w:t>
      </w:r>
    </w:p>
    <w:p w14:paraId="0B1F242C" w14:textId="77777777" w:rsidR="009279E6" w:rsidRDefault="00ED3BF3">
      <w:pPr>
        <w:ind w:firstLine="708"/>
        <w:jc w:val="both"/>
      </w:pPr>
      <w:r>
        <w:t>Atata timp cat in cauza si instanţa de fond si instanţa de recurs au stabilit ca natura creanţei solicitata prin acţiune de către intimatii-reclamanti reprezintă o creanţa de drept comun, ci nu o creanţa fiscala, acestea trebuiau sa inlature înscrisurile fiscale pe care a fost fundamentata cererea de chemare in judecata.</w:t>
      </w:r>
    </w:p>
    <w:p w14:paraId="44BB653B" w14:textId="77777777" w:rsidR="009279E6" w:rsidRDefault="00ED3BF3">
      <w:pPr>
        <w:ind w:firstLine="708"/>
        <w:jc w:val="both"/>
      </w:pPr>
      <w:r>
        <w:t>Or, in situaţia in care aceste înscrisuri nu au fost înlăturate, acţiunea fiind admisa in raport de acestea si hotărârea instanţei de fond menţinută de către instanţa de recurs, prin respingerea recursului subscrisei, instanţa de recurs trebuia sa faca aplicarea cu prioritate a Hotărârii Curţii de Justiţie a Uniunii Europene din 9 noiembrie 2017 in cauza C-298/16.</w:t>
      </w:r>
    </w:p>
    <w:p w14:paraId="64275994" w14:textId="77777777" w:rsidR="009279E6" w:rsidRDefault="00ED3BF3">
      <w:pPr>
        <w:ind w:firstLine="708"/>
        <w:jc w:val="both"/>
      </w:pPr>
      <w:r>
        <w:t>Prin aceasta hotărâre, Curtea s-a pronunţat in sensul ca „Principiul general al dreptului Uniunii al respectării dreptului la apărare trebuie interpretat în sensul că, în cadrul unor proceduri administrative de inspecţie şi de stabilire a bazei de impunere a taxei pe valoarea adăugată, un particular trebuie să aibă posibilitatea să i se comunice, la cerere, informaţiile şi documentele care se găsesc în dosarul administrativ şi care au fost luate în considerare de autoritatea publică la adoptarea deciziei sale, cu excepţia cazului în care obiective de interes general justifică restrângerea accesului la respectivele informaţii şi documente". Revizuenta face trimitere la pct. 25-37 din Hotararea CJUE in cauza Ispas.</w:t>
      </w:r>
    </w:p>
    <w:p w14:paraId="54A4781A" w14:textId="77777777" w:rsidR="009279E6" w:rsidRDefault="00ED3BF3">
      <w:pPr>
        <w:ind w:firstLine="708"/>
        <w:jc w:val="both"/>
      </w:pPr>
      <w:r>
        <w:t>Astfel, instanţa de recurs, cat si instanţa de fond,</w:t>
      </w:r>
    </w:p>
    <w:p w14:paraId="44A06885" w14:textId="77777777" w:rsidR="009279E6" w:rsidRDefault="00ED3BF3">
      <w:pPr>
        <w:ind w:firstLine="708"/>
        <w:jc w:val="both"/>
      </w:pPr>
      <w:r>
        <w:t>-</w:t>
      </w:r>
      <w:r>
        <w:tab/>
        <w:t>pe de o parte, in mod greşit au dat eficacitatea juridică acelor acte care au fost întocmite în temeiul Codului fiscal, respectiv Deciziei referitoare la obligaţii de plată accesorii şi a titlurilor executorii, si au dispus admiterea acţiunii intimatilor-reclamanti si respingerea recursului subscrisului, litigiile referitoare la contractele de concesiuni fiind in legătura cu creanţe de drept comun, ci nu fiscal,</w:t>
      </w:r>
    </w:p>
    <w:p w14:paraId="58D67F72" w14:textId="77777777" w:rsidR="009279E6" w:rsidRDefault="00ED3BF3">
      <w:pPr>
        <w:ind w:firstLine="708"/>
        <w:jc w:val="both"/>
      </w:pPr>
      <w:r>
        <w:t>-</w:t>
      </w:r>
      <w:r>
        <w:tab/>
        <w:t>iar pe de alta parte, la dosarul cauzei, intimatii-reclamanti nu au depus actele administrative ce au stat la baza emiterii documentelor fiscale in temeiul caroata si-au întemeiat acţiunea, fiind incalcat in ceea ce o priveşte pe subscrisa, principiul general al dreptului Uniunii al respectării dreptului la apărare si principiul efectivităţii.</w:t>
      </w:r>
    </w:p>
    <w:p w14:paraId="37E41D0B" w14:textId="77777777" w:rsidR="009279E6" w:rsidRDefault="00ED3BF3">
      <w:pPr>
        <w:ind w:firstLine="708"/>
        <w:jc w:val="both"/>
      </w:pPr>
      <w:r>
        <w:lastRenderedPageBreak/>
        <w:t>In drept: art. 21 din Legea nr. 554/2004 a contenciosului administrativ, cu modificările si completările ulterioare, raportat la art. 509 şi următoarele din Codul de Procedură Civilă.</w:t>
      </w:r>
    </w:p>
    <w:p w14:paraId="453B06AA" w14:textId="77777777" w:rsidR="009279E6" w:rsidRDefault="00ED3BF3">
      <w:pPr>
        <w:ind w:firstLine="708"/>
        <w:jc w:val="both"/>
      </w:pPr>
      <w:r>
        <w:t xml:space="preserve"> Prin note scrise, intimata a invocat exceptiile nulitatii si inadmisibilitatii cererii de revizuire. </w:t>
      </w:r>
    </w:p>
    <w:p w14:paraId="047B6F2B" w14:textId="77777777" w:rsidR="009279E6" w:rsidRDefault="00ED3BF3">
      <w:pPr>
        <w:ind w:firstLine="708"/>
        <w:jc w:val="both"/>
        <w:rPr>
          <w:rStyle w:val="Fontdeparagrafimplicit1"/>
          <w:b/>
          <w:i/>
        </w:rPr>
      </w:pPr>
      <w:r>
        <w:rPr>
          <w:rStyle w:val="Fontdeparagrafimplicit1"/>
          <w:b/>
          <w:i/>
        </w:rPr>
        <w:t>Curtea, în urma analizei cererii de revizuire, precum şi a notelor depuse de intimat, reţine următoarele:</w:t>
      </w:r>
    </w:p>
    <w:p w14:paraId="0E647C12" w14:textId="77777777" w:rsidR="009279E6" w:rsidRDefault="00ED3BF3">
      <w:pPr>
        <w:ind w:firstLine="708"/>
        <w:jc w:val="both"/>
      </w:pPr>
      <w:r>
        <w:rPr>
          <w:rStyle w:val="Fontdeparagrafimplicit1"/>
          <w:b/>
        </w:rPr>
        <w:t>Excepţia nulităţii</w:t>
      </w:r>
      <w:r>
        <w:t xml:space="preserve"> cererii de revizuire urmează să fie respinsa intrucat cererea de revizuire contine motivele de revizuire invocate, aşa cum rezultă chiar din conţinutul cererii prezentat de instanta de faţă, cazul de revizuire invocat fiind acela prevazut de art. 21 din Legea nr. 554/2004. </w:t>
      </w:r>
    </w:p>
    <w:p w14:paraId="3FF881E6" w14:textId="77777777" w:rsidR="009279E6" w:rsidRDefault="00ED3BF3">
      <w:pPr>
        <w:ind w:firstLine="708"/>
        <w:jc w:val="both"/>
      </w:pPr>
      <w:r>
        <w:rPr>
          <w:rStyle w:val="Fontdeparagrafimplicit1"/>
          <w:b/>
        </w:rPr>
        <w:t>Exceptia inadmisibilitatii</w:t>
      </w:r>
      <w:r>
        <w:t xml:space="preserve"> cererii de revizuire va fi respinsa. In speţă nu sunt aplicabile dispozitiile generale ale art. 509 alin. 1 Cpc, ci dispozitiile speciale ale art. 21 alin. 1 şi 2 din Legea nr. 554/2004, conform cărora: (1) Constituie motiv de revizuire, care se adaugă la cele prevăzute de Codul de procedură civilă, pronunţarea hotărârilor rămase definitive prin încălcarea principiului priorităţii dreptului Uniunii Europene, reglementat la art. 148 alin. (2) coroborat cu art. 20 alin. (2) din Constituţia României, republicată.  (2) Sunt supuse revizuirii, pentru motivul prevăzut la alin. (1), </w:t>
      </w:r>
      <w:r>
        <w:rPr>
          <w:rStyle w:val="Fontdeparagrafimplicit1"/>
          <w:i/>
        </w:rPr>
        <w:t>şi hotărârile definitive care nu evocă fondul</w:t>
      </w:r>
      <w:r>
        <w:t>.</w:t>
      </w:r>
    </w:p>
    <w:p w14:paraId="3B9C39B5" w14:textId="77777777" w:rsidR="009279E6" w:rsidRDefault="00ED3BF3">
      <w:pPr>
        <w:ind w:firstLine="708"/>
        <w:jc w:val="both"/>
      </w:pPr>
      <w:r>
        <w:rPr>
          <w:rStyle w:val="Fontdeparagrafimplicit1"/>
          <w:b/>
        </w:rPr>
        <w:t>Pe fondul cererii de revizuire</w:t>
      </w:r>
      <w:r>
        <w:t>, Curtea reţine următoarele:</w:t>
      </w:r>
    </w:p>
    <w:p w14:paraId="735EB6D5" w14:textId="77777777" w:rsidR="009279E6" w:rsidRDefault="00ED3BF3">
      <w:pPr>
        <w:ind w:firstLine="708"/>
        <w:jc w:val="both"/>
      </w:pPr>
      <w:r>
        <w:t xml:space="preserve">Dispozițiile articolului 21 alineatul (2) teza întâi din Legea nr. 554/2004 prevăd posibilitatea revizuirii hotărârilor definitive, prin încălcarea principiului priorității dreptului UE. Potrivit Deciziei ÎCCJ nr. 45/2016 – completul pentru dezlegarea unor chestiuni de drept (decizie interpretativă obligatorie), termenul în care pot fi introduse cererile de revizuire este de o lună și curge de la data comunicării hotărârii a cărei revizuire se solicită. </w:t>
      </w:r>
    </w:p>
    <w:p w14:paraId="139900AB" w14:textId="77777777" w:rsidR="009279E6" w:rsidRDefault="00ED3BF3">
      <w:pPr>
        <w:ind w:firstLine="708"/>
        <w:jc w:val="both"/>
      </w:pPr>
      <w:r>
        <w:rPr>
          <w:rStyle w:val="Fontdeparagrafimplicit1"/>
          <w:i/>
        </w:rPr>
        <w:t>Cu titlu prealabil</w:t>
      </w:r>
      <w:r>
        <w:t xml:space="preserve">, </w:t>
      </w:r>
      <w:r>
        <w:rPr>
          <w:rStyle w:val="Fontdeparagrafimplicit1"/>
          <w:i/>
        </w:rPr>
        <w:t>Curtea va face menţiuni cu caracter general referitor la motivul de revizuire prevăzut de art. 21 alineatul (2) teza întâi din Legea nr. 554/2004.</w:t>
      </w:r>
      <w:r>
        <w:t xml:space="preserve"> </w:t>
      </w:r>
    </w:p>
    <w:p w14:paraId="6FBB5A30" w14:textId="77777777" w:rsidR="009279E6" w:rsidRDefault="00ED3BF3">
      <w:pPr>
        <w:ind w:firstLine="708"/>
        <w:jc w:val="both"/>
        <w:rPr>
          <w:rStyle w:val="Fontdeparagrafimplicit1"/>
          <w:b/>
        </w:rPr>
      </w:pPr>
      <w:r>
        <w:t>Potrivit Codului de procedură civilă -</w:t>
      </w:r>
      <w:r>
        <w:rPr>
          <w:rStyle w:val="Fontdeparagrafimplicit1"/>
          <w:lang w:val="it-IT"/>
        </w:rPr>
        <w:t xml:space="preserve"> a se vedea articolele 509 şi 511</w:t>
      </w:r>
      <w:r>
        <w:t xml:space="preserve">, revizuirea este o cale </w:t>
      </w:r>
      <w:r>
        <w:rPr>
          <w:rStyle w:val="Fontdeparagrafimplicit1"/>
          <w:i/>
        </w:rPr>
        <w:t>extraordinară</w:t>
      </w:r>
      <w:r>
        <w:t xml:space="preserve"> de atac, prin intermediul căreia o hotărâre definitivă este criticată pe baza unor împrejurări noi, necunoscute de instanţă la data pronunţării hotărârii (a se vedea şi punctul 40 din Decizia ÎCCJ  nr. 45/2016). Mecanismul revizuirii hotărârilor judecătorești definitive, pentru încălcarea dreptului Uniunii, prevăzut de articolul 21 alineatul (2) din Legea nr. 554/2004 este aplicabil doar acțiunilor de natură administrativă (Hotărârea CJUE din 6 octombrie 2015, Târșia, C-69/14, EU:C:2015:662, punctul 8 și jurisprudența citată). Respectivul mecanism se completează cu regulile procedurale generale în materia revizuirii hotărârilor judecătorești, prevăzute de Codul de procedură civilă. Potrivit articolului 28 alineatul (1) din Legea nr. 554/2004, dispoziţiile Legii contenciosului administrativ (așadar, inclusiv cele privind revizuirea, de la articolul 21) „se completează cu prevederile Codului civil şi cu cele ale Codului de procedură civilă, în măsura în care nu sunt incompatibile cu specificul raporturilor de putere dintre autorităţile publice, pe de o parte, şi persoanele vătămate în drepturile sau interesele lor legitime, pe de altă parte” - a se vedea, în acelaşi sens, și punctul 89 din Decizia ÎCCJ nr. 45/2016.</w:t>
      </w:r>
    </w:p>
    <w:p w14:paraId="017FDAE1" w14:textId="77777777" w:rsidR="009279E6" w:rsidRDefault="00ED3BF3">
      <w:pPr>
        <w:ind w:firstLine="708"/>
        <w:jc w:val="both"/>
      </w:pPr>
      <w:r>
        <w:t>În ceea ce privește motivul de revizuire prevăzut la articolul 21 alineatul (2) din Legea nr. 554/2004, potrivit Deciziei ÎCCJ nr. 45/2016, acesta vizează, în principiu, „orice încălcare”</w:t>
      </w:r>
      <w:r>
        <w:rPr>
          <w:rStyle w:val="Fontdeparagrafimplicit1"/>
          <w:vertAlign w:val="superscript"/>
        </w:rPr>
        <w:t xml:space="preserve"> </w:t>
      </w:r>
      <w:r>
        <w:t xml:space="preserve">a dreptului Uniunii (a se vedea punctul 62 din Decizia ÎCCJ nr. 45/2016). Ar putea constitui motiv de revizuire </w:t>
      </w:r>
      <w:r>
        <w:rPr>
          <w:rStyle w:val="Fontdeparagrafimplicit1"/>
          <w:i/>
        </w:rPr>
        <w:t>o încălcare a dreptului Uniunii care ar putea consta, de pildă, în nerespectarea (inclusiv neaplicarea) unei norme de drept al Uniunii sau într-o interpretare eronată, a unei astfel de norme, contrară unei hotărâri a CJUE</w:t>
      </w:r>
      <w:r>
        <w:t xml:space="preserve">. Astfel, potrivit punctului 79 din Decizia ÎCCJ nr. 45/2016 „[m]otiv al revizuirii întemeiate pe art. 21 alin. (2) teza întâi din Legea nr. 554/2004 îl constituie calificarea juridică a faptelor prin prisma normei de drept european incidente sau a interpretării acesteia rezultate dintr-o hotărâre CJUE [...]”.  </w:t>
      </w:r>
    </w:p>
    <w:p w14:paraId="20FC8B88" w14:textId="77777777" w:rsidR="009279E6" w:rsidRDefault="00ED3BF3">
      <w:pPr>
        <w:ind w:firstLine="708"/>
        <w:jc w:val="both"/>
        <w:rPr>
          <w:rStyle w:val="Fontdeparagrafimplicit1"/>
          <w:b/>
        </w:rPr>
      </w:pPr>
      <w:r>
        <w:t xml:space="preserve">Potrivit Deciziei ÎCCJ nr. 45/2016, revizuirea pentru încălcarea normelor de drept al Uniunii presupune existența unor „dispoziții de drept [UE] neinvocate în cauză sau, [care] deși invocate, [nu au fost] tratate de instanță” (punctul 72 din Decizia ÎCCJ nr. 45/2016). Revizuirea nu poate fi promovată în cazul în care dreptul Uniunii a fost analizat de instanța </w:t>
      </w:r>
      <w:r>
        <w:lastRenderedPageBreak/>
        <w:t>care a soluționat definitiv litigiul „deoarece se opune caracterul revizuirii, de cale extraordinară de atac [...], corelat cu principiul autorității de lucru judecat”.</w:t>
      </w:r>
    </w:p>
    <w:p w14:paraId="1381B72D" w14:textId="77777777" w:rsidR="009279E6" w:rsidRDefault="00ED3BF3">
      <w:pPr>
        <w:ind w:firstLine="708"/>
        <w:jc w:val="both"/>
        <w:rPr>
          <w:rStyle w:val="Fontdeparagrafimplicit1"/>
          <w:b/>
        </w:rPr>
      </w:pPr>
      <w:r>
        <w:t>Potrivit aceleiaşi Decizii (punctul 60), revizuirea în baza unor hotărâri ale CJUE este admisibilă „indiferent de momentul pronunțării acestora și de împrejurarea invocării sau nu în litigiul de bază a dispozițiilor de drept european preexistente, încălcate prin hotărârea a cărei revizuire se cere”.</w:t>
      </w:r>
    </w:p>
    <w:p w14:paraId="725D055C" w14:textId="77777777" w:rsidR="009279E6" w:rsidRDefault="00ED3BF3">
      <w:pPr>
        <w:jc w:val="both"/>
      </w:pPr>
      <w:r>
        <w:tab/>
      </w:r>
      <w:r>
        <w:rPr>
          <w:rStyle w:val="Fontdeparagrafimplicit1"/>
          <w:b/>
          <w:i/>
        </w:rPr>
        <w:t>În ceea ce priveşte cererea de revizuire</w:t>
      </w:r>
      <w:r>
        <w:rPr>
          <w:rStyle w:val="Fontdeparagrafimplicit1"/>
          <w:i/>
        </w:rPr>
        <w:t xml:space="preserve"> formulată în litigiul de faţă</w:t>
      </w:r>
      <w:r>
        <w:t xml:space="preserve">, Curtea reţine: </w:t>
      </w:r>
    </w:p>
    <w:p w14:paraId="75A391F8" w14:textId="77777777" w:rsidR="009279E6" w:rsidRDefault="00ED3BF3">
      <w:pPr>
        <w:jc w:val="both"/>
      </w:pPr>
      <w:r>
        <w:tab/>
        <w:t xml:space="preserve">O primă observaţie este că revizuenta face referire in cererea sa si la faptul că este nelegala, prin prisma art. 21 din Legea nr. 554/2004 şi hotararea primei instante. Curtea remarca faptul că revizuenta nu a formulat cerere de revizuire impotriva sentintei pronuntate de instanta de fond, ci numai impotriva deciziei pronuntate de instanta de recurs. De altfel, revizuirea impotriva sentintei instantei de fond poate fi solutionata numai de instanta competenta, prevazuta de art. 510 alin. 1 Cpc, adica de instanta care a pronuntat hotararea a carei revizuire se solicita. Prin urmare, prin prisma argumentelor prezentate, Curtea de apel nu va analiza argumentele revizuentei care se circumscriu criticii hotararii instantei de fond. </w:t>
      </w:r>
    </w:p>
    <w:p w14:paraId="1F23BCC6" w14:textId="77777777" w:rsidR="009279E6" w:rsidRDefault="00ED3BF3">
      <w:pPr>
        <w:ind w:firstLine="708"/>
        <w:jc w:val="both"/>
      </w:pPr>
      <w:r>
        <w:t xml:space="preserve">În privinta cererii de revizuire impotriva deciziei pronuntate de instanta de recurs, Curtea retine ca aceasta nu este intemeiata. </w:t>
      </w:r>
    </w:p>
    <w:p w14:paraId="390DBE23" w14:textId="572DEA9A" w:rsidR="009279E6" w:rsidRDefault="00ED3BF3">
      <w:pPr>
        <w:jc w:val="both"/>
      </w:pPr>
      <w:r>
        <w:tab/>
        <w:t xml:space="preserve">Curtea constata, din examinarea considerentelor deciziei pronunate in recurs, impotriva careia s-a formulat revizuirea, că, a retinut Curtea de Apel X, ca instanta de recurs, in decizia sa nr. .../2019 că: </w:t>
      </w:r>
    </w:p>
    <w:p w14:paraId="5F44261F" w14:textId="77777777" w:rsidR="009279E6" w:rsidRDefault="00ED3BF3">
      <w:pPr>
        <w:jc w:val="both"/>
        <w:rPr>
          <w:rStyle w:val="Fontdeparagrafimplicit1"/>
          <w:i/>
        </w:rPr>
      </w:pPr>
      <w:r>
        <w:t xml:space="preserve">  </w:t>
      </w:r>
      <w:r>
        <w:tab/>
      </w:r>
      <w:r>
        <w:rPr>
          <w:rStyle w:val="Fontdeparagrafimplicit1"/>
          <w:i/>
        </w:rPr>
        <w:t>„În ceea ce priveşte lipsă semnăturii cererii de chemare în judecată, Curtea reţine că este semnată cererea de chemare în judecată.</w:t>
      </w:r>
    </w:p>
    <w:p w14:paraId="54775232" w14:textId="77777777" w:rsidR="009279E6" w:rsidRDefault="00ED3BF3">
      <w:pPr>
        <w:jc w:val="both"/>
        <w:rPr>
          <w:rStyle w:val="Fontdeparagrafimplicit1"/>
          <w:i/>
        </w:rPr>
      </w:pPr>
      <w:r>
        <w:rPr>
          <w:rStyle w:val="Fontdeparagrafimplicit1"/>
          <w:i/>
        </w:rPr>
        <w:tab/>
        <w:t xml:space="preserve"> Pe de altă parte, Curtea constată că prin cererea de recurs recurenta nu a formulat critici cu privire la lipsa semnăturii, învederând acest aspect la termenul din 21.01.2019,  cu depăşirea termenului prevăzut de art.487 cpc.</w:t>
      </w:r>
    </w:p>
    <w:p w14:paraId="00992754" w14:textId="54428E1F" w:rsidR="009279E6" w:rsidRDefault="00ED3BF3">
      <w:pPr>
        <w:jc w:val="both"/>
        <w:rPr>
          <w:rStyle w:val="Fontdeparagrafimplicit1"/>
          <w:i/>
        </w:rPr>
      </w:pPr>
      <w:r>
        <w:rPr>
          <w:rStyle w:val="Fontdeparagrafimplicit1"/>
          <w:i/>
        </w:rPr>
        <w:tab/>
        <w:t>În ceea ce priveşte competenţa de soluţionare a cauzei în primă instanţă, Curtea reţine că preztnul litigiu are ca obiect  rezoluţiunea contractelor de concesiune nr. 4 din 15.12.2008, respectiv nr. 2 din 11.05.2009, cu repunerea părţilor în situaţia anterioară, precum și obligarea pârâtei la plata redevenţelor restante în sumă totală de 168.594 lei (din care 106.554 lei debit şi 62.040 lei majorări calculate la 01.08.2015), iar în cuprinsul acestor contracte se arată faptul că imobilul, respectiv terneul concesionat aparţine domeniului public al comunei GD.</w:t>
      </w:r>
    </w:p>
    <w:p w14:paraId="0E8668DB" w14:textId="26FCF481" w:rsidR="009279E6" w:rsidRDefault="00ED3BF3">
      <w:pPr>
        <w:jc w:val="both"/>
        <w:rPr>
          <w:rStyle w:val="Fontdeparagrafimplicit1"/>
          <w:i/>
        </w:rPr>
      </w:pPr>
      <w:r>
        <w:rPr>
          <w:rStyle w:val="Fontdeparagrafimplicit1"/>
          <w:i/>
        </w:rPr>
        <w:tab/>
        <w:t>Mai mult, potrivit cetificatului de sarcini emis de OCPI Y(fila 48 dosar fond) imobilul compus din clădire(brutărie) şi teren aferent se află în proprietatea domeniului public al UAT GD, iar potriviti adresi comuna GD(fila 69 dosar fond) imobilul –brutărie aparţine domeniului public al comunei GD.</w:t>
      </w:r>
    </w:p>
    <w:p w14:paraId="55715AE5" w14:textId="77777777" w:rsidR="009279E6" w:rsidRDefault="00ED3BF3">
      <w:pPr>
        <w:jc w:val="both"/>
        <w:rPr>
          <w:rStyle w:val="Fontdeparagrafimplicit1"/>
          <w:i/>
        </w:rPr>
      </w:pPr>
      <w:r>
        <w:rPr>
          <w:rStyle w:val="Fontdeparagrafimplicit1"/>
          <w:i/>
        </w:rPr>
        <w:tab/>
        <w:t>În acest sens, în raport de disp.art. 2 alin.1 lit.c) din Legea nr.554/2004 potrivit cărora sunt asimilate actelor administrative, în sensul prezentei legi, și contractele încheiate de autoritățile publice care au ca obiect punerea în valoare a bunurilor proprietate publică, şi disp.art. 10 alin.1 din Legea nr.554/2004, competenţa de soluţionare a prezentei cauze aparţine instanţelor de contencios administrativ.</w:t>
      </w:r>
    </w:p>
    <w:p w14:paraId="78B8F784" w14:textId="77777777" w:rsidR="009279E6" w:rsidRDefault="00ED3BF3">
      <w:pPr>
        <w:ind w:firstLine="708"/>
        <w:jc w:val="both"/>
        <w:rPr>
          <w:rStyle w:val="Fontdeparagrafimplicit1"/>
          <w:i/>
        </w:rPr>
      </w:pPr>
      <w:r>
        <w:rPr>
          <w:rStyle w:val="Fontdeparagrafimplicit1"/>
          <w:i/>
        </w:rPr>
        <w:t>Pentru aceste considerente, Curtea găseşte neîntemeiat motivul de casare prevăzut de art. pct.488 alin.1 pct.3 cpc, invocat de către recurentă.</w:t>
      </w:r>
    </w:p>
    <w:p w14:paraId="6AFC6FE6" w14:textId="77777777" w:rsidR="009279E6" w:rsidRDefault="00ED3BF3">
      <w:pPr>
        <w:ind w:firstLine="708"/>
        <w:jc w:val="both"/>
        <w:rPr>
          <w:rStyle w:val="Fontdeparagrafimplicit1"/>
          <w:i/>
        </w:rPr>
      </w:pPr>
      <w:r>
        <w:rPr>
          <w:rStyle w:val="Fontdeparagrafimplicit1"/>
          <w:i/>
        </w:rPr>
        <w:t>Potrivit situaţiei de fapt reţinută de către prima instanţă, prin „ Angajament de plată încheiat la 11.09.2015 „ şi  „ Proces – verbal încheiat la 11.09.2015, pârâta a recunoscut la data de 11 septembrie 2015  pretenţia solicitată de reclamantă în cuantumul existent  la acea dată  şi stabilit prin decizia de impunere nr 2705/31.07.2015, obligându-se să  o achite în perioada decembrie 2015 – iulie 2016 în opt tranșe, obligaţie pe care nu şi-a îndeplinit-o.</w:t>
      </w:r>
    </w:p>
    <w:p w14:paraId="715DA896" w14:textId="77777777" w:rsidR="009279E6" w:rsidRDefault="00ED3BF3">
      <w:pPr>
        <w:ind w:firstLine="708"/>
        <w:jc w:val="both"/>
        <w:rPr>
          <w:rStyle w:val="Fontdeparagrafimplicit1"/>
          <w:i/>
        </w:rPr>
      </w:pPr>
      <w:r>
        <w:rPr>
          <w:rStyle w:val="Fontdeparagrafimplicit1"/>
          <w:i/>
        </w:rPr>
        <w:t>În raport de această recunoaştere, Curtea constată că prima instanţă a aplicat în mod corect normele de drept material, prin aplicarea disp.art. 2506 alin.4 cod civil, art. 2507 şi 2510 cod civil, apreciind că  pârâta a înţeles să renunţe la prescripţie, pierzând  dreptul sau facultatea de a opune prescripția în contra reclamației judiciare sau extrajudiciare.</w:t>
      </w:r>
    </w:p>
    <w:p w14:paraId="31198132" w14:textId="77777777" w:rsidR="009279E6" w:rsidRDefault="00ED3BF3">
      <w:pPr>
        <w:ind w:firstLine="708"/>
        <w:jc w:val="both"/>
        <w:rPr>
          <w:rStyle w:val="Fontdeparagrafimplicit1"/>
          <w:i/>
        </w:rPr>
      </w:pPr>
      <w:r>
        <w:rPr>
          <w:rStyle w:val="Fontdeparagrafimplicit1"/>
          <w:i/>
        </w:rPr>
        <w:t>Curtea mai reţine că pentru debitele anterioare datei de 01.10.2011 sunt incidente disp.art. 1838 şi art.1839 cod civil din 1864 referitoare la renunţarea la prescripţie.</w:t>
      </w:r>
    </w:p>
    <w:p w14:paraId="3A7E3AFF" w14:textId="77777777" w:rsidR="009279E6" w:rsidRDefault="00ED3BF3">
      <w:pPr>
        <w:ind w:firstLine="708"/>
        <w:jc w:val="both"/>
        <w:rPr>
          <w:rStyle w:val="Fontdeparagrafimplicit1"/>
          <w:i/>
        </w:rPr>
      </w:pPr>
      <w:r>
        <w:rPr>
          <w:rStyle w:val="Fontdeparagrafimplicit1"/>
          <w:i/>
        </w:rPr>
        <w:lastRenderedPageBreak/>
        <w:t>În acest sens, Curtea constată că în mod corect prima instanţă a respinge excepţia prescripţiei dreptului material la acţiune invocată de pârâtă.</w:t>
      </w:r>
    </w:p>
    <w:p w14:paraId="17AA2EB1" w14:textId="77777777" w:rsidR="009279E6" w:rsidRDefault="00ED3BF3">
      <w:pPr>
        <w:ind w:firstLine="708"/>
        <w:jc w:val="both"/>
        <w:rPr>
          <w:rStyle w:val="Fontdeparagrafimplicit1"/>
          <w:i/>
        </w:rPr>
      </w:pPr>
      <w:r>
        <w:rPr>
          <w:rStyle w:val="Fontdeparagrafimplicit1"/>
          <w:i/>
        </w:rPr>
        <w:t>Curtea reţine că nu prezintă relevanţă  faptul că administratorul recurentei nu a avut un mandat expres al asociatului unic pentru angajamentul de plată încheiat la 11.09.2015.</w:t>
      </w:r>
    </w:p>
    <w:p w14:paraId="76CDFEE9" w14:textId="77777777" w:rsidR="009279E6" w:rsidRDefault="00ED3BF3">
      <w:pPr>
        <w:ind w:firstLine="708"/>
        <w:jc w:val="both"/>
        <w:rPr>
          <w:rStyle w:val="Fontdeparagrafimplicit1"/>
          <w:i/>
        </w:rPr>
      </w:pPr>
      <w:r>
        <w:rPr>
          <w:rStyle w:val="Fontdeparagrafimplicit1"/>
          <w:i/>
        </w:rPr>
        <w:t>Iar cu privire la întinderea mandatului, Curtea reţine că administratorii pot face toate operațiunile cerute pentru aducerea la îndeplinire a obiectului de activitate al societății, afară de restricțiile arătate în actul constitutiv, potrivit art.70 din Legea nr.31/1990.</w:t>
      </w:r>
    </w:p>
    <w:p w14:paraId="57B91CD7" w14:textId="77777777" w:rsidR="009279E6" w:rsidRDefault="00ED3BF3">
      <w:pPr>
        <w:ind w:firstLine="708"/>
        <w:jc w:val="both"/>
        <w:rPr>
          <w:rStyle w:val="Fontdeparagrafimplicit1"/>
          <w:i/>
        </w:rPr>
      </w:pPr>
      <w:r>
        <w:rPr>
          <w:rStyle w:val="Fontdeparagrafimplicit1"/>
          <w:i/>
        </w:rPr>
        <w:t>Or, Curtea reţine că recurenta nu a probat existenţa unei restricţii stabilite administratorului.</w:t>
      </w:r>
    </w:p>
    <w:p w14:paraId="73944908" w14:textId="77777777" w:rsidR="009279E6" w:rsidRDefault="00ED3BF3">
      <w:pPr>
        <w:ind w:firstLine="708"/>
        <w:jc w:val="both"/>
        <w:rPr>
          <w:rStyle w:val="Fontdeparagrafimplicit1"/>
          <w:i/>
        </w:rPr>
      </w:pPr>
      <w:r>
        <w:rPr>
          <w:rStyle w:val="Fontdeparagrafimplicit1"/>
          <w:i/>
        </w:rPr>
        <w:t>Întrucât debitul a fost recunoscut prin angajamentul de plată încheiat la 11.09.2015, iar prin clauza prevăzută la art. 12.2 din contractele de concesiune părţile au stabilit o clauză penală în cazul nerespectării obligaţiei de plată a redevenţei, Curtea constată că prima instanţă a aplicat în mod corect prevederile art. 969, 970 şi 1073 din vechiul cod civil şi art. 1270 din noul cod civil, obligând pârâta la plata către reclamanţi a sumei de 193.377 lei  din care 97.347 lei reprezintă debite restante pentru anii 2010-2015 şi suma de 96.030 lei accesorii calculate până la data de 12.01.2018.</w:t>
      </w:r>
    </w:p>
    <w:p w14:paraId="1AC2AB73" w14:textId="77777777" w:rsidR="009279E6" w:rsidRDefault="00ED3BF3">
      <w:pPr>
        <w:ind w:firstLine="708"/>
        <w:jc w:val="both"/>
        <w:rPr>
          <w:rStyle w:val="Fontdeparagrafimplicit1"/>
          <w:i/>
        </w:rPr>
      </w:pPr>
      <w:r>
        <w:rPr>
          <w:rStyle w:val="Fontdeparagrafimplicit1"/>
          <w:i/>
        </w:rPr>
        <w:t>Pentru aceste considerente, Curtea găseşte neîntemeiate motivele de casare invocate de către recurentă, iar în raport de disp. art. 20 din Legea nr. 554/2004 coroborat cu art. 496 din Codul de procedură civilă, Curtea va respinge recursul ca nefondat.”.</w:t>
      </w:r>
    </w:p>
    <w:p w14:paraId="393811DA" w14:textId="77777777" w:rsidR="009279E6" w:rsidRDefault="00ED3BF3">
      <w:pPr>
        <w:ind w:firstLine="708"/>
        <w:jc w:val="both"/>
      </w:pPr>
      <w:r>
        <w:t xml:space="preserve">Rezultă, din considerentele prezentate, că, instanta de recurs impotriva deciziei careia s-a formulat revizuire a analizat </w:t>
      </w:r>
      <w:r>
        <w:rPr>
          <w:rStyle w:val="Fontdeparagrafimplicit1"/>
          <w:i/>
          <w:u w:val="single"/>
        </w:rPr>
        <w:t>aspecte care ţin de dreptul procesual civil naţional precum şi de dreptul substanţial naţional, nefiind aplicabil, în speţă, dreptul Uniunii Europene</w:t>
      </w:r>
      <w:r>
        <w:t>. Astfel, instanţa de recurs a analizat:</w:t>
      </w:r>
    </w:p>
    <w:p w14:paraId="37119F14" w14:textId="77777777" w:rsidR="009279E6" w:rsidRDefault="00ED3BF3">
      <w:pPr>
        <w:pStyle w:val="Listparagraf1"/>
        <w:numPr>
          <w:ilvl w:val="0"/>
          <w:numId w:val="1"/>
        </w:numPr>
        <w:jc w:val="both"/>
      </w:pPr>
      <w:r>
        <w:t xml:space="preserve">aspecte procesual civile: semnarea cererii de chemare in judecata, competenta primei instante, </w:t>
      </w:r>
    </w:p>
    <w:p w14:paraId="3A1095A9" w14:textId="77777777" w:rsidR="009279E6" w:rsidRDefault="00ED3BF3">
      <w:pPr>
        <w:pStyle w:val="Listparagraf1"/>
        <w:numPr>
          <w:ilvl w:val="0"/>
          <w:numId w:val="1"/>
        </w:numPr>
        <w:jc w:val="both"/>
      </w:pPr>
      <w:r>
        <w:t>aspecte de drept naţional substantial civil: renunţarea la prescripţie extinctivă; exceptia prescripţiei extinctive; dispoziţiile Legii nr. 31/1990 privind societatile comerciale (act normativ de drept national), precum şi aplicarea dispoziţiilor din Codul civil reţinute in cuprinsul motivarii deciziei in recurs.</w:t>
      </w:r>
    </w:p>
    <w:p w14:paraId="294A549B" w14:textId="5B5E02E8" w:rsidR="009279E6" w:rsidRDefault="00ED3BF3">
      <w:pPr>
        <w:ind w:firstLine="708"/>
        <w:jc w:val="both"/>
      </w:pPr>
      <w:r>
        <w:t xml:space="preserve">În acest context, se impune să subliniem că </w:t>
      </w:r>
      <w:r>
        <w:rPr>
          <w:rStyle w:val="Fontdeparagrafimplicit1"/>
          <w:u w:val="single"/>
        </w:rPr>
        <w:t>obiectul litigiului dedus judecăţii</w:t>
      </w:r>
      <w:r>
        <w:t xml:space="preserve"> instantei de fond a fost reclamanţii U.A.T. GD, PRIN PRIMAR şi CONSILIUL LOCAL GD, PRIN PRIMAR, au chemat în judecată pe pârâta S.C. XYZ COM S.R.L.,  având CUI RO ..., înregistrată la Oficiul Registrului Comerţului sub nr. ../.../1992, pentru ca, pe baza probelor ce vor fi administrate în cauză, să se constate </w:t>
      </w:r>
      <w:r>
        <w:rPr>
          <w:rStyle w:val="Fontdeparagrafimplicit1"/>
          <w:b/>
        </w:rPr>
        <w:t>rezoluţiunea contractelor de concesiune</w:t>
      </w:r>
      <w:r>
        <w:t xml:space="preserve"> nr. ... din 15.12.2008, respectiv nr. ... din 11.05.2009, încheiate cu pârâta, cu </w:t>
      </w:r>
      <w:r>
        <w:rPr>
          <w:rStyle w:val="Fontdeparagrafimplicit1"/>
          <w:b/>
        </w:rPr>
        <w:t>repunerea părţilor în situaţia anterioară</w:t>
      </w:r>
      <w:r>
        <w:t xml:space="preserve">, precum și obligarea pârâtei la </w:t>
      </w:r>
      <w:r>
        <w:rPr>
          <w:rStyle w:val="Fontdeparagrafimplicit1"/>
          <w:b/>
        </w:rPr>
        <w:t>plata redevenţelor restante</w:t>
      </w:r>
      <w:r>
        <w:t xml:space="preserve"> în sumă totală de 168.594 lei (din care 106.554 lei debit şi 62.040 lei majorări calculate la 01.08.2015).</w:t>
      </w:r>
    </w:p>
    <w:p w14:paraId="239C7A7A" w14:textId="77777777" w:rsidR="009279E6" w:rsidRDefault="00ED3BF3">
      <w:pPr>
        <w:jc w:val="both"/>
      </w:pPr>
      <w:r>
        <w:tab/>
        <w:t xml:space="preserve">Prin urmare, litigiul care a purtat în faţa instanţei, soluţionat prin decizia impotriva careia s-a formulat revizuire, a vizat desfiintarea unor contracte de concesiune, instanta de recurs efectuand o verificare de legalitate a sentintei instantei de fond prin prisma dispozitiilor de drept national aplicabile, </w:t>
      </w:r>
      <w:r>
        <w:rPr>
          <w:rStyle w:val="Fontdeparagrafimplicit1"/>
          <w:b/>
          <w:u w:val="single"/>
        </w:rPr>
        <w:t>litigiul nefiind susceptibil, prin obiectul său (desfiintarea contractelor de concesiune) sa puna in aplicare dreptul Uniunii</w:t>
      </w:r>
      <w:r>
        <w:t xml:space="preserve">, materia concesiunii ţinând de dreptul national. </w:t>
      </w:r>
    </w:p>
    <w:p w14:paraId="45136EB1" w14:textId="77777777" w:rsidR="009279E6" w:rsidRDefault="00ED3BF3">
      <w:pPr>
        <w:ind w:firstLine="708"/>
        <w:jc w:val="both"/>
      </w:pPr>
      <w:r>
        <w:rPr>
          <w:rStyle w:val="Fontdeparagrafimplicit1"/>
          <w:i/>
        </w:rPr>
        <w:t>Noţiunea de punere în aplicare a dreptului Uniunii</w:t>
      </w:r>
      <w:r>
        <w:t xml:space="preserve"> a fost analizată de CJUE în Hotărârea din 26 februarie 2013 (Marea Cameră), Åkerberg Fransson (C-617/10, EU:C:2013:105). Astfel, analizând problema competenței sale, CJUE a amintit, în esenţă, că un stat membru </w:t>
      </w:r>
      <w:r>
        <w:rPr>
          <w:rStyle w:val="Fontdeparagrafimplicit1"/>
          <w:u w:val="single"/>
        </w:rPr>
        <w:t>pune în aplicare</w:t>
      </w:r>
      <w:r>
        <w:t xml:space="preserve"> dreptul Uniunii, atunci când o situaţie este </w:t>
      </w:r>
      <w:r>
        <w:rPr>
          <w:rStyle w:val="Fontdeparagrafimplicit1"/>
          <w:i/>
        </w:rPr>
        <w:t>reglementată de dreptul Uniunii,</w:t>
      </w:r>
      <w:r>
        <w:t xml:space="preserve"> iar nu în cazul în care o reglementare națională nu se situează </w:t>
      </w:r>
      <w:r>
        <w:rPr>
          <w:rStyle w:val="Fontdeparagrafimplicit1"/>
          <w:i/>
        </w:rPr>
        <w:t>în cadrul dreptului Uniunii</w:t>
      </w:r>
      <w:r>
        <w:t>.</w:t>
      </w:r>
    </w:p>
    <w:p w14:paraId="158A4403" w14:textId="77777777" w:rsidR="009279E6" w:rsidRDefault="00ED3BF3">
      <w:pPr>
        <w:ind w:firstLine="708"/>
        <w:jc w:val="both"/>
      </w:pPr>
      <w:r>
        <w:t xml:space="preserve">În acest context, referirile revizuentei la încălcarea de catre instanta de recurs a jurisprudentei CJUE in general şi, in special, a jurisprudentei CJUE in cauza C-298/16, Ispas, nu au legatura cu obiectul litigiului de faţă. Curtea aminteste ca in cauza Ispas, aşa cum rezultă din hotararea CJUE, litigiul national privea aplicarea dreptului Uniunii, intrucat </w:t>
      </w:r>
      <w:r>
        <w:lastRenderedPageBreak/>
        <w:t xml:space="preserve">raportul juridic de drept substantial era un raport juridic de drept fiscal, privind TVA – ceea ce atragea aplicabilitatea în raportul de drept substantial dintre litiganti, a Directivei de TVA (deci a dreptului Uniunii). Aşa cum instanta a arătat, in speta de fata, situata este vadit diferita de aceea din litigiul principal in care s-a pronuntat hotărârea CJUE mentionata, nefiind vorba despre aplicabilitatea dreptului Uniunii in raportul juridic substantial dintre litiganti, ci fiind vorba de aplicarea dreptului national privind </w:t>
      </w:r>
      <w:r>
        <w:rPr>
          <w:rStyle w:val="Fontdeparagrafimplicit1"/>
          <w:i/>
        </w:rPr>
        <w:t>regimul juridic al concesiunii</w:t>
      </w:r>
      <w:r>
        <w:t>. În fine, chestiunea naturii creantei litigioase a fost tranşata in litigiu in cursul judecatii pe fond si in recurs, neputand face obiectul revizuirii intemeiate pe art. 21 din Legea nr. 554/2004, întrucat calificarea unei creante precum cea din litigiu nu tine de aplicarea dreptului Uniunii, fiind o problema de drept national. În acest context, nu se poate susţine că instanţa de recurs a pronunţat decizia atacata cu revizuire, cu încălcarea dreptului Uniunii.</w:t>
      </w:r>
    </w:p>
    <w:p w14:paraId="745FD40B" w14:textId="77777777" w:rsidR="009279E6" w:rsidRDefault="00ED3BF3">
      <w:pPr>
        <w:ind w:firstLine="708"/>
        <w:jc w:val="both"/>
      </w:pPr>
      <w:r>
        <w:t xml:space="preserve">Pentru aceste motive, Curtea va respinge ca neîntemeiată cererea de revizuire întemeiată pe art. 21 din Legea nr. 554/2004. </w:t>
      </w:r>
    </w:p>
    <w:p w14:paraId="1B56A99A" w14:textId="77777777" w:rsidR="009279E6" w:rsidRDefault="009279E6"/>
    <w:p w14:paraId="66B5394F" w14:textId="77777777" w:rsidR="009279E6" w:rsidRDefault="00ED3BF3">
      <w:pPr>
        <w:jc w:val="center"/>
      </w:pPr>
      <w:r>
        <w:t>PENTRU ACESTE MOTIVE,</w:t>
      </w:r>
      <w:r>
        <w:br/>
        <w:t>ÎN NUMELE LEGII</w:t>
      </w:r>
    </w:p>
    <w:p w14:paraId="516466A9" w14:textId="77777777" w:rsidR="009279E6" w:rsidRDefault="00ED3BF3">
      <w:pPr>
        <w:jc w:val="center"/>
      </w:pPr>
      <w:r>
        <w:t>DECIDE</w:t>
      </w:r>
    </w:p>
    <w:p w14:paraId="13C34EDE" w14:textId="77777777" w:rsidR="009279E6" w:rsidRDefault="009279E6"/>
    <w:p w14:paraId="46B55C96" w14:textId="77777777" w:rsidR="009279E6" w:rsidRDefault="00ED3BF3">
      <w:pPr>
        <w:ind w:firstLine="708"/>
      </w:pPr>
      <w:r>
        <w:t>Respinge excepţiile nulităţii şi inadmisibilităţii cererii de revizuire.</w:t>
      </w:r>
    </w:p>
    <w:p w14:paraId="36ADBA56" w14:textId="319566A0" w:rsidR="009279E6" w:rsidRDefault="00ED3BF3">
      <w:pPr>
        <w:ind w:left="708"/>
        <w:jc w:val="both"/>
      </w:pPr>
      <w:r>
        <w:t xml:space="preserve">Respinge ca neîntemeiată cererea de revizuire privind pe revizuenta SC XYZ </w:t>
      </w:r>
    </w:p>
    <w:p w14:paraId="41D258E6" w14:textId="09836FAA" w:rsidR="009279E6" w:rsidRDefault="00ED3BF3">
      <w:pPr>
        <w:jc w:val="both"/>
      </w:pPr>
      <w:r>
        <w:t xml:space="preserve">COM S.R.L., cu sediul procesual ales la cab. av. ...., în X, Str. ... ..., nr..., ..., parter, ... împotriva Deciziei civile nr. ....2019 pronunţată de Curtea de Apel X- Secţia .... contencios administrativ şi fiscal în dosarul nr. ...2016, în contradictoriu cu intimata U.A.T. GD, PRIN PRIMAR şi intimatul CONSILIUL LOCAL GD, PRIN PRIMAR, ambii cu sediul în  GD, str. </w:t>
      </w:r>
      <w:r w:rsidR="008A5A7A">
        <w:t>.....</w:t>
      </w:r>
      <w:r>
        <w:t>, nr. ..., Judeţ Y.</w:t>
      </w:r>
    </w:p>
    <w:p w14:paraId="3DA9395C" w14:textId="77777777" w:rsidR="009279E6" w:rsidRDefault="00ED3BF3">
      <w:pPr>
        <w:ind w:left="708"/>
      </w:pPr>
      <w:r>
        <w:t xml:space="preserve">Definitivă. </w:t>
      </w:r>
    </w:p>
    <w:p w14:paraId="200A550B" w14:textId="65E4B0F4" w:rsidR="009279E6" w:rsidRDefault="00ED3BF3">
      <w:pPr>
        <w:ind w:left="708"/>
        <w:jc w:val="both"/>
      </w:pPr>
      <w:r>
        <w:t xml:space="preserve">Pronunţată azi, ....2019, prin punerea soluţiei la dispoziţia părţilor de către grefa </w:t>
      </w:r>
    </w:p>
    <w:p w14:paraId="476D3993" w14:textId="77777777" w:rsidR="009279E6" w:rsidRDefault="00ED3BF3">
      <w:pPr>
        <w:jc w:val="both"/>
      </w:pPr>
      <w:r>
        <w:t>instanţei.</w:t>
      </w:r>
      <w:bookmarkStart w:id="7" w:name="completul_1"/>
    </w:p>
    <w:tbl>
      <w:tblPr>
        <w:tblStyle w:val="TabelNormal1"/>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284" w:type="dxa"/>
          <w:bottom w:w="284" w:type="dxa"/>
        </w:tblCellMar>
        <w:tblLook w:val="04A0" w:firstRow="1" w:lastRow="0" w:firstColumn="1" w:lastColumn="0" w:noHBand="0" w:noVBand="1"/>
      </w:tblPr>
      <w:tblGrid>
        <w:gridCol w:w="3096"/>
        <w:gridCol w:w="3095"/>
        <w:gridCol w:w="3095"/>
      </w:tblGrid>
      <w:tr w:rsidR="00AA011E" w14:paraId="03BAF500" w14:textId="77777777">
        <w:trPr>
          <w:jc w:val="center"/>
        </w:trPr>
        <w:tc>
          <w:tcPr>
            <w:tcW w:w="3096" w:type="dxa"/>
            <w:tcBorders>
              <w:top w:val="single" w:sz="4" w:space="0" w:color="FFFFFF"/>
              <w:left w:val="single" w:sz="4" w:space="0" w:color="FFFFFF"/>
              <w:bottom w:val="single" w:sz="4" w:space="0" w:color="FFFFFF"/>
              <w:right w:val="single" w:sz="4" w:space="0" w:color="FFFFFF"/>
            </w:tcBorders>
          </w:tcPr>
          <w:p w14:paraId="4446872E" w14:textId="77777777" w:rsidR="009279E6" w:rsidRDefault="00ED3BF3">
            <w:pPr>
              <w:spacing w:line="276" w:lineRule="auto"/>
              <w:jc w:val="center"/>
            </w:pPr>
            <w:r>
              <w:t>Preşedinte,</w:t>
            </w:r>
          </w:p>
          <w:p w14:paraId="60BCD430" w14:textId="640F5A3D" w:rsidR="009279E6" w:rsidRDefault="00ED3BF3">
            <w:pPr>
              <w:spacing w:line="276" w:lineRule="auto"/>
              <w:jc w:val="center"/>
            </w:pPr>
            <w:r>
              <w:t>A0017</w:t>
            </w:r>
          </w:p>
        </w:tc>
        <w:tc>
          <w:tcPr>
            <w:tcW w:w="3096" w:type="dxa"/>
            <w:tcBorders>
              <w:top w:val="single" w:sz="4" w:space="0" w:color="FFFFFF"/>
              <w:left w:val="single" w:sz="4" w:space="0" w:color="FFFFFF"/>
              <w:bottom w:val="single" w:sz="4" w:space="0" w:color="FFFFFF"/>
              <w:right w:val="single" w:sz="4" w:space="0" w:color="FFFFFF"/>
            </w:tcBorders>
          </w:tcPr>
          <w:p w14:paraId="47252588" w14:textId="77777777" w:rsidR="009279E6" w:rsidRDefault="00ED3BF3">
            <w:pPr>
              <w:spacing w:line="276" w:lineRule="auto"/>
              <w:jc w:val="center"/>
            </w:pPr>
            <w:r>
              <w:t>Judecător,</w:t>
            </w:r>
          </w:p>
          <w:p w14:paraId="771DA20D" w14:textId="05BE0417" w:rsidR="009279E6" w:rsidRDefault="00ED3BF3">
            <w:pPr>
              <w:spacing w:line="276" w:lineRule="auto"/>
              <w:jc w:val="center"/>
            </w:pPr>
            <w:r>
              <w:t>...</w:t>
            </w:r>
          </w:p>
        </w:tc>
        <w:tc>
          <w:tcPr>
            <w:tcW w:w="3096" w:type="dxa"/>
            <w:tcBorders>
              <w:top w:val="single" w:sz="4" w:space="0" w:color="FFFFFF"/>
              <w:left w:val="single" w:sz="4" w:space="0" w:color="FFFFFF"/>
              <w:bottom w:val="single" w:sz="4" w:space="0" w:color="FFFFFF"/>
              <w:right w:val="single" w:sz="4" w:space="0" w:color="FFFFFF"/>
            </w:tcBorders>
          </w:tcPr>
          <w:p w14:paraId="46DED026" w14:textId="77777777" w:rsidR="009279E6" w:rsidRDefault="00ED3BF3">
            <w:pPr>
              <w:spacing w:line="276" w:lineRule="auto"/>
              <w:jc w:val="center"/>
            </w:pPr>
            <w:r>
              <w:t>Judecător,</w:t>
            </w:r>
          </w:p>
          <w:p w14:paraId="6CE40C5B" w14:textId="1751853E" w:rsidR="009279E6" w:rsidRDefault="00ED3BF3">
            <w:pPr>
              <w:spacing w:line="276" w:lineRule="auto"/>
              <w:jc w:val="center"/>
            </w:pPr>
            <w:r>
              <w:t>...</w:t>
            </w:r>
          </w:p>
        </w:tc>
      </w:tr>
      <w:tr w:rsidR="00AA011E" w14:paraId="76015A96" w14:textId="77777777">
        <w:trPr>
          <w:jc w:val="center"/>
        </w:trPr>
        <w:tc>
          <w:tcPr>
            <w:tcW w:w="3096" w:type="dxa"/>
            <w:tcBorders>
              <w:top w:val="single" w:sz="4" w:space="0" w:color="FFFFFF"/>
              <w:left w:val="single" w:sz="4" w:space="0" w:color="FFFFFF"/>
              <w:bottom w:val="single" w:sz="4" w:space="0" w:color="FFFFFF"/>
              <w:right w:val="single" w:sz="4" w:space="0" w:color="FFFFFF"/>
            </w:tcBorders>
          </w:tcPr>
          <w:p w14:paraId="3655B0E1" w14:textId="77777777" w:rsidR="009279E6" w:rsidRDefault="009279E6">
            <w:pPr>
              <w:spacing w:line="276" w:lineRule="auto"/>
              <w:jc w:val="center"/>
            </w:pPr>
          </w:p>
        </w:tc>
        <w:tc>
          <w:tcPr>
            <w:tcW w:w="3096" w:type="dxa"/>
            <w:tcBorders>
              <w:top w:val="single" w:sz="4" w:space="0" w:color="FFFFFF"/>
              <w:left w:val="single" w:sz="4" w:space="0" w:color="FFFFFF"/>
              <w:bottom w:val="single" w:sz="4" w:space="0" w:color="FFFFFF"/>
              <w:right w:val="single" w:sz="4" w:space="0" w:color="FFFFFF"/>
            </w:tcBorders>
          </w:tcPr>
          <w:p w14:paraId="106F8434" w14:textId="77777777" w:rsidR="009279E6" w:rsidRDefault="00ED3BF3">
            <w:pPr>
              <w:spacing w:line="276" w:lineRule="auto"/>
              <w:jc w:val="center"/>
            </w:pPr>
            <w:r>
              <w:t>Grefier,</w:t>
            </w:r>
          </w:p>
          <w:p w14:paraId="212F77EA" w14:textId="695C1526" w:rsidR="009279E6" w:rsidRDefault="00ED3BF3">
            <w:pPr>
              <w:spacing w:line="276" w:lineRule="auto"/>
              <w:jc w:val="center"/>
            </w:pPr>
            <w:r>
              <w:t>...</w:t>
            </w:r>
          </w:p>
        </w:tc>
        <w:tc>
          <w:tcPr>
            <w:tcW w:w="3096" w:type="dxa"/>
            <w:tcBorders>
              <w:top w:val="single" w:sz="4" w:space="0" w:color="FFFFFF"/>
              <w:left w:val="single" w:sz="4" w:space="0" w:color="FFFFFF"/>
              <w:bottom w:val="single" w:sz="4" w:space="0" w:color="FFFFFF"/>
              <w:right w:val="single" w:sz="4" w:space="0" w:color="FFFFFF"/>
            </w:tcBorders>
          </w:tcPr>
          <w:p w14:paraId="35180840" w14:textId="77777777" w:rsidR="009279E6" w:rsidRDefault="009279E6">
            <w:pPr>
              <w:spacing w:line="276" w:lineRule="auto"/>
              <w:jc w:val="center"/>
            </w:pPr>
          </w:p>
        </w:tc>
      </w:tr>
      <w:bookmarkEnd w:id="7"/>
    </w:tbl>
    <w:p w14:paraId="2CFD1671" w14:textId="77777777" w:rsidR="009279E6" w:rsidRDefault="009279E6"/>
    <w:p w14:paraId="0452C0E6" w14:textId="77777777" w:rsidR="009279E6" w:rsidRDefault="009279E6"/>
    <w:p w14:paraId="75BEF4D8" w14:textId="77777777" w:rsidR="009279E6" w:rsidRDefault="009279E6"/>
    <w:p w14:paraId="39C3F2A3" w14:textId="77777777" w:rsidR="009279E6" w:rsidRDefault="009279E6"/>
    <w:p w14:paraId="2D402DE9" w14:textId="77777777" w:rsidR="009279E6" w:rsidRDefault="009279E6"/>
    <w:p w14:paraId="122DFD31" w14:textId="76B24934" w:rsidR="009279E6" w:rsidRDefault="00ED3BF3">
      <w:r>
        <w:t>Red. A0017 4 ex.</w:t>
      </w:r>
    </w:p>
    <w:p w14:paraId="09570776" w14:textId="77777777" w:rsidR="009279E6" w:rsidRDefault="009279E6"/>
    <w:p w14:paraId="6AC5F85B" w14:textId="77777777" w:rsidR="009279E6" w:rsidRDefault="009279E6"/>
    <w:sectPr w:rsidR="009279E6">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47F6"/>
    <w:multiLevelType w:val="hybridMultilevel"/>
    <w:tmpl w:val="7AF452FE"/>
    <w:lvl w:ilvl="0" w:tplc="8C0C0C20">
      <w:numFmt w:val="bullet"/>
      <w:lvlText w:val="-"/>
      <w:lvlJc w:val="left"/>
      <w:pPr>
        <w:ind w:left="1068" w:hanging="360"/>
      </w:pPr>
      <w:rPr>
        <w:rFonts w:ascii="Times New Roman" w:hAnsi="Times New Roman"/>
      </w:rPr>
    </w:lvl>
    <w:lvl w:ilvl="1" w:tplc="92BC9AA2">
      <w:start w:val="1"/>
      <w:numFmt w:val="bullet"/>
      <w:lvlText w:val="o"/>
      <w:lvlJc w:val="left"/>
      <w:pPr>
        <w:ind w:left="1788" w:hanging="360"/>
      </w:pPr>
      <w:rPr>
        <w:rFonts w:ascii="Courier New" w:hAnsi="Courier New"/>
      </w:rPr>
    </w:lvl>
    <w:lvl w:ilvl="2" w:tplc="DDC42F38">
      <w:start w:val="1"/>
      <w:numFmt w:val="bullet"/>
      <w:lvlText w:val=""/>
      <w:lvlJc w:val="left"/>
      <w:pPr>
        <w:ind w:left="2508" w:hanging="360"/>
      </w:pPr>
      <w:rPr>
        <w:rFonts w:ascii="Wingdings" w:hAnsi="Wingdings"/>
      </w:rPr>
    </w:lvl>
    <w:lvl w:ilvl="3" w:tplc="E8E656E4">
      <w:start w:val="1"/>
      <w:numFmt w:val="bullet"/>
      <w:lvlText w:val=""/>
      <w:lvlJc w:val="left"/>
      <w:pPr>
        <w:ind w:left="3228" w:hanging="360"/>
      </w:pPr>
      <w:rPr>
        <w:rFonts w:ascii="Symbol" w:hAnsi="Symbol"/>
      </w:rPr>
    </w:lvl>
    <w:lvl w:ilvl="4" w:tplc="CD0A9F00">
      <w:start w:val="1"/>
      <w:numFmt w:val="bullet"/>
      <w:lvlText w:val="o"/>
      <w:lvlJc w:val="left"/>
      <w:pPr>
        <w:ind w:left="3948" w:hanging="360"/>
      </w:pPr>
      <w:rPr>
        <w:rFonts w:ascii="Courier New" w:hAnsi="Courier New"/>
      </w:rPr>
    </w:lvl>
    <w:lvl w:ilvl="5" w:tplc="33A24692">
      <w:start w:val="1"/>
      <w:numFmt w:val="bullet"/>
      <w:lvlText w:val=""/>
      <w:lvlJc w:val="left"/>
      <w:pPr>
        <w:ind w:left="4668" w:hanging="360"/>
      </w:pPr>
      <w:rPr>
        <w:rFonts w:ascii="Wingdings" w:hAnsi="Wingdings"/>
      </w:rPr>
    </w:lvl>
    <w:lvl w:ilvl="6" w:tplc="E1C04632">
      <w:start w:val="1"/>
      <w:numFmt w:val="bullet"/>
      <w:lvlText w:val=""/>
      <w:lvlJc w:val="left"/>
      <w:pPr>
        <w:ind w:left="5388" w:hanging="360"/>
      </w:pPr>
      <w:rPr>
        <w:rFonts w:ascii="Symbol" w:hAnsi="Symbol"/>
      </w:rPr>
    </w:lvl>
    <w:lvl w:ilvl="7" w:tplc="47749886">
      <w:start w:val="1"/>
      <w:numFmt w:val="bullet"/>
      <w:lvlText w:val="o"/>
      <w:lvlJc w:val="left"/>
      <w:pPr>
        <w:ind w:left="6108" w:hanging="360"/>
      </w:pPr>
      <w:rPr>
        <w:rFonts w:ascii="Courier New" w:hAnsi="Courier New"/>
      </w:rPr>
    </w:lvl>
    <w:lvl w:ilvl="8" w:tplc="DD081EE8">
      <w:start w:val="1"/>
      <w:numFmt w:val="bullet"/>
      <w:lvlText w:val=""/>
      <w:lvlJc w:val="left"/>
      <w:pPr>
        <w:ind w:left="6828" w:hanging="360"/>
      </w:pPr>
      <w:rPr>
        <w:rFonts w:ascii="Wingdings" w:hAnsi="Wingdings"/>
      </w:rPr>
    </w:lvl>
  </w:abstractNum>
  <w:num w:numId="1" w16cid:durableId="1404453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3295976&amp;id_departament=54&amp;id_sesiune=2928220&amp;id_user=862&amp;id_institutie=2&amp;actiune=modifica"/>
  </w:docVars>
  <w:rsids>
    <w:rsidRoot w:val="009279E6"/>
    <w:rsid w:val="00125DEB"/>
    <w:rsid w:val="003E59FC"/>
    <w:rsid w:val="004C7FD3"/>
    <w:rsid w:val="0072773D"/>
    <w:rsid w:val="00864F27"/>
    <w:rsid w:val="008A5A7A"/>
    <w:rsid w:val="009279E6"/>
    <w:rsid w:val="00AA011E"/>
    <w:rsid w:val="00B36573"/>
    <w:rsid w:val="00ED3BF3"/>
    <w:rsid w:val="00F011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B90AD"/>
  <w15:docId w15:val="{F0A9FE09-7F5F-449B-87E7-11F479EB8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1">
    <w:name w:val="Listă paragraf1"/>
    <w:basedOn w:val="Normal"/>
    <w:qFormat/>
    <w:pPr>
      <w:ind w:left="720"/>
      <w:contextualSpacing/>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4734</Words>
  <Characters>26989</Characters>
  <Application>Microsoft Office Word</Application>
  <DocSecurity>0</DocSecurity>
  <Lines>224</Lines>
  <Paragraphs>63</Paragraphs>
  <ScaleCrop>false</ScaleCrop>
  <Manager/>
  <Company/>
  <LinksUpToDate>false</LinksUpToDate>
  <CharactersWithSpaces>31660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cp:revision>
  <dcterms:created xsi:type="dcterms:W3CDTF">2026-09-03T07:30:00Z</dcterms:created>
  <dcterms:modified xsi:type="dcterms:W3CDTF">2026-09-13T08:02:00Z</dcterms:modified>
  <cp:category/>
  <dc:identifier/>
  <cp:contentStatus/>
  <dc:language/>
  <cp:version/>
</cp:coreProperties>
</file>