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39C05" w14:textId="2BE1A679" w:rsidR="004B63A6" w:rsidRDefault="00C576EA">
      <w:pPr>
        <w:rPr>
          <w:rStyle w:val="Fontdeparagrafimplicit1"/>
          <w:rFonts w:ascii="Garamond" w:hAnsi="Garamond"/>
        </w:rPr>
      </w:pPr>
      <w:r>
        <w:rPr>
          <w:rStyle w:val="Fontdeparagrafimplicit1"/>
          <w:rFonts w:ascii="Garamond" w:hAnsi="Garamond"/>
        </w:rPr>
        <w:t>Cod ECLI    ECLI:RO:CA</w:t>
      </w:r>
      <w:r w:rsidR="00CD6578">
        <w:rPr>
          <w:rStyle w:val="Fontdeparagrafimplicit1"/>
          <w:rFonts w:ascii="Garamond" w:hAnsi="Garamond"/>
        </w:rPr>
        <w:t>....</w:t>
      </w:r>
    </w:p>
    <w:p w14:paraId="18752FA1" w14:textId="77777777" w:rsidR="004B63A6" w:rsidRDefault="00C576EA">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62B0F5B9" w14:textId="449B1C17" w:rsidR="004B63A6" w:rsidRDefault="00C576EA">
      <w:pPr>
        <w:rPr>
          <w:rStyle w:val="Fontdeparagrafimplicit1"/>
          <w:b/>
          <w:i/>
        </w:rPr>
      </w:pPr>
      <w:r>
        <w:rPr>
          <w:rStyle w:val="Fontdeparagrafimplicit1"/>
          <w:b/>
          <w:i/>
        </w:rPr>
        <w:t xml:space="preserve">CURTEA DE APEL </w:t>
      </w:r>
      <w:r w:rsidR="00CD6578">
        <w:rPr>
          <w:rStyle w:val="Fontdeparagrafimplicit1"/>
          <w:b/>
          <w:i/>
        </w:rPr>
        <w:t>X</w:t>
      </w:r>
    </w:p>
    <w:p w14:paraId="39CFA9ED" w14:textId="5BFC8B9B" w:rsidR="004B63A6" w:rsidRDefault="00C576EA">
      <w:pPr>
        <w:rPr>
          <w:rStyle w:val="Fontdeparagrafimplicit1"/>
          <w:b/>
          <w:i/>
        </w:rPr>
      </w:pPr>
      <w:r>
        <w:rPr>
          <w:rStyle w:val="Fontdeparagrafimplicit1"/>
          <w:b/>
          <w:i/>
        </w:rPr>
        <w:t xml:space="preserve">   SECŢIA  </w:t>
      </w:r>
      <w:r w:rsidR="00CD6578">
        <w:rPr>
          <w:rStyle w:val="Fontdeparagrafimplicit1"/>
          <w:b/>
          <w:i/>
        </w:rPr>
        <w:t>....</w:t>
      </w:r>
    </w:p>
    <w:p w14:paraId="6EB6BC44" w14:textId="4736B5D4" w:rsidR="004B63A6" w:rsidRDefault="00C576EA">
      <w:pPr>
        <w:rPr>
          <w:rStyle w:val="Fontdeparagrafimplicit1"/>
          <w:i/>
        </w:rPr>
      </w:pPr>
      <w:r>
        <w:rPr>
          <w:rStyle w:val="Fontdeparagrafimplicit1"/>
          <w:i/>
        </w:rPr>
        <w:t xml:space="preserve"> Număr operator de date cu caracter personal </w:t>
      </w:r>
      <w:r w:rsidR="00CD6578">
        <w:rPr>
          <w:rStyle w:val="Fontdeparagrafimplicit1"/>
          <w:i/>
        </w:rPr>
        <w:t>...</w:t>
      </w:r>
    </w:p>
    <w:p w14:paraId="73616E5E" w14:textId="2CBD05A0" w:rsidR="004B63A6" w:rsidRDefault="00C576EA">
      <w:pPr>
        <w:rPr>
          <w:rStyle w:val="Fontdeparagrafimplicit1"/>
          <w:b/>
          <w:i/>
        </w:rPr>
      </w:pPr>
      <w:r>
        <w:rPr>
          <w:rStyle w:val="Fontdeparagrafimplicit1"/>
          <w:b/>
          <w:i/>
        </w:rPr>
        <w:t xml:space="preserve">  DOSAR NR. </w:t>
      </w:r>
      <w:r w:rsidR="00CD6578">
        <w:rPr>
          <w:rStyle w:val="Fontdeparagrafimplicit1"/>
          <w:b/>
          <w:i/>
        </w:rPr>
        <w:t>....</w:t>
      </w:r>
      <w:r w:rsidR="0078514D">
        <w:rPr>
          <w:rStyle w:val="Fontdeparagrafimplicit1"/>
          <w:b/>
          <w:i/>
        </w:rPr>
        <w:t>19</w:t>
      </w:r>
      <w:r>
        <w:rPr>
          <w:rStyle w:val="Fontdeparagrafimplicit1"/>
          <w:b/>
          <w:i/>
        </w:rPr>
        <w:t xml:space="preserve">  </w:t>
      </w:r>
    </w:p>
    <w:p w14:paraId="7BD3FB1D" w14:textId="77777777" w:rsidR="004B63A6" w:rsidRDefault="004B63A6">
      <w:pPr>
        <w:rPr>
          <w:rStyle w:val="Fontdeparagrafimplicit1"/>
          <w:b/>
          <w:i/>
        </w:rPr>
      </w:pPr>
    </w:p>
    <w:p w14:paraId="0E558831" w14:textId="77777777" w:rsidR="004B63A6" w:rsidRDefault="00C576EA">
      <w:pPr>
        <w:rPr>
          <w:rStyle w:val="Fontdeparagrafimplicit1"/>
          <w:b/>
          <w:i/>
          <w:u w:val="single"/>
        </w:rPr>
      </w:pPr>
      <w:r>
        <w:rPr>
          <w:rStyle w:val="Fontdeparagrafimplicit1"/>
          <w:i/>
        </w:rPr>
        <w:t xml:space="preserve">        </w:t>
      </w:r>
    </w:p>
    <w:p w14:paraId="02566EA3" w14:textId="2F2C8910" w:rsidR="004B63A6" w:rsidRDefault="00C576EA">
      <w:pPr>
        <w:keepNext/>
        <w:jc w:val="center"/>
        <w:outlineLvl w:val="0"/>
        <w:rPr>
          <w:rStyle w:val="Fontdeparagrafimplicit1"/>
          <w:b/>
          <w:i/>
          <w:u w:val="single"/>
        </w:rPr>
      </w:pPr>
      <w:r>
        <w:rPr>
          <w:rStyle w:val="Fontdeparagrafimplicit1"/>
          <w:b/>
          <w:i/>
          <w:u w:val="single"/>
        </w:rPr>
        <w:t>DECIZIA CIVILĂ NR.</w:t>
      </w:r>
      <w:r w:rsidR="00CD6578">
        <w:rPr>
          <w:rStyle w:val="Fontdeparagrafimplicit1"/>
          <w:b/>
          <w:i/>
          <w:u w:val="single"/>
        </w:rPr>
        <w:t>...</w:t>
      </w:r>
    </w:p>
    <w:p w14:paraId="48DF047C" w14:textId="77777777" w:rsidR="004B63A6" w:rsidRDefault="004B63A6">
      <w:pPr>
        <w:keepNext/>
        <w:jc w:val="center"/>
        <w:outlineLvl w:val="0"/>
        <w:rPr>
          <w:rStyle w:val="Fontdeparagrafimplicit1"/>
          <w:b/>
          <w:i/>
          <w:u w:val="single"/>
        </w:rPr>
      </w:pPr>
    </w:p>
    <w:p w14:paraId="2EBBD567" w14:textId="64DB4B4C" w:rsidR="004B63A6" w:rsidRDefault="00C576EA">
      <w:pPr>
        <w:jc w:val="center"/>
        <w:rPr>
          <w:rStyle w:val="Fontdeparagrafimplicit1"/>
          <w:b/>
          <w:i/>
        </w:rPr>
      </w:pPr>
      <w:r>
        <w:rPr>
          <w:rStyle w:val="Fontdeparagrafimplicit1"/>
          <w:b/>
          <w:i/>
        </w:rPr>
        <w:t xml:space="preserve">Şedinţa publică din </w:t>
      </w:r>
      <w:r w:rsidR="00CD6578">
        <w:rPr>
          <w:rStyle w:val="Fontdeparagrafimplicit1"/>
          <w:b/>
          <w:i/>
        </w:rPr>
        <w:t>....</w:t>
      </w:r>
    </w:p>
    <w:p w14:paraId="76F69E6A" w14:textId="77777777" w:rsidR="004B63A6" w:rsidRDefault="00C576EA">
      <w:pPr>
        <w:jc w:val="center"/>
        <w:rPr>
          <w:rStyle w:val="Fontdeparagrafimplicit1"/>
          <w:b/>
          <w:i/>
        </w:rPr>
      </w:pPr>
      <w:r>
        <w:rPr>
          <w:rStyle w:val="Fontdeparagrafimplicit1"/>
          <w:b/>
          <w:i/>
        </w:rPr>
        <w:t xml:space="preserve"> </w:t>
      </w:r>
    </w:p>
    <w:p w14:paraId="6E284C14" w14:textId="4AE6F1A9" w:rsidR="004B63A6" w:rsidRDefault="00C576EA">
      <w:pPr>
        <w:ind w:left="2124"/>
        <w:jc w:val="both"/>
        <w:rPr>
          <w:rStyle w:val="Fontdeparagrafimplicit1"/>
          <w:i/>
        </w:rPr>
      </w:pPr>
      <w:r>
        <w:rPr>
          <w:rStyle w:val="Fontdeparagrafimplicit1"/>
          <w:b/>
          <w:i/>
        </w:rPr>
        <w:t xml:space="preserve">        </w:t>
      </w:r>
      <w:r>
        <w:rPr>
          <w:rStyle w:val="Fontdeparagrafimplicit1"/>
          <w:b/>
          <w:i/>
        </w:rPr>
        <w:tab/>
        <w:t xml:space="preserve">  PREŞEDINTE :</w:t>
      </w:r>
      <w:r>
        <w:rPr>
          <w:rStyle w:val="Fontdeparagrafimplicit1"/>
          <w:i/>
        </w:rPr>
        <w:t xml:space="preserve"> </w:t>
      </w:r>
      <w:r w:rsidR="00CD6578">
        <w:rPr>
          <w:rStyle w:val="Fontdeparagrafimplicit1"/>
          <w:i/>
        </w:rPr>
        <w:t>A0011</w:t>
      </w:r>
    </w:p>
    <w:p w14:paraId="1AFB99F9" w14:textId="0F0714FC" w:rsidR="004B63A6" w:rsidRDefault="00C576EA">
      <w:pPr>
        <w:ind w:left="2124" w:firstLine="708"/>
        <w:rPr>
          <w:rStyle w:val="Fontdeparagrafimplicit1"/>
          <w:b/>
          <w:i/>
        </w:rPr>
      </w:pPr>
      <w:r>
        <w:rPr>
          <w:rStyle w:val="Fontdeparagrafimplicit1"/>
          <w:b/>
          <w:i/>
        </w:rPr>
        <w:t xml:space="preserve"> JUDECĂTOR : </w:t>
      </w:r>
      <w:r w:rsidR="00CD6578">
        <w:rPr>
          <w:rStyle w:val="Fontdeparagrafimplicit1"/>
          <w:i/>
        </w:rPr>
        <w:t>....</w:t>
      </w:r>
      <w:r>
        <w:rPr>
          <w:rStyle w:val="Fontdeparagrafimplicit1"/>
          <w:i/>
        </w:rPr>
        <w:t xml:space="preserve">  - preşedintele instanţei   </w:t>
      </w:r>
    </w:p>
    <w:p w14:paraId="414E9EED" w14:textId="2499C4EF" w:rsidR="004B63A6" w:rsidRDefault="00C576EA">
      <w:pPr>
        <w:ind w:left="1416" w:firstLine="708"/>
        <w:jc w:val="both"/>
        <w:rPr>
          <w:rStyle w:val="Fontdeparagrafimplicit1"/>
          <w:b/>
          <w:i/>
        </w:rPr>
      </w:pPr>
      <w:r>
        <w:rPr>
          <w:rStyle w:val="Fontdeparagrafimplicit1"/>
          <w:b/>
          <w:i/>
        </w:rPr>
        <w:t xml:space="preserve">       </w:t>
      </w:r>
      <w:r>
        <w:rPr>
          <w:rStyle w:val="Fontdeparagrafimplicit1"/>
          <w:b/>
          <w:i/>
        </w:rPr>
        <w:tab/>
        <w:t xml:space="preserve">GREFIER : </w:t>
      </w:r>
      <w:r w:rsidR="00CD6578">
        <w:rPr>
          <w:rStyle w:val="Fontdeparagrafimplicit1"/>
          <w:i/>
        </w:rPr>
        <w:t>....</w:t>
      </w:r>
      <w:r>
        <w:rPr>
          <w:rStyle w:val="Fontdeparagrafimplicit1"/>
          <w:i/>
        </w:rPr>
        <w:t xml:space="preserve"> </w:t>
      </w:r>
    </w:p>
    <w:p w14:paraId="0033D027" w14:textId="77777777" w:rsidR="004B63A6" w:rsidRDefault="004B63A6">
      <w:pPr>
        <w:rPr>
          <w:rStyle w:val="Fontdeparagrafimplicit1"/>
        </w:rPr>
      </w:pPr>
    </w:p>
    <w:p w14:paraId="5EC52AC7" w14:textId="1C9F6C4D" w:rsidR="004B63A6" w:rsidRDefault="00C576EA">
      <w:pPr>
        <w:ind w:firstLine="708"/>
        <w:jc w:val="both"/>
      </w:pPr>
      <w:r>
        <w:t xml:space="preserve">Pe rol fiind soluţionarea apelurilor civile declarate de apelanţii </w:t>
      </w:r>
      <w:r>
        <w:rPr>
          <w:rStyle w:val="Fontdeparagrafimplicit1"/>
          <w:b/>
        </w:rPr>
        <w:t xml:space="preserve">PARCHETUL DE PE LÂNGĂ ÎNALTA CURTE DE CASAŢIE ŞI JUSTIŢIE, </w:t>
      </w:r>
      <w:r>
        <w:t xml:space="preserve">cu sediul în </w:t>
      </w:r>
      <w:r w:rsidR="00CD6578">
        <w:t>B</w:t>
      </w:r>
      <w:r>
        <w:t xml:space="preserve">, Bulevardul </w:t>
      </w:r>
      <w:r w:rsidR="00CD6578">
        <w:t>...</w:t>
      </w:r>
      <w:r>
        <w:t>, nr.</w:t>
      </w:r>
      <w:r w:rsidR="00CD6578">
        <w:t>....</w:t>
      </w:r>
      <w:r>
        <w:t xml:space="preserve">, </w:t>
      </w:r>
      <w:r w:rsidR="00CD6578">
        <w:t>...</w:t>
      </w:r>
      <w:r>
        <w:t xml:space="preserve">, judeţul </w:t>
      </w:r>
      <w:r w:rsidR="00CD6578">
        <w:t>I</w:t>
      </w:r>
      <w:r>
        <w:t xml:space="preserve">, </w:t>
      </w:r>
      <w:r>
        <w:rPr>
          <w:rStyle w:val="Fontdeparagrafimplicit1"/>
          <w:b/>
        </w:rPr>
        <w:t xml:space="preserve">PARCHETUL DE PE LÂNGĂ CURTEA DE APEL </w:t>
      </w:r>
      <w:r w:rsidR="00CD6578">
        <w:rPr>
          <w:rStyle w:val="Fontdeparagrafimplicit1"/>
          <w:b/>
        </w:rPr>
        <w:t>X</w:t>
      </w:r>
      <w:r>
        <w:rPr>
          <w:rStyle w:val="Fontdeparagrafimplicit1"/>
          <w:b/>
        </w:rPr>
        <w:t>,</w:t>
      </w:r>
      <w:r>
        <w:t xml:space="preserve"> cu sediul în municipiul </w:t>
      </w:r>
      <w:r w:rsidR="00CD6578">
        <w:t>X</w:t>
      </w:r>
      <w:r>
        <w:t xml:space="preserve">, Str. </w:t>
      </w:r>
      <w:r w:rsidR="00CD6578">
        <w:t>...</w:t>
      </w:r>
      <w:r>
        <w:t>, nr.</w:t>
      </w:r>
      <w:r w:rsidR="00CD6578">
        <w:t>...</w:t>
      </w:r>
      <w:r>
        <w:t xml:space="preserve">, judeţul </w:t>
      </w:r>
      <w:r w:rsidR="00CD6578">
        <w:t>Z</w:t>
      </w:r>
      <w:r>
        <w:t xml:space="preserve">, </w:t>
      </w:r>
      <w:r>
        <w:rPr>
          <w:rStyle w:val="Fontdeparagrafimplicit1"/>
          <w:b/>
        </w:rPr>
        <w:t xml:space="preserve">PARCHETUL DE PE LÂNGĂ TRIBUNALUL </w:t>
      </w:r>
      <w:r w:rsidR="00CD6578">
        <w:rPr>
          <w:rStyle w:val="Fontdeparagrafimplicit1"/>
          <w:b/>
        </w:rPr>
        <w:t>Z</w:t>
      </w:r>
      <w:r>
        <w:rPr>
          <w:rStyle w:val="Fontdeparagrafimplicit1"/>
          <w:b/>
        </w:rPr>
        <w:t>,</w:t>
      </w:r>
      <w:r>
        <w:t xml:space="preserve"> cu sediul în municipiul </w:t>
      </w:r>
      <w:r w:rsidR="00CD6578">
        <w:t>X</w:t>
      </w:r>
      <w:r>
        <w:t xml:space="preserve">, Str. </w:t>
      </w:r>
      <w:r w:rsidR="00CD6578">
        <w:t>....</w:t>
      </w:r>
      <w:r>
        <w:t>, nr.</w:t>
      </w:r>
      <w:r w:rsidR="00CD6578">
        <w:t>...</w:t>
      </w:r>
      <w:r>
        <w:t xml:space="preserve">, judeţul </w:t>
      </w:r>
      <w:r w:rsidR="00CD6578">
        <w:t>Z</w:t>
      </w:r>
      <w:r>
        <w:t xml:space="preserve">, în contradictoriu cu intimaţii </w:t>
      </w:r>
      <w:r w:rsidR="00CD6578">
        <w:rPr>
          <w:rStyle w:val="Fontdeparagrafimplicit1"/>
          <w:b/>
        </w:rPr>
        <w:t>BLM</w:t>
      </w:r>
      <w:r>
        <w:rPr>
          <w:rStyle w:val="Fontdeparagrafimplicit1"/>
          <w:b/>
        </w:rPr>
        <w:t>,</w:t>
      </w:r>
      <w:r>
        <w:t xml:space="preserve"> CNP </w:t>
      </w:r>
      <w:r w:rsidR="00CD6578">
        <w:t>....</w:t>
      </w:r>
      <w:r>
        <w:t xml:space="preserve">, </w:t>
      </w:r>
      <w:r w:rsidR="00CD6578">
        <w:rPr>
          <w:rStyle w:val="Fontdeparagrafimplicit1"/>
          <w:b/>
        </w:rPr>
        <w:t>SA</w:t>
      </w:r>
      <w:r>
        <w:t xml:space="preserve">, CNP </w:t>
      </w:r>
      <w:r w:rsidR="00CD6578">
        <w:t>...</w:t>
      </w:r>
      <w:r>
        <w:t xml:space="preserve">,  ambele cu domiciliul procesual ales la Parchetul de pe lângă Judecătoria </w:t>
      </w:r>
      <w:r w:rsidR="00CD6578">
        <w:t>X</w:t>
      </w:r>
      <w:r>
        <w:t xml:space="preserve"> situat în </w:t>
      </w:r>
      <w:r w:rsidR="00CD6578">
        <w:t>X</w:t>
      </w:r>
      <w:r>
        <w:t xml:space="preserve">, str. </w:t>
      </w:r>
      <w:r w:rsidR="00CD6578">
        <w:t>...</w:t>
      </w:r>
      <w:r>
        <w:t>, nr.</w:t>
      </w:r>
      <w:r w:rsidR="00CD6578">
        <w:t>..</w:t>
      </w:r>
      <w:r>
        <w:t xml:space="preserve">, județul </w:t>
      </w:r>
      <w:r w:rsidR="00CD6578">
        <w:t>Z</w:t>
      </w:r>
      <w:r>
        <w:t xml:space="preserve">, </w:t>
      </w:r>
      <w:r>
        <w:rPr>
          <w:rStyle w:val="Fontdeparagrafimplicit1"/>
          <w:b/>
        </w:rPr>
        <w:t>CONSILIUL NAŢIONAL PENTRU COMBATEREA DISCRIMINĂRII,</w:t>
      </w:r>
      <w:r>
        <w:t xml:space="preserve"> cu sediul în </w:t>
      </w:r>
      <w:r w:rsidR="00CD6578">
        <w:t>B</w:t>
      </w:r>
      <w:r>
        <w:t xml:space="preserve">, Piaţa </w:t>
      </w:r>
      <w:r w:rsidR="00CD6578">
        <w:t>...</w:t>
      </w:r>
      <w:r>
        <w:t>, nr.</w:t>
      </w:r>
      <w:r w:rsidR="00CD6578">
        <w:t>...</w:t>
      </w:r>
      <w:r>
        <w:t xml:space="preserve">, </w:t>
      </w:r>
      <w:r w:rsidR="002F3EA8">
        <w:t>...</w:t>
      </w:r>
      <w:r>
        <w:t>, împotriva sentinţei civile nr.</w:t>
      </w:r>
      <w:r w:rsidR="00CD6578">
        <w:t>...</w:t>
      </w:r>
      <w:r>
        <w:t xml:space="preserve"> din </w:t>
      </w:r>
      <w:r w:rsidR="00CD6578">
        <w:t>...</w:t>
      </w:r>
      <w:r>
        <w:t xml:space="preserve"> 2022, pronunţată de Tribunalul </w:t>
      </w:r>
      <w:r w:rsidR="00CD6578">
        <w:t>Z</w:t>
      </w:r>
      <w:r>
        <w:t xml:space="preserve">, având ca obiect: drepturi salariale ale personalului din justiţie. </w:t>
      </w:r>
    </w:p>
    <w:p w14:paraId="4D07007E" w14:textId="77777777" w:rsidR="004B63A6" w:rsidRDefault="00C576EA">
      <w:pPr>
        <w:ind w:firstLine="708"/>
        <w:jc w:val="both"/>
      </w:pPr>
      <w:r>
        <w:t xml:space="preserve">La apelul nominal făcut în şedinţa publică de azi au lipsit părţile. </w:t>
      </w:r>
    </w:p>
    <w:p w14:paraId="20AAAEBA" w14:textId="77777777" w:rsidR="004B63A6" w:rsidRDefault="00C576EA">
      <w:pPr>
        <w:ind w:firstLine="708"/>
        <w:jc w:val="both"/>
      </w:pPr>
      <w:r>
        <w:t>Procedura de citare este legal îndeplinită.</w:t>
      </w:r>
    </w:p>
    <w:p w14:paraId="4EFDDDF3" w14:textId="77777777" w:rsidR="004B63A6" w:rsidRDefault="00C576EA">
      <w:pPr>
        <w:ind w:firstLine="708"/>
        <w:jc w:val="both"/>
      </w:pPr>
      <w:r>
        <w:t xml:space="preserve">S-a făcut referatul cauzei, învederându-se instanţei faptul că apelurile sunt scutite de plata taxei de timbru, precum şi că s-a solicitat judecarea cauzei în lipsă, după care : </w:t>
      </w:r>
    </w:p>
    <w:p w14:paraId="7C389EF2" w14:textId="77777777" w:rsidR="004B63A6" w:rsidRDefault="00C576EA">
      <w:pPr>
        <w:ind w:firstLine="708"/>
        <w:jc w:val="both"/>
      </w:pPr>
      <w:r>
        <w:t xml:space="preserve">Instanţa reţine cauza în pronunţare. </w:t>
      </w:r>
    </w:p>
    <w:p w14:paraId="2336AACB" w14:textId="77777777" w:rsidR="004B63A6" w:rsidRDefault="004B63A6">
      <w:pPr>
        <w:ind w:firstLine="708"/>
        <w:jc w:val="both"/>
      </w:pPr>
    </w:p>
    <w:p w14:paraId="0342F169" w14:textId="77777777" w:rsidR="004B63A6" w:rsidRDefault="004B63A6">
      <w:pPr>
        <w:ind w:firstLine="708"/>
        <w:jc w:val="both"/>
      </w:pPr>
    </w:p>
    <w:p w14:paraId="3A33FD72" w14:textId="77777777" w:rsidR="004B63A6" w:rsidRDefault="00C576EA">
      <w:pPr>
        <w:jc w:val="center"/>
        <w:rPr>
          <w:rStyle w:val="Fontdeparagrafimplicit1"/>
          <w:b/>
          <w:i/>
        </w:rPr>
      </w:pPr>
      <w:r>
        <w:rPr>
          <w:rStyle w:val="Fontdeparagrafimplicit1"/>
          <w:b/>
          <w:i/>
        </w:rPr>
        <w:t xml:space="preserve">CURTEA DE APEL </w:t>
      </w:r>
    </w:p>
    <w:p w14:paraId="778ED003" w14:textId="77777777" w:rsidR="004B63A6" w:rsidRDefault="00C576EA">
      <w:pPr>
        <w:jc w:val="center"/>
        <w:rPr>
          <w:rStyle w:val="Fontdeparagrafimplicit1"/>
          <w:b/>
          <w:i/>
        </w:rPr>
      </w:pPr>
      <w:r>
        <w:rPr>
          <w:rStyle w:val="Fontdeparagrafimplicit1"/>
          <w:b/>
          <w:i/>
        </w:rPr>
        <w:t xml:space="preserve">D E L I B E R Â N D : </w:t>
      </w:r>
    </w:p>
    <w:p w14:paraId="3CCEEC84" w14:textId="77777777" w:rsidR="004B63A6" w:rsidRDefault="004B63A6">
      <w:pPr>
        <w:jc w:val="center"/>
        <w:rPr>
          <w:rStyle w:val="Fontdeparagrafimplicit1"/>
          <w:b/>
          <w:i/>
        </w:rPr>
      </w:pPr>
    </w:p>
    <w:p w14:paraId="69544D4E" w14:textId="77777777" w:rsidR="004B63A6" w:rsidRDefault="00C576EA">
      <w:pPr>
        <w:jc w:val="both"/>
      </w:pPr>
      <w:r>
        <w:rPr>
          <w:rStyle w:val="Fontdeparagrafimplicit1"/>
          <w:b/>
          <w:i/>
        </w:rPr>
        <w:tab/>
      </w:r>
      <w:r>
        <w:t xml:space="preserve">Asupra apelurilor civile de faţă, constată următoarele : </w:t>
      </w:r>
    </w:p>
    <w:p w14:paraId="6226A2DE" w14:textId="56C1FFF1" w:rsidR="004B63A6" w:rsidRDefault="00C576EA">
      <w:pPr>
        <w:pStyle w:val="Frspaiere1"/>
        <w:ind w:firstLine="720"/>
        <w:jc w:val="both"/>
        <w:rPr>
          <w:rStyle w:val="Fontdeparagrafimplicit1"/>
          <w:rFonts w:ascii="Times New Roman" w:hAnsi="Times New Roman"/>
          <w:sz w:val="24"/>
        </w:rPr>
      </w:pPr>
      <w:r>
        <w:rPr>
          <w:rStyle w:val="Fontdeparagrafimplicit1"/>
          <w:rFonts w:ascii="Times New Roman" w:hAnsi="Times New Roman"/>
          <w:b/>
          <w:sz w:val="24"/>
        </w:rPr>
        <w:t xml:space="preserve">Prin sentința civilă nr. </w:t>
      </w:r>
      <w:r w:rsidR="00CD6578">
        <w:rPr>
          <w:rStyle w:val="Fontdeparagrafimplicit1"/>
          <w:rFonts w:ascii="Times New Roman" w:hAnsi="Times New Roman"/>
          <w:b/>
          <w:sz w:val="24"/>
        </w:rPr>
        <w:t>...</w:t>
      </w:r>
      <w:r>
        <w:rPr>
          <w:rStyle w:val="Fontdeparagrafimplicit1"/>
          <w:rFonts w:ascii="Times New Roman" w:hAnsi="Times New Roman"/>
          <w:b/>
          <w:sz w:val="24"/>
        </w:rPr>
        <w:t xml:space="preserve">/2022 din </w:t>
      </w:r>
      <w:r w:rsidR="00CD6578">
        <w:rPr>
          <w:rStyle w:val="Fontdeparagrafimplicit1"/>
          <w:rFonts w:ascii="Times New Roman" w:hAnsi="Times New Roman"/>
          <w:b/>
          <w:sz w:val="24"/>
        </w:rPr>
        <w:t>...</w:t>
      </w:r>
      <w:r>
        <w:rPr>
          <w:rStyle w:val="Fontdeparagrafimplicit1"/>
          <w:rFonts w:ascii="Times New Roman" w:hAnsi="Times New Roman"/>
          <w:b/>
          <w:sz w:val="24"/>
        </w:rPr>
        <w:t xml:space="preserve"> 2022 pronunţată de Tribunalul </w:t>
      </w:r>
      <w:r w:rsidR="00CD6578">
        <w:rPr>
          <w:rStyle w:val="Fontdeparagrafimplicit1"/>
          <w:rFonts w:ascii="Times New Roman" w:hAnsi="Times New Roman"/>
          <w:b/>
          <w:sz w:val="24"/>
        </w:rPr>
        <w:t>Z</w:t>
      </w:r>
      <w:r>
        <w:rPr>
          <w:rStyle w:val="Fontdeparagrafimplicit1"/>
          <w:rFonts w:ascii="Times New Roman" w:hAnsi="Times New Roman"/>
          <w:sz w:val="24"/>
        </w:rPr>
        <w:t xml:space="preserve">, a fost respinsă excepţia lipsei calităţii procesuale pasive invocată de pârâtul </w:t>
      </w:r>
      <w:bookmarkStart w:id="0" w:name="_Hlk103074946"/>
      <w:bookmarkStart w:id="1" w:name="_Hlk65824486"/>
      <w:r>
        <w:rPr>
          <w:rStyle w:val="Fontdeparagrafimplicit1"/>
          <w:rFonts w:ascii="Times New Roman" w:hAnsi="Times New Roman"/>
          <w:sz w:val="24"/>
        </w:rPr>
        <w:t>Ministerul Public</w:t>
      </w:r>
      <w:bookmarkEnd w:id="0"/>
      <w:r>
        <w:rPr>
          <w:rStyle w:val="Fontdeparagrafimplicit1"/>
          <w:rFonts w:ascii="Times New Roman" w:hAnsi="Times New Roman"/>
          <w:sz w:val="24"/>
        </w:rPr>
        <w:t xml:space="preserve">-Parchetul de pe lângă Înalta Curte de Casaţie și Justiţie </w:t>
      </w:r>
      <w:bookmarkEnd w:id="1"/>
      <w:r>
        <w:rPr>
          <w:rStyle w:val="Fontdeparagrafimplicit1"/>
          <w:rFonts w:ascii="Times New Roman" w:hAnsi="Times New Roman"/>
          <w:sz w:val="24"/>
        </w:rPr>
        <w:t>ca neîntemeiată.</w:t>
      </w:r>
    </w:p>
    <w:p w14:paraId="7F431050" w14:textId="31D1D7A4" w:rsidR="004B63A6" w:rsidRDefault="00C576EA">
      <w:pPr>
        <w:ind w:firstLine="720"/>
        <w:jc w:val="both"/>
      </w:pPr>
      <w:r>
        <w:t xml:space="preserve">A fost admisă în parte acţiunea formulată de reclamantele </w:t>
      </w:r>
      <w:r w:rsidR="00CD6578">
        <w:t>BLM</w:t>
      </w:r>
      <w:r>
        <w:t xml:space="preserve"> și </w:t>
      </w:r>
      <w:r w:rsidR="00CD6578">
        <w:t>SA</w:t>
      </w:r>
      <w:r>
        <w:t>,</w:t>
      </w:r>
      <w:r>
        <w:rPr>
          <w:rStyle w:val="Fontdeparagrafimplicit1"/>
          <w:b/>
        </w:rPr>
        <w:t xml:space="preserve"> </w:t>
      </w:r>
      <w:r>
        <w:t>în contradictoriu cu pârâţii</w:t>
      </w:r>
      <w:r>
        <w:rPr>
          <w:rStyle w:val="Fontdeparagrafimplicit1"/>
          <w:b/>
        </w:rPr>
        <w:t xml:space="preserve"> </w:t>
      </w:r>
      <w:r>
        <w:t xml:space="preserve">Ministerul Public - Parchetul de pe lângă Înalta Curte de Casaţie și Justiţie, Parchetul de pe lângă Curtea de Apel </w:t>
      </w:r>
      <w:r w:rsidR="00CD6578">
        <w:t>X</w:t>
      </w:r>
      <w:r>
        <w:t xml:space="preserve">, Parchetul de pe lângă Tribunalul </w:t>
      </w:r>
      <w:r w:rsidR="00CD6578">
        <w:t>Z</w:t>
      </w:r>
      <w:r>
        <w:t>, cu Citarea Consiliului Naţional pentru Combaterea Discriminării şi, în consecinţă:</w:t>
      </w:r>
    </w:p>
    <w:p w14:paraId="4AD5BBF5" w14:textId="77777777" w:rsidR="004B63A6" w:rsidRDefault="00C576EA">
      <w:pPr>
        <w:ind w:firstLine="720"/>
        <w:jc w:val="both"/>
      </w:pPr>
      <w:r>
        <w:t>Au fost obligați pârâţii la plata indemnizației de încadrare, începând cu data de 20.07.2018 şi până la data de 11.03.2022 cu includerea unui procent de 2 % din aceasta, cu depăşirea limitelor prevăzute de art. 38 alin. 6 din Legea nr.153/2017, reprezentând echivalentul diurnei, stabilite potrivit art. 13 alin. 1 lit. a din OUG 27 din 2006, drept acordat în favoarea procurorilor numiți în cadrul Secţiei pentru Investigarea Infracţiunilor din Justiţie, în temeiul art. 88  indice 2 alin. 5 din Legea nr. 304 din 2004, sume actualizate cu indicele de inflaţie şi dobânda legală penalizatoare până la data plăţii efective.</w:t>
      </w:r>
    </w:p>
    <w:p w14:paraId="04987941" w14:textId="77777777" w:rsidR="004B63A6" w:rsidRDefault="00C576EA">
      <w:pPr>
        <w:jc w:val="both"/>
      </w:pPr>
      <w:r>
        <w:t xml:space="preserve">            Au fost respinse celelalte pretenţii.</w:t>
      </w:r>
    </w:p>
    <w:p w14:paraId="68705E85" w14:textId="77777777" w:rsidR="004B63A6" w:rsidRDefault="00C576EA">
      <w:pPr>
        <w:ind w:firstLine="709"/>
        <w:jc w:val="both"/>
        <w:rPr>
          <w:rStyle w:val="Fontdeparagrafimplicit1"/>
          <w:b/>
        </w:rPr>
      </w:pPr>
      <w:r>
        <w:lastRenderedPageBreak/>
        <w:t xml:space="preserve"> </w:t>
      </w:r>
      <w:r>
        <w:rPr>
          <w:rStyle w:val="Fontdeparagrafimplicit1"/>
          <w:b/>
        </w:rPr>
        <w:t>Pentru a pronunţa această hotărâre, prima instanță a avut în vedere următoarele considerente:</w:t>
      </w:r>
    </w:p>
    <w:p w14:paraId="39E6FF17" w14:textId="77777777" w:rsidR="004B63A6" w:rsidRDefault="00C576EA">
      <w:pPr>
        <w:ind w:firstLine="720"/>
        <w:jc w:val="both"/>
        <w:rPr>
          <w:rStyle w:val="Fontdeparagrafimplicit1"/>
          <w:b/>
        </w:rPr>
      </w:pPr>
      <w:r>
        <w:t>Excepția lipsei calităţii procesuale pasive, invocată de pârâtul Ministerul Public - Parchetul de pe lângă Înalta Curte de Casație și Justiție</w:t>
      </w:r>
      <w:r>
        <w:rPr>
          <w:rStyle w:val="Fontdeparagrafimplicit1"/>
          <w:b/>
        </w:rPr>
        <w:t xml:space="preserve">, </w:t>
      </w:r>
      <w:r>
        <w:t>este neîntemeiată, pârâtul având calitate procesuală pasivă, atât în ceea ce privește capătul de cerere privind obligarea la recalcularea indemnizației de încadrare, cât și în ceea ce privește plata efectivă a diferenţei dintre drepturile salariale la care sunt îndreptăţite reclamantele potrivit prezentei hotărâri şi drepturile salariale efectiv plătite.</w:t>
      </w:r>
    </w:p>
    <w:p w14:paraId="6DD4E8F9" w14:textId="77777777" w:rsidR="004B63A6" w:rsidRDefault="00C576EA">
      <w:pPr>
        <w:shd w:val="clear" w:color="auto" w:fill="FFFFFF"/>
        <w:ind w:firstLine="708"/>
        <w:jc w:val="both"/>
        <w:rPr>
          <w:rStyle w:val="Fontdeparagrafimplicit1"/>
          <w:i/>
        </w:rPr>
      </w:pPr>
      <w:r>
        <w:t>În conformitate cu dispoziţiile art. 36 Cod procedură civilă, „Calitatea procesuală rezultă din identitatea dintre părţi şi subiectele raportului juridic litigios, astfel cum acesta este dedus judecăţii. Existenţa sau inexistenţa drepturilor şi a obligaţiilor afirmate constituie o chestiune de fond”. Aşadar, calitatea procesuală activă presupune existenţa unei identităţi între persoana reclamantei şi cel care este titularul dreptului pretins, iar calitatea procesuală pasivă presupune existenţa identităţii între persoana pârâtului şi cel care este obligat în raportul juridic civil supus judecăţii. În consecinţă, calitatea procesuală activă aparţine celui ce se poate prevala de interesul urmărit pe calea justiţiei, iar cea pasivă aparţine celui faţă de care se poate realiza interesul respectiv.</w:t>
      </w:r>
    </w:p>
    <w:p w14:paraId="1BFA8D93" w14:textId="77777777" w:rsidR="004B63A6" w:rsidRDefault="00C576EA">
      <w:pPr>
        <w:ind w:firstLine="708"/>
        <w:jc w:val="both"/>
      </w:pPr>
      <w:r>
        <w:t>Potrivit art. 70 alin. 1 din Legea 304 din 2004, Parchetul de pe lângă Înalta Curte de Casaţie şi Justiţie coordonează activitatea parchetelor din subordine, îndeplineşte atribuţiile prevăzute de lege, are personalitate juridică şi gestionează bugetul Ministerului Public, iar potrivit alin. 4 al aceluiași articol, Procurorul general al Parchetului de pe lângă Înalta Curte de Casaţie şi Justiţie este ordonator principal de credite.</w:t>
      </w:r>
    </w:p>
    <w:p w14:paraId="7615F047" w14:textId="77777777" w:rsidR="004B63A6" w:rsidRDefault="00C576EA">
      <w:pPr>
        <w:ind w:firstLine="708"/>
        <w:jc w:val="both"/>
      </w:pPr>
      <w:r>
        <w:t>|Art. 131 alin. 3 din Legea 304 din 2004 stabilește următoarele: Bugetul pentru parchetele de pe lângă curţile de apel, tribunale, tribunale specializate şi judecătorii este gestionat de Parchetul de pe lângă Înalta Curte de Casaţie şi Justiţie.</w:t>
      </w:r>
    </w:p>
    <w:p w14:paraId="42AFD69E" w14:textId="77777777" w:rsidR="004B63A6" w:rsidRDefault="00C576EA">
      <w:pPr>
        <w:shd w:val="clear" w:color="auto" w:fill="FFFFFF"/>
        <w:ind w:firstLine="708"/>
        <w:jc w:val="both"/>
      </w:pPr>
      <w:r>
        <w:t>S-a reținut că în speță sunt incidente și dispozițiile art. 15 alin. 1 lit. a, lit. q, lit. s și lit. ș din Regulamentul de ordine interioară al parchetelor, aprobat prin Hotărârea nr. 947 din 14 noiembrie 2019, potrivit cărora ”Procurorul general al Parchetului de pe lângă Înalta Curte de Casaţie şi Justiţie are următoarele atribuţii:</w:t>
      </w:r>
    </w:p>
    <w:p w14:paraId="6EC94AEE" w14:textId="77777777" w:rsidR="004B63A6" w:rsidRDefault="00C576EA">
      <w:pPr>
        <w:shd w:val="clear" w:color="auto" w:fill="FFFFFF"/>
        <w:jc w:val="both"/>
      </w:pPr>
      <w:r>
        <w:t xml:space="preserve">       </w:t>
      </w:r>
      <w:r>
        <w:tab/>
        <w:t>a) conduce, coordonează şi răspunde de activitatea Parchetului de pe lângă Înalta Curte de Casaţie şi Justiţie şi a parchetelor din subordine, luând măsuri pentru buna organizare şi funcţionare a acestora;</w:t>
      </w:r>
    </w:p>
    <w:p w14:paraId="3B4C7D01" w14:textId="77777777" w:rsidR="004B63A6" w:rsidRDefault="00C576EA">
      <w:pPr>
        <w:shd w:val="clear" w:color="auto" w:fill="FFFFFF"/>
        <w:jc w:val="both"/>
      </w:pPr>
      <w:r>
        <w:t xml:space="preserve">       </w:t>
      </w:r>
      <w:r>
        <w:tab/>
        <w:t>q) este ordonator principal de credite;</w:t>
      </w:r>
    </w:p>
    <w:p w14:paraId="0064629D" w14:textId="77777777" w:rsidR="004B63A6" w:rsidRDefault="00C576EA">
      <w:pPr>
        <w:shd w:val="clear" w:color="auto" w:fill="FFFFFF"/>
        <w:jc w:val="both"/>
      </w:pPr>
      <w:r>
        <w:t xml:space="preserve">      </w:t>
      </w:r>
      <w:r>
        <w:tab/>
        <w:t>r) coordonează elaborarea proiectului de buget anual al Parchetului de pe lângă Înalta Curte de Casaţie şi Justiţie şi al Ministerului Public;</w:t>
      </w:r>
    </w:p>
    <w:p w14:paraId="2627CCF2" w14:textId="77777777" w:rsidR="004B63A6" w:rsidRDefault="00C576EA">
      <w:pPr>
        <w:shd w:val="clear" w:color="auto" w:fill="FFFFFF"/>
        <w:jc w:val="both"/>
      </w:pPr>
      <w:r>
        <w:t xml:space="preserve">    </w:t>
      </w:r>
      <w:r>
        <w:tab/>
        <w:t xml:space="preserve">  s) exercită atribuţii de coordonare şi control al administrării Parchetului de pe lângă Înalta Curte de Casaţie şi Justiţie, din punct de vedere economico - financiar;</w:t>
      </w:r>
    </w:p>
    <w:p w14:paraId="5FEE2453" w14:textId="77777777" w:rsidR="004B63A6" w:rsidRDefault="00C576EA">
      <w:pPr>
        <w:shd w:val="clear" w:color="auto" w:fill="FFFFFF"/>
        <w:jc w:val="both"/>
      </w:pPr>
      <w:r>
        <w:t xml:space="preserve">       </w:t>
      </w:r>
      <w:r>
        <w:tab/>
        <w:t>ş) stabileşte, prin ordin, indemnizaţiile de încadrare brute lunare sau salariile de bază brute, după caz, precum şi alte drepturi pentru categoriile de personal potrivit legii”.</w:t>
      </w:r>
    </w:p>
    <w:p w14:paraId="4DF46628" w14:textId="77777777" w:rsidR="004B63A6" w:rsidRDefault="00C576EA">
      <w:pPr>
        <w:ind w:firstLine="720"/>
        <w:jc w:val="both"/>
      </w:pPr>
      <w:r>
        <w:t>Instanța a apreciat că, având în vedere că pârâtul Ministerul Public - Parchetul de pe lângă Înalta Curte de Casaţie și Justiţie, are calitatea de ordonator principal de credite, având atribuțiile anterior expuse, calitatea procesuală pasiva a acestuia este indubitabilă.</w:t>
      </w:r>
    </w:p>
    <w:p w14:paraId="33FFFCDA" w14:textId="77777777" w:rsidR="004B63A6" w:rsidRDefault="00C576EA">
      <w:pPr>
        <w:ind w:firstLine="720"/>
        <w:jc w:val="both"/>
      </w:pPr>
      <w:r>
        <w:t>Tribunalul a mai reținut și faptul că ordonatorul principal de credite este cel care stabilește și acordă drepturile salariale, prin intermediul ordonatorilor terțiari de credite, respectiv parchetele de pe lângă tribunale, însă aceștia nu au atribuții directe în stabilirea indemnizațiilor de încadrarea, iar, în ceea ce privește acordarea indemnizațiilor de încadrare, aceasta are loc, în conformitate cu cele dispuse și stabilite de ordonatorul principal de credite.</w:t>
      </w:r>
    </w:p>
    <w:p w14:paraId="7E93F562" w14:textId="77777777" w:rsidR="004B63A6" w:rsidRDefault="00C576EA">
      <w:pPr>
        <w:ind w:firstLine="720"/>
        <w:jc w:val="both"/>
      </w:pPr>
      <w:r>
        <w:t xml:space="preserve"> Pârâtul Ministerul Public - Parchetul de pe lângă Înalta Curte de Casaţie și Justiţie a solicitat admiterea acestei excepții, în baza Deciziei nr. 13 din 2016, pronunță de ÎCCJ într-un recurs în interesul legii, decizie care nu este aplicabilă în cauză, pentru considerentele expuse în cele ce succed. </w:t>
      </w:r>
    </w:p>
    <w:p w14:paraId="0D39A7AB" w14:textId="77777777" w:rsidR="004B63A6" w:rsidRDefault="00C576EA">
      <w:pPr>
        <w:widowControl w:val="0"/>
        <w:ind w:firstLine="670"/>
        <w:jc w:val="both"/>
      </w:pPr>
      <w:r>
        <w:tab/>
        <w:t xml:space="preserve">Pe de o parte, instanța a apreciat că Decizia nr. 13/2016, pronunţată de Înalta Curte de Casaţie şi Justiţie într-un recurs în interesul legii, nu este aplicabilă în cauză, acestea vizând </w:t>
      </w:r>
      <w:r>
        <w:lastRenderedPageBreak/>
        <w:t>calitatea procesuală pasivă a Ministerului Afacerilor Interne în litigiile dintre angajaţi şi instituţiile/ unităţile cu personalitate juridică aflate în subordinea sa. În speță nu este aplicabilă Decizia 13 din 2016,</w:t>
      </w:r>
      <w:r>
        <w:rPr>
          <w:rStyle w:val="Fontdeparagrafimplicit1"/>
          <w:b/>
        </w:rPr>
        <w:t xml:space="preserve"> </w:t>
      </w:r>
      <w:r>
        <w:t xml:space="preserve">având în vedere și faptul că MAI este o instituţie a statului care funcţionează în baza unor principii diferite de organizare, a unor dispoziţii din legea/actele normative de organizare total diferite.          </w:t>
      </w:r>
    </w:p>
    <w:p w14:paraId="77E1F05B" w14:textId="77777777" w:rsidR="004B63A6" w:rsidRDefault="00C576EA">
      <w:pPr>
        <w:ind w:firstLine="708"/>
        <w:jc w:val="both"/>
      </w:pPr>
      <w:r>
        <w:t>Pe de altă parte, chiar acceptând că s-ar fi aplicat în trecut Decizia 13 din 2016, existând într-adevăr instanțe care au apreciat că ordonatorul principal de credite nu are calitate procesuală pasivă, instanța a reținut că, ulterior pronunțării Deciziei 13 din 2016, ICCJ a pronunțat, în soluționarea unui recurs în interesul legii, Decizia nr. 60 din 2019, decizie care se aplică în prezenta cauză, fiind ulterioară Deciziei nr. 13 din 2016.</w:t>
      </w:r>
    </w:p>
    <w:p w14:paraId="31CEDDD4" w14:textId="77777777" w:rsidR="004B63A6" w:rsidRDefault="00C576EA">
      <w:pPr>
        <w:ind w:firstLine="669"/>
        <w:jc w:val="both"/>
      </w:pPr>
      <w:r>
        <w:tab/>
        <w:t>Astfel, potrivit pct. 30 din Decizia 60/2019, „Este de menţionat că această chestiune de drept a făcut obiectul întâlnirilor profesionale, după cum urmează:</w:t>
      </w:r>
    </w:p>
    <w:p w14:paraId="6820D0C6" w14:textId="2DFAC667" w:rsidR="004B63A6" w:rsidRDefault="00C576EA">
      <w:pPr>
        <w:jc w:val="both"/>
      </w:pPr>
      <w:r>
        <w:t>  </w:t>
      </w:r>
      <w:r>
        <w:tab/>
        <w:t xml:space="preserve"> (i) La Întâlnirea preşedinţilor secţiilor pentru cauze privind conflicte de muncă şi asigurări sociale ai curţilor de apel, de la Institutul Naţional al Magistraturii, </w:t>
      </w:r>
      <w:r w:rsidR="00CD6578">
        <w:t>B</w:t>
      </w:r>
      <w:r>
        <w:t>, 15 iunie 2018, participanţii au agreat, în unanimitate, soluţia expusă în opinia formatorilor Institutului Naţional al Magistraturii, potrivit căreia legitimarea procesuală pasivă revine doar autorităţii publice cu care funcţionarul public se află în raporturi de serviciu, întrucât acesteia îi aparţine prerogativa stabilirii şi acordării drepturilor salariale. S-a precizat că, în absenţa unor nuanţări în Decizia de recurs în interesul legii nr. 13 din 13 iunie 2016 a Înaltei Curţi de Casaţie şi Justiţie, urmează a se stabili, de la caz la caz, autoritatea publică cu care salariatul are stabilite raporturi de muncă, autoritate care are calitate procesuală pasivă în litigiul privind obligarea la plata drepturilor salariale”.</w:t>
      </w:r>
    </w:p>
    <w:p w14:paraId="4DF63610" w14:textId="77777777" w:rsidR="004B63A6" w:rsidRDefault="00C576EA">
      <w:pPr>
        <w:widowControl w:val="0"/>
        <w:ind w:firstLine="669"/>
        <w:jc w:val="both"/>
      </w:pPr>
      <w:r>
        <w:rPr>
          <w:rStyle w:val="Fontdeparagrafimplicit1"/>
          <w:i/>
        </w:rPr>
        <w:tab/>
      </w:r>
      <w:r>
        <w:t>În consecință, având în vedere pct. 30 din Decizia 60 din 2019, instanța a apreciat că instituția/autoritatea</w:t>
      </w:r>
      <w:r>
        <w:rPr>
          <w:rStyle w:val="Fontdeparagrafimplicit1"/>
          <w:i/>
        </w:rPr>
        <w:t xml:space="preserve"> </w:t>
      </w:r>
      <w:r>
        <w:t>căreia îi aparţine prerogativa stabilirii şi acordării drepturilor salariale, nu poate fi considerată parchetul de pe lângă tribunal, ordonator terțiar de credite, prerogativa stabilirii și acordării drepturilor salariale aparține fără dubiu Ministerului Public Parchetul de pe lângă Înalta Curte de Casație și Justiție, în calitatea acestuia de ordonator principal de credite, motiv pentru care excepția a fost respinsă.</w:t>
      </w:r>
    </w:p>
    <w:p w14:paraId="7984E07F" w14:textId="77777777" w:rsidR="004B63A6" w:rsidRDefault="00C576EA">
      <w:pPr>
        <w:widowControl w:val="0"/>
        <w:ind w:firstLine="669"/>
        <w:jc w:val="both"/>
      </w:pPr>
      <w:r>
        <w:tab/>
        <w:t>În acest sens, instanța a mai reținut și faptul că parchetele de pe lângă tribunale, chiar dacă au personalitate juridică, au doar calitatea de ordonatori terțiari de credite, neavând, deci, un buget propriu și/sau venituri proprii, paratul</w:t>
      </w:r>
      <w:r>
        <w:rPr>
          <w:rStyle w:val="Fontdeparagrafimplicit1"/>
          <w:b/>
        </w:rPr>
        <w:t xml:space="preserve"> </w:t>
      </w:r>
      <w:bookmarkStart w:id="2" w:name="_Hlk147391036"/>
      <w:r>
        <w:t xml:space="preserve">Ministerului Public Parchetul de pe lângă Înalta Curte de Casație și Justiţie </w:t>
      </w:r>
      <w:bookmarkEnd w:id="2"/>
      <w:r>
        <w:t>fiind cel care</w:t>
      </w:r>
      <w:r>
        <w:rPr>
          <w:rStyle w:val="Fontdeparagrafimplicit1"/>
          <w:b/>
        </w:rPr>
        <w:t xml:space="preserve"> </w:t>
      </w:r>
      <w:r>
        <w:t>repartizează ordonatorilor terțiari de credite creditele de angajament și creditele bugetare, conform art. 21 alin. 1-4 din Legea 500/2002, cât și faptul că  Ministerului Public-Parchetul de pe lângă Înalta Curte de Casație și Justiţie</w:t>
      </w:r>
      <w:r>
        <w:rPr>
          <w:rStyle w:val="Fontdeparagrafimplicit1"/>
          <w:b/>
        </w:rPr>
        <w:t xml:space="preserve"> </w:t>
      </w:r>
      <w:r>
        <w:t>este cel care are prerogativa stabilirii și acordării (prin ordonatorul terțiar) drepturilor salariale.</w:t>
      </w:r>
    </w:p>
    <w:p w14:paraId="79A55C6C" w14:textId="77777777" w:rsidR="004B63A6" w:rsidRDefault="00C576EA">
      <w:pPr>
        <w:ind w:firstLine="720"/>
        <w:jc w:val="both"/>
      </w:pPr>
      <w:r>
        <w:t>Pentru aceste considerente, a fost respinsă excepția lipsei calităţii procesuale pasive, invocată de pârâtul Ministerului Public-Parchetul de pe lângă Înalta Curte de Casație și Justiţie, ca neîntemeiată.</w:t>
      </w:r>
    </w:p>
    <w:p w14:paraId="57D797D7" w14:textId="243AF82F" w:rsidR="004B63A6" w:rsidRDefault="00C576EA">
      <w:pPr>
        <w:ind w:firstLine="709"/>
        <w:jc w:val="both"/>
      </w:pPr>
      <w:bookmarkStart w:id="3" w:name="_Hlk106963541"/>
      <w:r>
        <w:t>Pe fondul cauzei, analizând actele și lucrările dosarului, prin prisma susținerilor formulate, a apărărilor invocate, a probelor administrate și a dispozițiilor legale incidente, instanța a reținut că</w:t>
      </w:r>
      <w:bookmarkEnd w:id="3"/>
      <w:r>
        <w:t xml:space="preserve"> reclamantele au calitatea de procuror, în cadrul Parchetului de pe lângă Judecătoria </w:t>
      </w:r>
      <w:r w:rsidR="00CD6578">
        <w:t>X</w:t>
      </w:r>
      <w:r>
        <w:t>, iar prin cererea de chemare în judecată acesta a solicitat instanței, ca prin hotărârea ce o va pronunța, să dispună, începând din data de 20.07.2018 (data publicării în Monitorul Oficial a Legii 207/2018 prin care a fost modificată Legea 304/2004, înființându-se Secția de Investigare a Infracțiunilor din Justiție) și în continuare și pentru viitor, recalcularea indemnizației de încadrare și a sporurilor aferente în funcție de salarizarea aferentă a procurorilor din cadrul S.I.I.J., aceasta incluzând, pe lângă salarizarea specifică gradului de Î.C.C.J. și toate drepturile salariale specifice personalului detașat (incluzându-se diurna de 2% pe zi, din salariul aferent PICCJ, calculată pe zile calendaristice), care să fie incluse în indemnizația de încadrare</w:t>
      </w:r>
      <w:r>
        <w:rPr>
          <w:rStyle w:val="Fontdeparagrafimplicit1"/>
          <w:i/>
        </w:rPr>
        <w:t xml:space="preserve">. </w:t>
      </w:r>
      <w:r>
        <w:t>Prin cel de-al doilea capăt de cerere, reclamantul a solicitat şi plata efectivă a acestor drepturi.</w:t>
      </w:r>
    </w:p>
    <w:p w14:paraId="04E8EFA5" w14:textId="77777777" w:rsidR="004B63A6" w:rsidRDefault="00C576EA">
      <w:pPr>
        <w:ind w:firstLine="709"/>
        <w:jc w:val="both"/>
      </w:pPr>
      <w:r>
        <w:t xml:space="preserve">Procedând la calificarea obiectului cererii de chemare în judecată, instanța a constatat că reclamantele au solicitat recalcularea indemnizației de încadrare și a sporurilor aferente în </w:t>
      </w:r>
      <w:r>
        <w:lastRenderedPageBreak/>
        <w:t>funcție de salarizarea aferentă a procurorilor din cadrul Secţiei pentru Investigarea Infracţiunilor din Justiţie. Având în vedere că Secţia pentru Investigarea Infracţiunilor din Justiţie, a fost o structură în cadrul Parchetului de pe lângă Înalta Curte de Casație și Justiției, reclamantele au solicitat stabilirea indemnizației de încadrare, în funcție de salarizarea aferentă procurorilor din cadrul Parchetului de pe de pe lângă Înalta Curte de Casație și Justiție.</w:t>
      </w:r>
    </w:p>
    <w:p w14:paraId="773E4CED" w14:textId="77777777" w:rsidR="004B63A6" w:rsidRDefault="00C576EA">
      <w:pPr>
        <w:ind w:firstLine="709"/>
        <w:jc w:val="both"/>
      </w:pPr>
      <w:r>
        <w:t>Cercetând motivarea în fapt a cererii de chemare în judecată, instanța a constatat că reclamantele au susținut că în prezent există magistrați care au obținut, pe cale judiciară, dreptul de a fi salarizați conform gradului de ICCJ, fără a susține nici măcar un examen de promovare în acest sens, făcând referire la Decizia ICCJ 1067/27.02.2009 și la Decizia ICCJ 1681/17.04.2008.</w:t>
      </w:r>
    </w:p>
    <w:p w14:paraId="2C1A24F2" w14:textId="77777777" w:rsidR="004B63A6" w:rsidRDefault="00C576EA">
      <w:pPr>
        <w:ind w:firstLine="709"/>
        <w:jc w:val="both"/>
      </w:pPr>
      <w:r>
        <w:t>Reclamantele au susținut că în prezent există procurori care au obținut gradul de PÎCCJ prin hotărâre judecătorească, însă această împrejurare nu este suficientă si nu poate determina stabilirea indemnizației de încadrare a reclamantului la nivelul indemnizațiilor de care beneficiază procurorii care dețin gradul profesional de procuror al PICCJ.</w:t>
      </w:r>
    </w:p>
    <w:p w14:paraId="020833B5" w14:textId="77777777" w:rsidR="004B63A6" w:rsidRDefault="00C576EA">
      <w:pPr>
        <w:ind w:firstLine="709"/>
        <w:jc w:val="both"/>
      </w:pPr>
      <w:r>
        <w:t>Reclamantele au mai invocat Decizia CCR nr.794 din 2016 și Decizia ICCJ nr.36 din 2018 și au susținut că recalcularea indemnizației de încadrare, la nivelul indemnizațiilor de care beneficiază procurorii care dețin gradul profesional de PICCJ se impune, având în vedere considerentele obligatorii ale acestor decizii, susținere care nu poate fi primită de instanță.</w:t>
      </w:r>
    </w:p>
    <w:p w14:paraId="0FB4476D" w14:textId="77777777" w:rsidR="004B63A6" w:rsidRDefault="00C576EA">
      <w:pPr>
        <w:ind w:firstLine="709"/>
        <w:jc w:val="both"/>
      </w:pPr>
      <w:r>
        <w:t>Astfel, fără a relua pe larg considerentele obligatorii ale acestor decizii, instanța a reținut că Decizia CCR nr. 794 din 2016 și Decizia ICCJ nr. 36 din 2018, au în vedere egalizarea indemnizației de încadrare la nivel maxim aflat în plata, exclusiv în ipoteza în care, în favoarea altor persoane, s-au recunoscut prin hotărâri judecătorești anumite majorări salariale, cum sunt valoarea de referință sectorială, anumite sporuri, coeficientul de multiplicare 19.00, iar nu o ipoteză precum cea la care au făcut referire reclamantele, în care în favoarea altor magistraţi, a fost recunoscut gradul profesional de ICCJ, salarizarea acestora fiind urmarea obținerii gradului profesional de PICCJ, motiv pentru care această pretenție a fost respinsă.</w:t>
      </w:r>
    </w:p>
    <w:p w14:paraId="1224DB92" w14:textId="77777777" w:rsidR="004B63A6" w:rsidRDefault="00C576EA">
      <w:pPr>
        <w:ind w:firstLine="709"/>
        <w:jc w:val="both"/>
      </w:pPr>
      <w:r>
        <w:t>Instanța a găsit întemeiat capătul de cerere prin care reclamantele au solicitat recalcularea și plata efectivă a indemnizației de încadrare, cu includerea unui procent de 2% din aceasta, reprezentând echivalentul diurnei, stabilite potrivit art. 13 alin. 1 lit. a din OUG 27 din 2006, drept acordat în favoarea procurorilor numiți în cadrul Secției pentru Investigarea Infracţiunilor din Justiţie, în temeiul art. 88  indice 2 alin. 5 din Legea 304 din 2004.</w:t>
      </w:r>
    </w:p>
    <w:p w14:paraId="2B0838A5" w14:textId="77777777" w:rsidR="004B63A6" w:rsidRDefault="00C576EA">
      <w:pPr>
        <w:ind w:left="14" w:right="7" w:firstLine="648"/>
        <w:jc w:val="both"/>
      </w:pPr>
      <w:r>
        <w:tab/>
        <w:t>Potrivit articolului II pct. 3 din</w:t>
      </w:r>
      <w:r>
        <w:rPr>
          <w:rStyle w:val="Fontdeparagrafimplicit1"/>
          <w:b/>
        </w:rPr>
        <w:t xml:space="preserve"> </w:t>
      </w:r>
      <w:r>
        <w:t>OUG nr. 92/15.10.2018</w:t>
      </w:r>
      <w:r>
        <w:rPr>
          <w:rStyle w:val="Fontdeparagrafimplicit1"/>
          <w:b/>
        </w:rPr>
        <w:t xml:space="preserve"> </w:t>
      </w:r>
      <w:r>
        <w:t>pentru modificarea si completarea unor acte normative în domeniul justiţiei, publicată în Monitorul Oficial nr. 874 din 16 octombrie 2018, Legea nr. 304/2004 privind organizarea judiciara</w:t>
      </w:r>
      <w:r>
        <w:rPr>
          <w:rStyle w:val="Fontdeparagrafimplicit1"/>
          <w:i/>
        </w:rPr>
        <w:t xml:space="preserve">, </w:t>
      </w:r>
      <w:r>
        <w:t>cu modificările si completările ulterioare, se modifica si se completează după cum urmează: (...) 3. La articolul 88</w:t>
      </w:r>
      <w:r>
        <w:rPr>
          <w:rStyle w:val="Fontdeparagrafimplicit1"/>
          <w:vertAlign w:val="superscript"/>
        </w:rPr>
        <w:t>2</w:t>
      </w:r>
      <w:r>
        <w:t>, după alineatul (4) se introduce un nou alineat, alineatul (5), cu următorul cuprins: ”(5) Pe durata desfăşurării activităţii în cadrul Secţiei pentru Investigarea Infracţiunilor din Justiţie, procurorii cu funcţii de conducere și execuţie beneficiază de drepturile procurorilor detaşaţi, în condiţiile legii”.</w:t>
      </w:r>
    </w:p>
    <w:p w14:paraId="7571EC27" w14:textId="77777777" w:rsidR="004B63A6" w:rsidRDefault="00C576EA">
      <w:pPr>
        <w:ind w:left="22" w:right="7" w:firstLine="648"/>
        <w:jc w:val="both"/>
      </w:pPr>
      <w:r>
        <w:tab/>
        <w:t>Totodată, potrivit art.</w:t>
      </w:r>
      <w:r>
        <w:rPr>
          <w:rStyle w:val="Fontdeparagrafimplicit1"/>
          <w:b/>
        </w:rPr>
        <w:t xml:space="preserve"> </w:t>
      </w:r>
      <w:r>
        <w:t>88</w:t>
      </w:r>
      <w:r>
        <w:rPr>
          <w:rStyle w:val="Fontdeparagrafimplicit1"/>
          <w:vertAlign w:val="superscript"/>
        </w:rPr>
        <w:t>2</w:t>
      </w:r>
      <w:r>
        <w:t xml:space="preserve"> alin. 2 din Legea nr. 304/2004, ”Este interzisă delegarea sau detaşarea de procurori in cadrul Secţiei pentru investigarea infracţiunilor din justiţie”.</w:t>
      </w:r>
    </w:p>
    <w:p w14:paraId="2E7D88AF" w14:textId="77777777" w:rsidR="004B63A6" w:rsidRDefault="00C576EA">
      <w:pPr>
        <w:ind w:right="7" w:firstLine="670"/>
        <w:jc w:val="both"/>
      </w:pPr>
      <w:r>
        <w:tab/>
        <w:t>Având în vedere prevederile legale anterior menționate, instanța</w:t>
      </w:r>
      <w:r>
        <w:rPr>
          <w:rStyle w:val="Fontdeparagrafimplicit1"/>
          <w:i/>
        </w:rPr>
        <w:t xml:space="preserve"> </w:t>
      </w:r>
      <w:r>
        <w:t>a constatat că, începând cu data de 16.10.2018, procurorilor din cadrul Secţiei pentru Investigarea Infracţiunilor din Justiţie, li s-au acordat aceste drepturile băneşti, deşi potrivit art. 88</w:t>
      </w:r>
      <w:r>
        <w:rPr>
          <w:rStyle w:val="Fontdeparagrafimplicit1"/>
          <w:vertAlign w:val="superscript"/>
        </w:rPr>
        <w:t>2</w:t>
      </w:r>
      <w:r>
        <w:t xml:space="preserve"> alin. 2 din Legea nr. 304/2004, este interzisă delegarea sau detaşarea de procurori în cadrul Secţiei pentru investigarea infracţiunilor din justiţie.</w:t>
      </w:r>
    </w:p>
    <w:p w14:paraId="20F1666F" w14:textId="77777777" w:rsidR="004B63A6" w:rsidRDefault="00C576EA">
      <w:pPr>
        <w:ind w:firstLine="655"/>
        <w:jc w:val="both"/>
        <w:rPr>
          <w:rStyle w:val="Fontdeparagrafimplicit1"/>
          <w:b/>
        </w:rPr>
      </w:pPr>
      <w:r>
        <w:tab/>
        <w:t>Potrivit art. 13 OUG nr. 27 din 2006 ”(I) Judecătorii, procurorii, personalul asimilat acestora si magistraţii - asistenţi, care sunt detaşaţi sau delegaţi in alta localitate decât cea de domiciliu, beneficiază, pe toata durata delegării sau detaşării, de următoarele drepturi:</w:t>
      </w:r>
    </w:p>
    <w:p w14:paraId="67F38764" w14:textId="77777777" w:rsidR="004B63A6" w:rsidRDefault="00C576EA">
      <w:pPr>
        <w:numPr>
          <w:ilvl w:val="0"/>
          <w:numId w:val="1"/>
        </w:numPr>
        <w:tabs>
          <w:tab w:val="left" w:pos="929"/>
        </w:tabs>
        <w:ind w:right="7"/>
        <w:jc w:val="both"/>
      </w:pPr>
      <w:r>
        <w:t>diurna in cuantum de 2% din indemnizaţia de încadrare bruta lunara, dar nu mai puţin decât cuantumul prevăzut pentru personalul din unităţile bugetare;(...)”.</w:t>
      </w:r>
    </w:p>
    <w:p w14:paraId="049DE3B8" w14:textId="77777777" w:rsidR="004B63A6" w:rsidRDefault="00C576EA">
      <w:pPr>
        <w:tabs>
          <w:tab w:val="left" w:pos="929"/>
        </w:tabs>
        <w:ind w:right="7"/>
        <w:jc w:val="both"/>
      </w:pPr>
      <w:r>
        <w:lastRenderedPageBreak/>
        <w:t xml:space="preserve">            În aceste condiţii, instanța a reținut că procurorii din cadrul Secţiei pentru Investigarea Infracţiunilor din Justiţie, deși numiţi în funcţie, iar nu delegați sau detaşaţi, beneficiază de diurna în cuantum de 2%</w:t>
      </w:r>
      <w:r>
        <w:rPr>
          <w:rStyle w:val="Fontdeparagrafimplicit1"/>
          <w:i/>
        </w:rPr>
        <w:t xml:space="preserve"> </w:t>
      </w:r>
      <w:r>
        <w:t>din indemnizaţia de încadrare brută lunară, dar nu mai puţin decât cuantumul prevăzut pentru personalul din unităţile bugetare, drept prevăzut de art. 13 alin. 1 lit. a din OUG nr. 27/2006, doar în beneficiul magistraţilor delegaţi sau detaşaţi în altă localitate decât cea de domiciliu.</w:t>
      </w:r>
    </w:p>
    <w:p w14:paraId="3835BBE6" w14:textId="77777777" w:rsidR="004B63A6" w:rsidRDefault="00C576EA">
      <w:pPr>
        <w:ind w:left="22" w:right="7" w:firstLine="648"/>
        <w:jc w:val="both"/>
      </w:pPr>
      <w:r>
        <w:tab/>
        <w:t>Prin urmare, instanța a constatat că procurorii din cadrul Secţiei pentru Investigarea Infracţiunilor din Justiţie, deși numiţi în funcții, şi nu detaşaţi sau delegați, beneficiază de o majorarea salarială care este echivalentul diurnei în cuantum de 2%</w:t>
      </w:r>
      <w:r>
        <w:rPr>
          <w:rStyle w:val="Fontdeparagrafimplicit1"/>
          <w:i/>
        </w:rPr>
        <w:t xml:space="preserve"> </w:t>
      </w:r>
      <w:r>
        <w:t>din indemnizaţia de încadrare brută lunară, drept prevăzut de art. 13 alin. 1 lit. a din OUG nr. 27/2006, doar în beneficiul magistraţilor delegaţi sau detaşaţi în alta localitate decât cea de domiciliu.</w:t>
      </w:r>
    </w:p>
    <w:p w14:paraId="007626EC" w14:textId="77777777" w:rsidR="004B63A6" w:rsidRDefault="00C576EA">
      <w:pPr>
        <w:ind w:left="22" w:right="7" w:firstLine="648"/>
        <w:jc w:val="both"/>
      </w:pPr>
      <w:r>
        <w:tab/>
        <w:t>Având în vedere prevederile art. 88 indice 2 alin. 5 din Legea 304 din 2004 și art. 13 alin. 1 lit. a din OUG nr. 27 din 2006, instanța a reținut că această sumă nu reprezintă o veritabilă diurnă, în sensul dispozițiilor OUG 27/2006, ci reprezintă o majorarea salarială, un drept salarial acordat doar acestei categorii profesionale, respectiv procurorii care şi-au desfășurat activitatea în cadrul acestei instanțe, deși atât procurorii din cadrul S.I.I.J., cât și reclamantul sunt magistrați numiți în condițiile legii.</w:t>
      </w:r>
    </w:p>
    <w:p w14:paraId="4FBFE055" w14:textId="77777777" w:rsidR="004B63A6" w:rsidRDefault="00C576EA">
      <w:pPr>
        <w:ind w:firstLine="655"/>
        <w:jc w:val="both"/>
        <w:rPr>
          <w:rStyle w:val="Fontdeparagrafimplicit1"/>
          <w:b/>
        </w:rPr>
      </w:pPr>
      <w:r>
        <w:tab/>
        <w:t>Potrivit art. 13 din OUG nr. 27 din 2006</w:t>
      </w:r>
      <w:r>
        <w:rPr>
          <w:rStyle w:val="Fontdeparagrafimplicit1"/>
          <w:i/>
        </w:rPr>
        <w:t xml:space="preserve"> </w:t>
      </w:r>
      <w:r>
        <w:t>”(I) Judecătorii, procurorii, personalul asimilat acestora si magistraţii-asistenţi, care sunt detaşaţi sau delegaţi in alta localitate decât cea de domiciliu, beneficiază, pe toata durata delegării sau detaşării, de diurna in cuantum de 2% din indemnizaţia de încadrare bruta lunara, dar nu mai puţin decât cuantumul prevăzut pentru personalul din unităţile bugetare”.</w:t>
      </w:r>
    </w:p>
    <w:p w14:paraId="0F0E0A5B" w14:textId="77777777" w:rsidR="004B63A6" w:rsidRDefault="00C576EA">
      <w:pPr>
        <w:ind w:left="22" w:right="7" w:firstLine="648"/>
        <w:jc w:val="both"/>
        <w:rPr>
          <w:rStyle w:val="Fontdeparagrafimplicit1"/>
          <w:b/>
        </w:rPr>
      </w:pPr>
      <w:r>
        <w:tab/>
        <w:t xml:space="preserve">Totodată, termenul diurnă este definit ca fiind indemnizația plătită unui angajat pentru acoperirea cheltuielilor de deplasare în altă localitate în interes de serviciu. </w:t>
      </w:r>
    </w:p>
    <w:p w14:paraId="28AFEC19" w14:textId="77777777" w:rsidR="004B63A6" w:rsidRDefault="00C576EA">
      <w:pPr>
        <w:ind w:left="22" w:right="7" w:firstLine="648"/>
        <w:jc w:val="both"/>
      </w:pPr>
      <w:r>
        <w:tab/>
        <w:t>În cazul procurorilor din cadrul Secţiei pentru Investigarea Infracţiunilor din Justiţie, spre deosebire de magistrații delegați sau detașați, în condițiile legii,</w:t>
      </w:r>
      <w:r>
        <w:rPr>
          <w:rStyle w:val="Fontdeparagrafimplicit1"/>
          <w:b/>
        </w:rPr>
        <w:t xml:space="preserve"> </w:t>
      </w:r>
      <w:r>
        <w:t>aceste drepturi bănești sunt incluse în indemnizația de încadrare, astfel cum este definită de art. 7 alin. 1 lit. c din Legea 153 din 2017, drepturile bănești de care beneficiază doar această categorie profesională, nefiind deci acordate cu titlu de diurnă propriu zisă, precum în cazul magistraților delegați sau detașați,</w:t>
      </w:r>
      <w:r>
        <w:rPr>
          <w:rStyle w:val="Fontdeparagrafimplicit1"/>
          <w:i/>
        </w:rPr>
        <w:t xml:space="preserve"> </w:t>
      </w:r>
      <w:r>
        <w:t>legiuitorul făcând trimitere la art. 13 alin. 1 lit. a din OUG 27 din 2006 exclusiv pentru a stabili cuantumul acestor drepturi bănești, drepturi bănești care, așa cum s-a arătat anterior, sunt incluse în indemnizația de încadrare.</w:t>
      </w:r>
    </w:p>
    <w:p w14:paraId="000146EA" w14:textId="77777777" w:rsidR="004B63A6" w:rsidRDefault="00C576EA">
      <w:pPr>
        <w:ind w:left="22" w:right="7" w:firstLine="648"/>
        <w:jc w:val="both"/>
      </w:pPr>
      <w:r>
        <w:tab/>
        <w:t>Adăugarea alin. 5 la art. 88</w:t>
      </w:r>
      <w:r>
        <w:rPr>
          <w:rStyle w:val="Fontdeparagrafimplicit1"/>
          <w:vertAlign w:val="superscript"/>
        </w:rPr>
        <w:t>2</w:t>
      </w:r>
      <w:r>
        <w:t xml:space="preserve"> din Legea nr. 304/2004, cu privire la care nu exista nici un argument inserat în nota de fundamentare a actului normativ intrat în vigoare în 16.10.2018, constituie o încălcare gravă a art. 16 alin. (1) din Constituţie, privind egalitatea în drepturi.</w:t>
      </w:r>
    </w:p>
    <w:p w14:paraId="4C0A2B97" w14:textId="77777777" w:rsidR="004B63A6" w:rsidRDefault="00C576EA">
      <w:pPr>
        <w:ind w:left="29" w:right="7" w:firstLine="648"/>
        <w:jc w:val="both"/>
      </w:pPr>
      <w:r>
        <w:tab/>
        <w:t>Potrivit art. 16 alin. 1 din Constituţia României</w:t>
      </w:r>
      <w:r>
        <w:rPr>
          <w:rStyle w:val="Fontdeparagrafimplicit1"/>
          <w:b/>
        </w:rPr>
        <w:t xml:space="preserve"> </w:t>
      </w:r>
      <w:r>
        <w:t>"Cetăţenii sunt egali in fata legii si a autorităţilor publice, fără principii si fără discriminări".</w:t>
      </w:r>
    </w:p>
    <w:p w14:paraId="3D371C9E" w14:textId="77777777" w:rsidR="004B63A6" w:rsidRDefault="00C576EA">
      <w:pPr>
        <w:ind w:firstLine="708"/>
        <w:jc w:val="both"/>
      </w:pPr>
      <w:r>
        <w:t>Totodată, potrivit art. 27 alin. 1 din OUG nr. 137 din 2000, ”Persoana care se consideră discriminată poate formula în faţa instanţei de judecată o cerere pentru acordarea de despăgubiri şi restabilirea situaţiei anterioare discriminării sau anularea situaţiei create prin discriminare, potrivit dreptului comun. Cererea este scutită de taxă judiciară de timbru şi nu este condiţionată de sesizarea Consiliului”.</w:t>
      </w:r>
    </w:p>
    <w:p w14:paraId="0651BC28" w14:textId="77777777" w:rsidR="004B63A6" w:rsidRDefault="00C576EA">
      <w:pPr>
        <w:ind w:firstLine="708"/>
        <w:jc w:val="both"/>
      </w:pPr>
      <w:r>
        <w:t>În speță, instanţa a constatat că sunt incidente și dispozițiile art. 2 al. 1 din O.G. nr. 137/ 2000, potrivit cărora prin discriminare se înţelege orice deosebire, excludere, restricţie sau preferinţă, pe bază de rasă, naţionalitate, etnie, limbă, religie, categorie socială etc., care are ca scop sau efect restrângerea ori înlăturarea recunoaşterii folosinţei sau exercitării, în condiţii de egalitate a drepturilor omului şi a libertăţilor fundamentale, ori a drepturilor recunoscute delege, în domeniul politic, economic, social şi cultural, sau în orice alte domenii ale vieţii publice.</w:t>
      </w:r>
    </w:p>
    <w:p w14:paraId="08AC0D72" w14:textId="77777777" w:rsidR="004B63A6" w:rsidRDefault="00C576EA">
      <w:pPr>
        <w:ind w:firstLine="708"/>
        <w:jc w:val="both"/>
      </w:pPr>
      <w:r>
        <w:t xml:space="preserve">La alin. 3 din art. 2 al aceluiaşi act normativ se arată că sunt discriminatorii prevederile, criteriile sau practicile aparent neutre care dezavantajează anumite persoane, pe baza criteriilor prevăzute la alin. 1, faţă de alte persoane, în afara cazului în care aceste prevederi, criterii sau </w:t>
      </w:r>
      <w:r>
        <w:lastRenderedPageBreak/>
        <w:t>practici sunt justificate obiectiv de un scop legitim, iar metodele de atingere a acelui scop sunt adecvate şi necesare.</w:t>
      </w:r>
    </w:p>
    <w:p w14:paraId="4B8C89C2" w14:textId="77777777" w:rsidR="004B63A6" w:rsidRDefault="00C576EA">
      <w:pPr>
        <w:ind w:firstLine="708"/>
        <w:jc w:val="both"/>
      </w:pPr>
      <w:r>
        <w:t>Potrivit art. 5, alin. 4 Codul muncii, constituie discriminare indirectă actele şi faptele întemeiate în mod aparent pe alte criterii decât cele prevăzute la alin. (2), dar care produc efectele unei discriminări directe.</w:t>
      </w:r>
    </w:p>
    <w:p w14:paraId="698DABEB" w14:textId="77777777" w:rsidR="004B63A6" w:rsidRDefault="00C576EA">
      <w:pPr>
        <w:ind w:firstLine="708"/>
        <w:jc w:val="both"/>
      </w:pPr>
      <w:r>
        <w:t>Instanța a apreciat că nu poate fi acceptată orice discriminare, nu numai la stabilirea drepturilor salariale, ci şi la acordarea unor sume cu acest titlu.</w:t>
      </w:r>
    </w:p>
    <w:p w14:paraId="7B094B68" w14:textId="77777777" w:rsidR="004B63A6" w:rsidRDefault="00C576EA">
      <w:pPr>
        <w:ind w:left="22" w:right="7" w:firstLine="648"/>
        <w:jc w:val="both"/>
      </w:pPr>
      <w:r>
        <w:tab/>
        <w:t xml:space="preserve">Mai mult, instanţa a constatat că sunt întemeiate susținerile reclamantelor, în sensul că, din acordarea și plata, începând cu data de </w:t>
      </w:r>
      <w:bookmarkStart w:id="4" w:name="_Hlk95302115"/>
      <w:r>
        <w:t>20.07.2018</w:t>
      </w:r>
      <w:bookmarkEnd w:id="4"/>
      <w:r>
        <w:t>, a sumelor în litigiu, exclusiv procurorilor numiți în cadrul Secţiei pentru Investigarea Infracţiunilor din Justiţie, rezultă o situaţie profund inechitabilă faţă de alţi magistrați numiți, care nu beneficiază de drepturile magistraţilor detașați, cum beneficiază doar această categorie de procurori (numiţi in funcţie, nu detaşaţi de la alte parchete) și în</w:t>
      </w:r>
      <w:r>
        <w:rPr>
          <w:rStyle w:val="Fontdeparagrafimplicit1"/>
          <w:b/>
        </w:rPr>
        <w:t xml:space="preserve"> </w:t>
      </w:r>
      <w:r>
        <w:t>favoarea căreia legiuitorul a prevăzut că beneficiază de drepturile procurorilor detaşaţi, deși potrivit art. 88</w:t>
      </w:r>
      <w:r>
        <w:rPr>
          <w:rStyle w:val="Fontdeparagrafimplicit1"/>
          <w:vertAlign w:val="superscript"/>
        </w:rPr>
        <w:t>2</w:t>
      </w:r>
      <w:r>
        <w:t xml:space="preserve"> alin. 2 din Legea nr. 304/2004 ”Este interzisă delegarea sau detaşarea de procurori in cadrul Secţiei pentru investigarea infracţiunilor din justiţie”.</w:t>
      </w:r>
    </w:p>
    <w:p w14:paraId="2E9ECA58" w14:textId="77777777" w:rsidR="004B63A6" w:rsidRDefault="00C576EA">
      <w:pPr>
        <w:ind w:firstLine="708"/>
        <w:jc w:val="both"/>
      </w:pPr>
      <w:r>
        <w:t>Pactul Internaţional cu privire la drepturile civile şi politice, în art. 26, a stabilit că persoanele sunt egale în faţa legii şi sunt îndreptăţite fără nici o discriminare, la protecţie egală din partea legii, lege ce trebuie să interzică orice discriminare şi să garanteze tuturor persoanelor protecţie egală, efectivă, împotriva discriminării în baza oricărui criteriu.</w:t>
      </w:r>
    </w:p>
    <w:p w14:paraId="1CC56BA9" w14:textId="77777777" w:rsidR="004B63A6" w:rsidRDefault="00C576EA">
      <w:pPr>
        <w:ind w:firstLine="708"/>
        <w:jc w:val="both"/>
      </w:pPr>
      <w:r>
        <w:t>Convenţia Europeană a Drepturilor Omului în Protocolul nr. 12, privind drepturile omului, libertăţilor fundamentale, în paragraful nr. 1 a stabilit că exerciţiul drepturilor şi libertăţilor recunoscute de lege, trebuie să fie garantat fără nici o discriminare, pe niciun temei, nimeni nu poate fi discriminat de nici o autoritate, pe niciun criteriu, iar în jurisprudenţa Curţii de Justiţie a Comunităţilor Europene, în cauza 14/1983 Van Calson and Kamonin/Land Nordrehein – Westfolen, s-a statuat că ordinea juridică comunitară permite tuturor persoanelor ce se consideră nedreptăţite de o discriminare, rezultată din acte normative, să o invoce efectiv în litigiile de pe rolul tribunalelor naţionale.</w:t>
      </w:r>
    </w:p>
    <w:p w14:paraId="5CBFF621" w14:textId="77777777" w:rsidR="004B63A6" w:rsidRDefault="00C576EA">
      <w:pPr>
        <w:ind w:left="29" w:right="7" w:firstLine="641"/>
        <w:jc w:val="both"/>
      </w:pPr>
      <w:r>
        <w:tab/>
        <w:t xml:space="preserve">Totodată, instanța a găsit întemeiate susținerile reclamantelor, în sensul că în cadrul aceleiași familii ocupaționale Justiție, au coexistat doua categorii de magistrați, respectiv procurorii numiți în cadrul Secţiei pentru Investigarea Infracţiunilor din Justiţie, care beneficiază de drepturile procurorilor detașați, deşi nu sunt detaşaţi, ci numiţi în aceste funcții și ceilalți magistrați numiți, care nu beneficiază de aceste drepturi, fiind astfel  diferenţiaţi, prin aplicarea incorecta a Legii nr.71/2015 de aprobare a OUG nr. 83/2014, intre cele doua categorii existând diferenţe salariale prin acordarea diurnei, în concret a unui echivalent bănesc în cuantumul diurnei, de </w:t>
      </w:r>
      <w:r>
        <w:rPr>
          <w:rStyle w:val="Fontdeparagrafimplicit1"/>
          <w:i/>
        </w:rPr>
        <w:t xml:space="preserve">2% , </w:t>
      </w:r>
      <w:r>
        <w:t>conform art. 13 alin. 1 lit. a din OUG nr. 27/2006, exclusiv procurorilor din cadrul SIIJ, iar nu si celorlalți magistrați, deși și reclamantul este tot magistrat numit în funcție, la fel ca procurorii din cadrul Secţiei pentru Investigarea Infracţiunilor din Justiţie.</w:t>
      </w:r>
    </w:p>
    <w:p w14:paraId="4B52319F" w14:textId="77777777" w:rsidR="004B63A6" w:rsidRDefault="00C576EA">
      <w:pPr>
        <w:ind w:left="29" w:right="7" w:firstLine="641"/>
        <w:jc w:val="both"/>
        <w:rPr>
          <w:rStyle w:val="Fontdeparagrafimplicit1"/>
          <w:b/>
        </w:rPr>
      </w:pPr>
      <w:r>
        <w:tab/>
        <w:t>Este de notorietate că, prin mai multe hotărâri judecătoreşti care vizează acordarea coeficientului de multiplicare 19.00 aplicabil procurorilor DNA - DIICOT, coeficient de multiplicare care însă a fost recunoscut și altor magistrați, judecători și procurori, deși aceștia nu funcționează în cadrul DNA sau DIICOT, constatându-se starea de discriminare în care se află alți judecători si procurori.</w:t>
      </w:r>
    </w:p>
    <w:p w14:paraId="2B466E3D" w14:textId="77777777" w:rsidR="004B63A6" w:rsidRDefault="00C576EA">
      <w:pPr>
        <w:ind w:left="29" w:right="7" w:firstLine="641"/>
        <w:jc w:val="both"/>
      </w:pPr>
      <w:r>
        <w:tab/>
        <w:t>Ceea a atras atenția instanței, a fost faptul că toate aceste hotărâri judecătoreşti au fost pronunțate în temeiul Deciziei nr. VI/2007, pronunțată de Înalta Curte de Casaţie şi Justiţie, într-un recurs în interesul legii, iar reclamantele și-au întemeiat în drept acțiunea și pe considerentele obligatorii ale acestei decizii.</w:t>
      </w:r>
    </w:p>
    <w:p w14:paraId="47FFECF5" w14:textId="77777777" w:rsidR="004B63A6" w:rsidRDefault="00C576EA">
      <w:pPr>
        <w:ind w:firstLine="670"/>
        <w:jc w:val="both"/>
      </w:pPr>
      <w:r>
        <w:tab/>
        <w:t xml:space="preserve">Înalta Curte de Casaţie şi Justiţie a statuat prin Decizia nr. VI/2007, cu forţa obligatorie dispusă de art. 329 alin. 3 Cod procedură civilă, următoarele: „folosirea drept criteriu de diferenţiere a tratamentului salarial pentru magistraţi doar apartenenţa la anumite segmente restrânse de realizare a justiţiei, pe considerentul că domeniile în care ar activa ar reclama o specializare particularizată şi un risc deosebit, nu se poate justifica atât timp cât varietatea </w:t>
      </w:r>
      <w:r>
        <w:lastRenderedPageBreak/>
        <w:t>infinită a situaţiilor de coliziune cu legea ce se pot ivi şi a tipului de reacţie necesară pentru asigurarea ordinii de drept presupune eforturi chiar mai importante şi riscuri profesionale mai accentuate în multe alte cazuri decât cele pentru care s-a instituit tratamentul salarial preferenţial prin dispoziţiile la care s-a făcut referire”.</w:t>
      </w:r>
    </w:p>
    <w:p w14:paraId="403241D4" w14:textId="77777777" w:rsidR="004B63A6" w:rsidRDefault="00C576EA">
      <w:pPr>
        <w:ind w:firstLine="670"/>
        <w:jc w:val="both"/>
        <w:rPr>
          <w:rStyle w:val="Fontdeparagrafimplicit1"/>
          <w:i/>
        </w:rPr>
      </w:pPr>
      <w:r>
        <w:tab/>
        <w:t>Totodată, în cuprinsul considerentelor obligatorii, instanța supremă a mai stabilit următoarele:</w:t>
      </w:r>
      <w:r>
        <w:rPr>
          <w:rStyle w:val="Fontdeparagrafimplicit1"/>
          <w:i/>
        </w:rPr>
        <w:t xml:space="preserve"> </w:t>
      </w:r>
      <w:r>
        <w:t>”Rezultă, deci, că distincţia ce se face, ţinându-se seama de apartenenţa magistraţilor la categoria celor implicaţi în soluţionarea cazurilor privind faptele de corupţie sau de criminalitate organizată şi de terorism ori doar includerea lor în anumite structuri pe scara ierarhică este lipsită de justificare obiectivă şi rezonabilă, fiind astfel discriminatorie în sensul art. 2 din Pactul internaţional cu privire la drepturile civile şi politice şi al art. 14 din Convenţia pentru apărarea drepturilor omului şi a libertăţilor fundamentale, deoarece nu se poate demonstra existenţa unui raport acceptabil de proporţionalitate între mijloacele folosite şi scopul vizat, cu toate particularităţile lui specifice”.</w:t>
      </w:r>
    </w:p>
    <w:p w14:paraId="63143F26" w14:textId="77777777" w:rsidR="004B63A6" w:rsidRDefault="00C576EA">
      <w:pPr>
        <w:jc w:val="both"/>
      </w:pPr>
      <w:r>
        <w:tab/>
        <w:t xml:space="preserve">Deci, instanţa supremă a statuat că sunt discriminatorii criteriile de diferenţiere de tratament salarial constând în apartenenţa la categoria celor implicaţi în soluţionarea unor cazuri de o anumită natură (cum sunt cazurile privind infracţiunile săvârșite de magistrați ), ori în includerea în numite structuri pe scara ierarhică sau în anumite segmente restrânse de realizare a justiţiei. </w:t>
      </w:r>
    </w:p>
    <w:p w14:paraId="1AC78C8B" w14:textId="77777777" w:rsidR="004B63A6" w:rsidRDefault="00C576EA">
      <w:pPr>
        <w:ind w:firstLine="708"/>
        <w:jc w:val="both"/>
      </w:pPr>
      <w:r>
        <w:t>Tocmai acest lucru s-a produs în cazul procurorilor care și-au desfășurat activitatea în cadrul Secţiei pentru Investigarea Infracţiunilor din Justiţie, care, deși sunt numiți în funcție, beneficiază de drepturile recunoscute doar magistraților detaşaţi, drepturi bănești care, în cazul acestei categorii de procurori, sunt incluse în indemnizaţia de încadrare.</w:t>
      </w:r>
    </w:p>
    <w:p w14:paraId="74676E02" w14:textId="77777777" w:rsidR="004B63A6" w:rsidRDefault="00C576EA">
      <w:pPr>
        <w:jc w:val="both"/>
      </w:pPr>
      <w:r>
        <w:tab/>
        <w:t>Cu alte cuvinte, indemnizația de încadrare este stabilită diferit, în funcţie de apartenenţa la o anumită categorie socio-profesională şi de locul de muncă, fiind încălcate considerente obligatorii ale Deciziei nr. VI/2007, pronunțată de Înalta Curte de Casaţie şi Justiţie, într-un recurs în interesul legii.</w:t>
      </w:r>
    </w:p>
    <w:p w14:paraId="3EF447CD" w14:textId="77777777" w:rsidR="004B63A6" w:rsidRDefault="00C576EA">
      <w:pPr>
        <w:jc w:val="both"/>
      </w:pPr>
      <w:r>
        <w:tab/>
        <w:t>Instanța, fără a nega faptul că Decizia nr. VI/2007, pronunțată de Înalta Curte de Casaţie şi Justiţie, într-un recurs în interesul legii, a avut în vedere un act normativ în prezent abrogat, respectiv OUG 43 din 2002, a apreciat că se impune admiterea prezentei acțiuni, având în vedere puterea de lucru judecat ce însoţeşte actele jurisdicţionale, putere de lucru judecat care se ataşează nu numai dispozitivului, ci şi considerentelor pe care se sprijină acesta.</w:t>
      </w:r>
    </w:p>
    <w:p w14:paraId="3C734DBA" w14:textId="77777777" w:rsidR="004B63A6" w:rsidRDefault="00C576EA">
      <w:pPr>
        <w:ind w:firstLine="677"/>
        <w:jc w:val="both"/>
        <w:rPr>
          <w:rStyle w:val="Fontdeparagrafimplicit1"/>
          <w:i/>
        </w:rPr>
      </w:pPr>
      <w:r>
        <w:tab/>
        <w:t>În acest sens, instanța a avut în vedere considerentele obligatorii din cuprinsul Deciziei nr. VI/2007, pronunțată de Înalta Curte de Casaţie şi Justiţie, într-un recurs în interesul legii, potrivit cărora ”folosirea drept criteriu de diferenţiere a tratamentului salarial pentru magistraţi doar apartenenţa la anumite segmente restrânse de realizare a justiţiei, pe considerentul că domeniile în care ar activa ar reclama o specializare particularizată şi un risc deosebit, nu se poate justifica atât timp cât varietatea infinită a situaţiilor de coliziune cu legea ce se pot ivi şi a tipului de reacţie necesară pentru asigurarea ordinii de drept presupune eforturi chiar mai importante şi riscuri profesionale mai accentuate în multe alte cazuri decât cele pentru care s-a instituit tratamentul salarial preferenţial prin dispoziţiile la care s-a făcut referire”.</w:t>
      </w:r>
    </w:p>
    <w:p w14:paraId="2E79B2A3" w14:textId="77777777" w:rsidR="004B63A6" w:rsidRDefault="00C576EA">
      <w:pPr>
        <w:ind w:left="29" w:firstLine="648"/>
        <w:jc w:val="both"/>
      </w:pPr>
      <w:r>
        <w:tab/>
        <w:t>În consecință, instanța a reținut că salarizarea reclamantelor nu se realizează la fel ca în cazul procurorilor care şi-au desfăşurat activitatea în cadrul Secției pentru Investigarea Infracțiunilor din Justiție, fiind in beneficiul acestora din urma, drepturile bănești reprezentând echivalentul diurnei în cuantum de 2 % din indemnizaţia de încadrare bruta lunara, stabilita pentru fiecare zi de lucru, dar nu mai puţin decât cuantumul prevăzut de art. 13 alin. 1 lit. a din OUG nr. 27/2006, pentru personalul din unităţile bugetare, situaţie în care nu se poate vorbi de o respectare a principiului egalităţii in fata legii ce presupune instituirea unui tratament egal pentru situaţii care, in funcţie de scopul urmărit, nu sunt diferite.</w:t>
      </w:r>
    </w:p>
    <w:p w14:paraId="0DC6D76F" w14:textId="77777777" w:rsidR="004B63A6" w:rsidRDefault="00C576EA">
      <w:pPr>
        <w:ind w:right="22" w:firstLine="677"/>
        <w:jc w:val="both"/>
        <w:rPr>
          <w:rStyle w:val="Fontdeparagrafimplicit1"/>
          <w:i/>
        </w:rPr>
      </w:pPr>
      <w:r>
        <w:tab/>
        <w:t>Instanța a avut în vedere și practica Curţii Europene a Drepturilor Omului (CEDO), respectiv hotărârea pronunţată în cauza Driha</w:t>
      </w:r>
      <w:r>
        <w:rPr>
          <w:rStyle w:val="Fontdeparagrafimplicit1"/>
          <w:i/>
        </w:rPr>
        <w:t xml:space="preserve"> </w:t>
      </w:r>
      <w:r>
        <w:t>contra României din 21.02.2008 (încălcarea articolului 14 din Convenţie, combinat cu articolul 1 din Protocolul nr. 1 la Convenţie, prin care s-a reţinut că o discriminare constă în a trata în mod diferit, cu excepţia justificării obiective si raţionale, persoane aflate în situaţii comparabile</w:t>
      </w:r>
      <w:r>
        <w:rPr>
          <w:rStyle w:val="Fontdeparagrafimplicit1"/>
          <w:i/>
        </w:rPr>
        <w:t>.</w:t>
      </w:r>
    </w:p>
    <w:p w14:paraId="204363FD" w14:textId="77777777" w:rsidR="004B63A6" w:rsidRDefault="00C576EA">
      <w:pPr>
        <w:ind w:right="22"/>
        <w:jc w:val="both"/>
        <w:rPr>
          <w:rStyle w:val="Fontdeparagrafimplicit1"/>
          <w:b/>
        </w:rPr>
      </w:pPr>
      <w:r>
        <w:rPr>
          <w:rStyle w:val="Fontdeparagrafimplicit1"/>
          <w:b/>
        </w:rPr>
        <w:lastRenderedPageBreak/>
        <w:tab/>
      </w:r>
      <w:r>
        <w:t xml:space="preserve">Așa cum instanța a reținut deja, procurorii din cadrul Secției pentru investigarea infracțiunilor din justiție, au beneficiat de drepturile bănești reprezentând echivalentul diurnei în cuantum de 2 % din indemnizaţia de încadrare brută lunară, deși aceștia nu sunt detașați sau delegați, fiind numiți în cadrul acestei structuri, la fel ca reclamantele, care sunt procuror numite în funcție, şi nu delegate sau detașate. </w:t>
      </w:r>
    </w:p>
    <w:p w14:paraId="545FB042" w14:textId="77777777" w:rsidR="004B63A6" w:rsidRDefault="00C576EA">
      <w:pPr>
        <w:ind w:firstLine="709"/>
        <w:jc w:val="both"/>
      </w:pPr>
      <w:r>
        <w:t>Reclamantele au mai invocat și Decizia CCR nr. 794 din 2016 și Decizia ICCJ nr. 36 din 2018 și au solicitat admiterea cererii de chemare în judecată, având în vedere obligativitatea acestor decizii, susțineri pe care instanța le găsește întemeiate.</w:t>
      </w:r>
    </w:p>
    <w:p w14:paraId="75F9BB86" w14:textId="77777777" w:rsidR="004B63A6" w:rsidRDefault="00C576EA">
      <w:pPr>
        <w:ind w:firstLine="709"/>
        <w:jc w:val="both"/>
      </w:pPr>
      <w:r>
        <w:t>Astfel, fără a relua pe larg considerentele obligatorii ale acestor decizii, instanța a reținut că Decizia CCR nr.794 din 2016 și Decizia ICCJ nr.36 din 2018, au în vedere egalizarea indemnizației de încadrare la nivel maxim aflat în plata, iar, în speță, reclamantele au făcut dovada că drepturile solicitate prin prezenta cerere de chemare în judecată, au fost recunoscute în favoarea altor magistrați, prin hotărâri judecătorești.</w:t>
      </w:r>
    </w:p>
    <w:p w14:paraId="089C04EF" w14:textId="77777777" w:rsidR="004B63A6" w:rsidRDefault="00C576EA">
      <w:pPr>
        <w:ind w:firstLine="655"/>
        <w:jc w:val="both"/>
      </w:pPr>
      <w:r>
        <w:tab/>
        <w:t>Reclamantele au mai solicitat si acordarea tuturor drepturilor salariale specifice personalului detașat de care beneficiază procurorii din cadrul S.I.I.J, însă nu a fost administrată nici o probă din care să rezultă că aceasta categorie de procurori beneficiază si de alte drepturi, dimpotrivă reclamantele au solicitat emiterea unei adrese către Ministerul Public - Parchetul de pe lângă Înalta Curte de Casație și Justiție, cu solicitarea de a comunica dacă procurorii din cadrul S.I.I.J beneficiază de drepturile recunoscute conform art. 88 indice 2, alineatul 5 din Legea 304 din 2004, și dacă aceştia sunt numiți sau sunt delegați, motiv pentru care instanța va reține că discriminarea dintre reclamante și procurorii care şi-au desfăşurat activitatea în cadrul S.I.I.J, vizează doar suma acordată potrivit art. 88 indice 2 alin. 5 din Legea nr. 304 din 2004, coroborat cu art. 13 alin. 1 lit. a din OUG 27 din 2006.</w:t>
      </w:r>
    </w:p>
    <w:p w14:paraId="64760509" w14:textId="77777777" w:rsidR="004B63A6" w:rsidRDefault="00C576EA">
      <w:pPr>
        <w:ind w:firstLine="655"/>
        <w:jc w:val="both"/>
      </w:pPr>
      <w:r>
        <w:tab/>
        <w:t>În ceea ce privește acordarea drepturilor stabilite prin hotărâre, instanța a apreciat că aceste drepturi se cuvine a fi acordate cu depășirea limitelor prevăzute de art. 38 alin. 6 din Legea nr.153/2017, pentru considerentele expuse în cele ce succed.</w:t>
      </w:r>
    </w:p>
    <w:p w14:paraId="1EAC1DA9" w14:textId="77777777" w:rsidR="004B63A6" w:rsidRDefault="00C576EA">
      <w:pPr>
        <w:ind w:firstLine="708"/>
        <w:jc w:val="both"/>
      </w:pPr>
      <w:r>
        <w:t>Potrivit art. 38 alin. 6 din Legea nr.153 din 2017 privind salarizarea personalului plătit din fonduri publice,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14:paraId="4BFAABBE" w14:textId="77777777" w:rsidR="004B63A6" w:rsidRDefault="00C576EA">
      <w:pPr>
        <w:ind w:firstLine="708"/>
        <w:jc w:val="both"/>
        <w:rPr>
          <w:rStyle w:val="Fontdeparagrafimplicit1"/>
          <w:i/>
        </w:rPr>
      </w:pPr>
      <w:r>
        <w:t>Cercetând conținutul art. 38 alin. 6 din Legea 153 din 2017, instanța a constatat că aceste dispoziții limitează/plafonează salariile de bază, soldele de funcţie/salariile de funcţie, indemnizaţiile de încadrare, la nivelul celor stabilite pentru anul 2022, exclusiv în situația în care devin ulterior mai mari ca urmare a majorărilor salariale reglementate (evident de lege), deci nu și în cazul în care prin hotărâri judecătoreşti definitive sunt recunoscute și stabilite anumite majorări salariale.</w:t>
      </w:r>
      <w:r>
        <w:rPr>
          <w:rStyle w:val="Fontdeparagrafimplicit1"/>
          <w:i/>
        </w:rPr>
        <w:t xml:space="preserve"> </w:t>
      </w:r>
    </w:p>
    <w:p w14:paraId="6A9B7F92" w14:textId="77777777" w:rsidR="004B63A6" w:rsidRDefault="00C576EA">
      <w:pPr>
        <w:ind w:firstLine="708"/>
        <w:jc w:val="both"/>
      </w:pPr>
      <w:r>
        <w:t>În consecință, instanța a reținut că plafonarea prevăzută de art. 38 alin. 6 din Legea 153 din 2017, are în vedere exclusiv majorările salariale reglementate sau acordate în temeiul legii si/sau prin acte administrative ale ordonatorului principal de credite, iar nu drepturile salariale recunoscute sau stabilite prin hotărâri judecătorești definitive, ceea ce de altfel ar încălca și art. 6 CEDO.</w:t>
      </w:r>
    </w:p>
    <w:p w14:paraId="6A7A054A" w14:textId="77777777" w:rsidR="004B63A6" w:rsidRDefault="00C576EA">
      <w:pPr>
        <w:ind w:firstLine="708"/>
        <w:jc w:val="both"/>
      </w:pPr>
      <w:r>
        <w:t>Instanța a apreciat că, în cazul în care ar accepta ipoteza susținută de pârât, ar însemna ca o hotărâre judecătorească să rămână fără efect, deci debitorul să aibă posibilitatea de a nu executa o hotărâre judecătorească definitivă prin care s-a dispus condamnarea sa, astfel încât, deși beneficiarul a obținut o astfel de hotărâre judecătorească definitivă, aceasta să nu producă deloc efecte juridice, ceea ce este de nepermis.</w:t>
      </w:r>
    </w:p>
    <w:p w14:paraId="6629CE62" w14:textId="77777777" w:rsidR="004B63A6" w:rsidRDefault="00C576EA">
      <w:pPr>
        <w:ind w:firstLine="708"/>
        <w:jc w:val="both"/>
      </w:pPr>
      <w:r>
        <w:t>Convingerea instanței, în sensul că art. 38 alin. 6 din Legea 153 din 2017, nu are în vedere și majorările salariale recunoscute prin hotărâri judecătorești, ci doar majorările reglementate de lege si stabilite prin acte ale ordonatorului principal de credite, are în vedere și aspectele statuate de ICCJ prin Decizia 7 din 2019, considerentele care se aplică mutatis mutandis și în ceea ce privește art. 38 alin. 6 din Legea 153 din 2017.</w:t>
      </w:r>
    </w:p>
    <w:p w14:paraId="6CDF7205" w14:textId="77777777" w:rsidR="004B63A6" w:rsidRDefault="00C576EA">
      <w:pPr>
        <w:ind w:firstLine="708"/>
        <w:jc w:val="both"/>
      </w:pPr>
      <w:r>
        <w:lastRenderedPageBreak/>
        <w:t>Astfel, problema de drept care a făcut obiectul Deciziei RIL 7 din 2019, a vizat  stabilirea momentului până la care reclamanții - magistrați, care au obținut prin hotărâri judecătorești definitive și irevocabile acordarea drepturilor bănești majorate cu procentele de 18% (5% + 2% + 11%), prevăzute de art. 1 din Ordonanța Guvernului nr. 10/2007, sunt îndreptățiți să beneficieze de plata acestor drepturi, mai exact, dacă aceste majorări puteau fi acordate numai până la intrarea în vigoare a Legii-cadru nr. 330/2009 sau, dimpotrivă, ar fi trebuit acordate și plătite reclamanților și după intrarea în vigoare a acestei legi.</w:t>
      </w:r>
    </w:p>
    <w:p w14:paraId="532623A6" w14:textId="77777777" w:rsidR="004B63A6" w:rsidRDefault="00C576EA">
      <w:pPr>
        <w:ind w:firstLine="708"/>
        <w:jc w:val="both"/>
      </w:pPr>
      <w:r>
        <w:t>Potrivit art. 1 alin. 1 din Legea nr. 330 din 2009,</w:t>
      </w:r>
      <w:r>
        <w:rPr>
          <w:rStyle w:val="Fontdeparagrafimplicit1"/>
          <w:i/>
        </w:rPr>
        <w:t xml:space="preserve"> </w:t>
      </w:r>
      <w:r>
        <w:t>”prezenta lege are ca obiect de reglementare stabilirea unui sistem unitar de salarizare pentru personalul din sectorul bugetar plătit din bugetul general consolidat al statului, iar potrivit alin. 2 al aceluiași articol Începând cu data intrării în vigoare, în tot sau în parte, a prezentei legi, drepturile salariale ale personalului prevăzut la alin. (1) sunt și rămân în mod exclusiv cele prevăzute în prezenta lege”.</w:t>
      </w:r>
    </w:p>
    <w:p w14:paraId="79327EA1" w14:textId="77777777" w:rsidR="004B63A6" w:rsidRDefault="00C576EA">
      <w:pPr>
        <w:ind w:firstLine="708"/>
        <w:jc w:val="both"/>
        <w:rPr>
          <w:rStyle w:val="Fontdeparagrafimplicit1"/>
          <w:b/>
          <w:i/>
        </w:rPr>
      </w:pPr>
      <w:r>
        <w:t>Potrivit art. 38 alin. 6 din Legea nr.153 din 2017 privind salarizarea personalului plătit din fonduri publice,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14:paraId="2130D2D6" w14:textId="77777777" w:rsidR="004B63A6" w:rsidRDefault="00C576EA">
      <w:pPr>
        <w:ind w:firstLine="708"/>
        <w:jc w:val="both"/>
      </w:pPr>
      <w:r>
        <w:t xml:space="preserve">În consecință, intenția legiuitorului, atât prin art. 38 alin. 6 din Legea nr.153 din 2017, cât și prin art. 1 alin. 2 din Legea 330 din 2009, a fost aceea ca drepturile salariale să fie doar cele prevăzute în mod exclusiv de legile de salarizare, deci cu ignorarea hotărârilor judecătoreşti definitive care recunosc anumite majorări salariale, aspect care încalcă fără dubiu art. 6 CEDO și atrage răspunderea statului.  </w:t>
      </w:r>
    </w:p>
    <w:p w14:paraId="69152864" w14:textId="77777777" w:rsidR="004B63A6" w:rsidRDefault="00C576EA">
      <w:pPr>
        <w:ind w:firstLine="708"/>
        <w:jc w:val="both"/>
        <w:rPr>
          <w:rStyle w:val="Fontdeparagrafimplicit1"/>
          <w:i/>
        </w:rPr>
      </w:pPr>
      <w:r>
        <w:t xml:space="preserve">Prin Decizia 7 din 2019, ÎCCJ a stabilit că majorările salariale recunoscute prin hotărâri judecătorești definitive, au fost și rămân incluse în indemnizația brută de încadrare și după data intrării în vigoare a Legii-cadru </w:t>
      </w:r>
      <w:hyperlink r:id="rId7" w:tgtFrame="_blank" w:history="1">
        <w:r w:rsidR="004B63A6">
          <w:t>nr. 330/2009</w:t>
        </w:r>
      </w:hyperlink>
      <w:r>
        <w:t>, chiar dacă, așa cum instanța a reținut anterior, potrivit art. 1 alin. 2 din Legea 330 din 2009, drepturile salariale ale personalului prevăzut la alin. (1) sunt și rămân în mod exclusiv cele prevăzute în prezenta lege.</w:t>
      </w:r>
    </w:p>
    <w:p w14:paraId="6BBB7D8F" w14:textId="77777777" w:rsidR="004B63A6" w:rsidRDefault="00C576EA">
      <w:pPr>
        <w:ind w:firstLine="708"/>
        <w:jc w:val="both"/>
      </w:pPr>
      <w:r>
        <w:t>În consecință, aplicând același raționament și în cazul dispozițiilor art. 38 alin. 6 din Legea 153 din 2017, instanța a reținut că admiterea acestei solicitări și reținerea unei plafonări /limitări, conform acestui text de lege, încalcă, în primul rând art. 6 CEDO, Decizia RIL 7 din 2019, dar și, astfel cum se va arata în cele ce succed, Decizia CCR 794 din 2016.</w:t>
      </w:r>
    </w:p>
    <w:p w14:paraId="12CCD31C" w14:textId="77777777" w:rsidR="004B63A6" w:rsidRDefault="00C576EA">
      <w:pPr>
        <w:ind w:firstLine="708"/>
        <w:jc w:val="both"/>
      </w:pPr>
      <w:r>
        <w:t>Deosebit de important a fost apreciat și considerentului 58 din Decizia nr. 7 din 2019, ICCJ a reținut următoarele:</w:t>
      </w:r>
    </w:p>
    <w:p w14:paraId="56CB8BE6" w14:textId="77777777" w:rsidR="004B63A6" w:rsidRDefault="00C576EA">
      <w:pPr>
        <w:ind w:firstLine="708"/>
        <w:jc w:val="both"/>
      </w:pPr>
      <w:r>
        <w:t>”De asemenea, instanța de contencios constituțional a constatat că excluderea majorărilor salariale stabilite sau recunoscute prin hotărâri judecătorești de la calculul nivelului maxim al salariului de bază/indemnizației de încadrare din cadrul autorității publice afectează art. 124 și art. 126 din Constituție, precum și principiul fundamental al separației și echilibrului puterilor - legislativă, executivă și judecătorească - în cadrul democrației constituționale, consacrat de art. 1 alin. (4) din Legea fundamentală, deoarece, printr-un act normativ emis de Guvern, ca legiuitor delegat potrivit art. 115 alin. (4)-(6) din Constituție, se consacră, pe cale legislativă, nerecunoașterea hotărârilor judecătorești definitive, respectiv definitive și irevocabile, emise de puterea judecătorească”.</w:t>
      </w:r>
    </w:p>
    <w:p w14:paraId="59C2CF45" w14:textId="77777777" w:rsidR="004B63A6" w:rsidRDefault="00C576EA">
      <w:pPr>
        <w:ind w:firstLine="708"/>
        <w:jc w:val="both"/>
      </w:pPr>
      <w:r>
        <w:t>Totodată, în cuprinsul Deciziei 794 din 2016, CCR a reținut următoarele:</w:t>
      </w:r>
    </w:p>
    <w:p w14:paraId="2196664E" w14:textId="77777777" w:rsidR="004B63A6" w:rsidRDefault="00C576EA">
      <w:pPr>
        <w:ind w:firstLine="708"/>
        <w:jc w:val="both"/>
      </w:pPr>
      <w:r>
        <w:t xml:space="preserve">”24. Cu privire la aceste susţineri, Curtea reţine că, în jurisprudenţa sa referitoare la art. 124 şi art. 126 din Constituţie şi la efectele hotărârilor judecătoreşti, a stabilit, că "înfăptuirea justiţiei, în numele legii, are semnificaţia că actul de justiţie izvorăşte din normele legale, iar forţa lui executorie derivă tot din lege. Altfel spus, hotărârea judecătorească reprezintă un act de aplicare a legii pentru soluţionarea unui conflict de drepturi sau interese, constituind un mijloc eficient de restabilire a ordinii de drept democratice şi de eficientizare a normelor de drept substanţial. Datorită acestui fapt, hotărârea judecătorească - desemnând tocmai rezultatul activităţii judiciare - reprezintă, fără îndoială, cel mai important act al justiţiei. Hotărârea judecătorească, având autoritate de lucru judecat, răspunde nevoii de securitate juridică, părţile </w:t>
      </w:r>
      <w:r>
        <w:lastRenderedPageBreak/>
        <w:t xml:space="preserve">având obligaţia să se supună efectelor obligatorii ale actului jurisdicţional, fără posibilitatea de a mai pune în discuţie ceea ce s-a stabilit deja pe calea judecăţii. Prin urmare, hotărârea judecătorească definitivă şi irevocabilă se situează în sfera actelor de autoritate publică, fiind învestită cu o eficienţă specifică de către ordinea normativă constituţională. Pe de altă parte, un efect intrinsec al hotărârii judecătoreşti îl constituie forţa executorie a acesteia, care trebuie respectată şi executată atât de către cetăţeni, cât şi de autorităţile publice. Or, a lipsi o hotărâre definitivă şi irevocabilă de caracterul ei executoriu reprezintă o încălcare a ordinii juridice a statului de drept şi o obstrucţionare a bunei funcţionări a justiţiei" (a se vedea în acest sens </w:t>
      </w:r>
      <w:hyperlink r:id="rId8" w:history="1">
        <w:r w:rsidR="004B63A6">
          <w:t>Decizia nr. 686 din 26 noiembrie 2014</w:t>
        </w:r>
      </w:hyperlink>
      <w:r>
        <w:t xml:space="preserve">, publicată în Monitorul Oficial al României, Partea I, nr. 68 din 27 ianuarie 2015, paragraful 20, </w:t>
      </w:r>
      <w:hyperlink r:id="rId9" w:history="1">
        <w:r w:rsidR="004B63A6">
          <w:t>Decizia nr. 972 din 21 noiembrie 2012</w:t>
        </w:r>
      </w:hyperlink>
      <w:r>
        <w:t xml:space="preserve">, publicată în Monitorul Oficial al României, Partea I, nr. 800 din 28 noiembrie 2012, şi </w:t>
      </w:r>
      <w:hyperlink r:id="rId10" w:history="1">
        <w:r w:rsidR="004B63A6">
          <w:t>Decizia nr. 460 din 13 noiembrie 2013</w:t>
        </w:r>
      </w:hyperlink>
      <w:r>
        <w:t>,</w:t>
      </w:r>
    </w:p>
    <w:p w14:paraId="21DF88D1" w14:textId="77777777" w:rsidR="004B63A6" w:rsidRDefault="00C576EA">
      <w:pPr>
        <w:ind w:firstLine="708"/>
        <w:jc w:val="both"/>
      </w:pPr>
      <w:r>
        <w:t xml:space="preserve">25. Curtea constată că, potrivit </w:t>
      </w:r>
      <w:hyperlink r:id="rId11" w:anchor="id_artA62" w:history="1">
        <w:r w:rsidR="004B63A6">
          <w:t>art. 3^1 alin. (1^2) din Ordonanţa de urgenţă a Guvernului nr. 57/2015</w:t>
        </w:r>
      </w:hyperlink>
      <w:r>
        <w:t xml:space="preserve">, introdus prin </w:t>
      </w:r>
      <w:hyperlink r:id="rId12" w:history="1">
        <w:r w:rsidR="004B63A6">
          <w:t>Ordonanţa de urgenţă a Guvernului nr. 43/2016</w:t>
        </w:r>
      </w:hyperlink>
      <w:r>
        <w:t>, la stabilirea nivelului maxim al salariului de bază/indemnizaţiei de încadrare din cadrul instituţiei sau autorităţii publice, se iau în considerare numai drepturile salariale prevăzute în actele normative privind salarizarea personalului plătit din fonduri publice şi nu se includ drepturile stabilite sau recunoscute prin hotărâri judecătoreşti. Aşadar, norma criticată stabileşte, în mod indirect, că nu sunt recunoscute hotărâri judecătoreşti definitive şi irevocabile. Astfel, chiar dacă o parte dintre magistraţii care beneficiază de aceste hotărâri judecătoreşti au deja în plată majorarea indemnizaţiei de încadrare, faptul că textul criticat prevede că, la stabilirea nivelului maxim al salariului de bază/indemnizaţiei de încadrare din cadrul instituţiei sau autorităţii publice, nu se includ drepturile stabilite sau recunoscute prin hotărâri judecătoreşti conduce la concluzia că, deşi o parte dintre magistraţi şi din personalul asimilat au obţinut majorarea indemnizaţiei de încadrare, aceasta nu este recunoscută la stabilirea nivelului maxim al salariului de bază/indemnizaţiei de încadrare.</w:t>
      </w:r>
    </w:p>
    <w:p w14:paraId="17908289" w14:textId="77777777" w:rsidR="004B63A6" w:rsidRDefault="00C576EA">
      <w:pPr>
        <w:ind w:firstLine="709"/>
        <w:jc w:val="both"/>
      </w:pPr>
      <w:r>
        <w:t xml:space="preserve">28. De asemenea, dispoziţiile </w:t>
      </w:r>
      <w:hyperlink r:id="rId13" w:anchor="id_artA62" w:history="1">
        <w:r w:rsidR="004B63A6">
          <w:t>art. 3^1 alin. (1^2) din Ordonanţa de urgenţă a Guvernului nr. 57/2015</w:t>
        </w:r>
      </w:hyperlink>
      <w:r>
        <w:t xml:space="preserve">, introdus prin </w:t>
      </w:r>
      <w:hyperlink r:id="rId14" w:history="1">
        <w:r w:rsidR="004B63A6">
          <w:t>Ordonanţa de urgenţă a Guvernului nr. 43/2016</w:t>
        </w:r>
      </w:hyperlink>
      <w:r>
        <w:t>, afectează principiul fundamental al separaţiei şi echilibrului puterilor - legislativă, executivă şi judecătorească - în cadrul democraţiei constituţionale, consacrat de art. 1 alin. (4) din Legea fundamentală, deoarece, printr-un act normativ emis de Guvern, ca legiuitor delegat potrivit art. 115 alin. (4)-(6) din Constituţie, se consacră, pe cale legislativă, nerecunoașterea hotărârilor judecătoreşti definitive, respectiv definitive şi irevocabile, emise de puterea judecătorească”.</w:t>
      </w:r>
    </w:p>
    <w:p w14:paraId="1DEC759F" w14:textId="77777777" w:rsidR="004B63A6" w:rsidRDefault="00C576EA">
      <w:pPr>
        <w:ind w:firstLine="709"/>
        <w:jc w:val="both"/>
      </w:pPr>
      <w:r>
        <w:t>Un alt argument pentru care, în speță, nu sunt incidente dispozițiile art. 38 alin. 6  din Legea 153 din 2017, îl reprezint jurisprudența CEDO, referitoare la executarea hotărârilor judecătorești,  ca o componentă a dreptului la un proces echitabil, prevăzut de art. 6 CEDO.</w:t>
      </w:r>
    </w:p>
    <w:p w14:paraId="136922EA" w14:textId="77777777" w:rsidR="004B63A6" w:rsidRDefault="00C576EA">
      <w:pPr>
        <w:ind w:firstLine="708"/>
        <w:jc w:val="both"/>
        <w:rPr>
          <w:rStyle w:val="Fontdeparagrafimplicit1"/>
          <w:i/>
        </w:rPr>
      </w:pPr>
      <w:r>
        <w:t>În practica CEDO s-a reținut că în situația în care</w:t>
      </w:r>
      <w:r>
        <w:rPr>
          <w:rStyle w:val="Fontdeparagrafimplicit1"/>
          <w:i/>
        </w:rPr>
        <w:t xml:space="preserve"> </w:t>
      </w:r>
      <w:r>
        <w:t>administraţia refuză sau omite să execute o hotărâre judecătorească ori întârzie în executarea acesteia, garanţiile art. 6 din Convenție de care a beneficiat justiţiabilul în faţa instanţelor judecătoreşti îşi pierd orice raţiune de a fi.</w:t>
      </w:r>
    </w:p>
    <w:p w14:paraId="436D2FCB" w14:textId="77777777" w:rsidR="004B63A6" w:rsidRDefault="00C576EA">
      <w:pPr>
        <w:ind w:firstLine="708"/>
        <w:jc w:val="both"/>
      </w:pPr>
      <w:r>
        <w:t>În jurisprudenţa sa, CEDO a constat de mai multe ori încălcarea art. 6</w:t>
      </w:r>
      <w:r>
        <w:rPr>
          <w:rStyle w:val="Fontdeparagrafimplicit1"/>
          <w:b/>
        </w:rPr>
        <w:t xml:space="preserve">, </w:t>
      </w:r>
      <w:r>
        <w:t>în cazul în care o hotărâre judecătorească definitiva nu a fost pusă în executare, reținând următoarele ”Curtea reamintește că executarea unei hotărâri definitive pronunțate de orice instanță trebuie considerată ca parte integrală din „proces” în sensul art. 6 din Convenție (Hornsby împotriva Greciei,). Statul are obligația pozitivă de a organiza un sistem pentru executarea hotărârilor judecătorești, care să fie eficient atât în drept, cât și în practică, și să asigure executarea acestora fără întârzieri nejustificate (Ruianu împotriva României,). Atunci când autoritățile sunt obligate să acționeze pentru executarea unei hotărâri și nu fac acest lucru, inacțiunea lor poate angaja răspunderea statului în raport cu art. 6 § 1 din Convenție” (Scollo împotriva Italiei, și Bushati și alții împotriva Albaniei).</w:t>
      </w:r>
    </w:p>
    <w:p w14:paraId="4ECF4ED8" w14:textId="77777777" w:rsidR="004B63A6" w:rsidRDefault="00C576EA">
      <w:pPr>
        <w:widowControl w:val="0"/>
        <w:ind w:firstLine="720"/>
        <w:jc w:val="both"/>
        <w:rPr>
          <w:rStyle w:val="Fontdeparagrafimplicit1"/>
          <w:i/>
        </w:rPr>
      </w:pPr>
      <w:r>
        <w:t xml:space="preserve">Dreptul de acces la justiţie, garantat de art. 6 din Convenţia Europeană a Drepturilor Omului, protejează şi executarea hotărârilor judecătoreşti definitive, care, într-un stat care </w:t>
      </w:r>
      <w:r>
        <w:lastRenderedPageBreak/>
        <w:t>respectă preeminenţa dreptului, nu pot rămâne fără efect în detrimentul uneia dintre părţi. În cauza Golder vs. Marea Britanie</w:t>
      </w:r>
      <w:r>
        <w:rPr>
          <w:rStyle w:val="Fontdeparagrafimplicit1"/>
          <w:b/>
        </w:rPr>
        <w:t xml:space="preserve"> </w:t>
      </w:r>
      <w:r>
        <w:t>s-a reţinut că “executarea unei hotărâri de la orice instanţa ar proveni trebuie sa fie considerata ca făcând parte integranta din proces in sensul art.6; Curtea a admis deja acest aspect in hotărârile care privesc durata procedurii” (Di Pede vs. Italia si Zappia vs. Italia).</w:t>
      </w:r>
    </w:p>
    <w:p w14:paraId="021094FB" w14:textId="77777777" w:rsidR="004B63A6" w:rsidRDefault="00C576EA">
      <w:pPr>
        <w:tabs>
          <w:tab w:val="left" w:pos="270"/>
        </w:tabs>
        <w:ind w:firstLine="720"/>
        <w:contextualSpacing/>
        <w:jc w:val="both"/>
      </w:pPr>
      <w:r>
        <w:t>În aceeaşi idee este si Hotărârea în |Cauza Hornsby vs Grecia, în care se stabilesc două chestiuni: 1. dreptul la un proces echitabil nu acoperă procedura numai până la pronunţarea hotărârii ci până la executarea acesteia 2. statul şi administraţia publica are obligaţia de a se plia unei hotărâri judecătoreşti pronunţată contra lor.</w:t>
      </w:r>
    </w:p>
    <w:p w14:paraId="513012DC" w14:textId="77777777" w:rsidR="004B63A6" w:rsidRDefault="00C576EA">
      <w:pPr>
        <w:ind w:firstLine="720"/>
        <w:contextualSpacing/>
        <w:jc w:val="both"/>
      </w:pPr>
      <w:r>
        <w:t xml:space="preserve">În fine, în cauza Beis vs. Grecia se reţine că “dreptul la instanţa ar deveni in întregime iluzoriu si teoretic daca autorităţile statului ar putea refuza, fără a încalcă art.6 al Convenţiei sa se supună unei hotărâri judecătoreşti data împotriva lor”. Acelaşi lucru este valabil si pentru instituţiile de drept public care sunt asimilate in dreptul intern într-o mare măsură statului” De asemenea, într-un Raport al comisiei in cauza sus referentiata se retine ca “refuzul unui stat care se bucura de imunitate de executare (silita) de a se supune unei hotărâri judecătoreşti prin care constituie un bun in sensul art.1 din Protocolul 1 constituie o încălcare a art.1 din Protocol”. </w:t>
      </w:r>
    </w:p>
    <w:p w14:paraId="3C506C2C" w14:textId="77777777" w:rsidR="004B63A6" w:rsidRDefault="00C576EA">
      <w:pPr>
        <w:ind w:firstLine="709"/>
        <w:jc w:val="both"/>
      </w:pPr>
      <w:r>
        <w:t>În consecinţă, pentru toate considerentele de fapt și de drept anterior expuse, instanța  a reținut că, în speță, nu este incidentă plafonarea/limitarea prevăzută de art. 38 alin. 6 din Legea nr. 153 din 2017, o interpretare contrară ar</w:t>
      </w:r>
      <w:r>
        <w:rPr>
          <w:rStyle w:val="Fontdeparagrafimplicit1"/>
          <w:b/>
          <w:i/>
        </w:rPr>
        <w:t xml:space="preserve"> </w:t>
      </w:r>
      <w:r>
        <w:t>lipsi o hotărâre definitivă/irevocabilă de caracterul ei executoriu, ceea ce reprezintă o încălcare a ordinii juridice a statului de drept, o obstrucţionare a bunei funcţionări a justiţiei, încălcând art. 6 CEDO.</w:t>
      </w:r>
    </w:p>
    <w:p w14:paraId="7452B430" w14:textId="77777777" w:rsidR="004B63A6" w:rsidRDefault="00C576EA">
      <w:pPr>
        <w:ind w:firstLine="655"/>
        <w:jc w:val="both"/>
        <w:rPr>
          <w:rStyle w:val="Fontdeparagrafimplicit1"/>
          <w:b/>
        </w:rPr>
      </w:pPr>
      <w:r>
        <w:tab/>
        <w:t>În ceea ce privește data de la care instanța va dispune recalcularea indemnizației de încadrare, deși reclamantele au solicitat acordarea acestor drepturi, începând cu data de 20.07.2018, data publicării în Monitorul Oficial a Legii nr. 207/2018 prin care a fost modificată Legea 304/2004, înființându-se Secția pentru Investigarea Infracțiunilor din Justiție, instanța a apreciat că aceasta solicitare este întemeiată doar începând cu data de 16.10.2018.</w:t>
      </w:r>
    </w:p>
    <w:p w14:paraId="23D79E55" w14:textId="77777777" w:rsidR="004B63A6" w:rsidRDefault="00C576EA">
      <w:pPr>
        <w:ind w:firstLine="708"/>
        <w:jc w:val="both"/>
      </w:pPr>
      <w:r>
        <w:t xml:space="preserve">În acest sens, instanța a avut în vedere că, deși prin Legea nr. 207 din 2018, lege în vigoare începând cu luna iulie a anului 2018, a fost modificată Legea nr. 304 din 2004 si a fost înființată Secția pentru Investigarea Infracțiunilor din Justiție, această formă a legii nu a introdus si art. 88  indice 2 alin. 5 din Legea nr. 304 din 2004, dispoziție legală care prevede în cazul procurorilor din cadrul acestei structuri, o majorare salarială în cuantum de 2% din indemnizaţia de încadrare. </w:t>
      </w:r>
    </w:p>
    <w:p w14:paraId="21E1F753" w14:textId="77777777" w:rsidR="004B63A6" w:rsidRDefault="00C576EA">
      <w:pPr>
        <w:ind w:firstLine="709"/>
        <w:jc w:val="both"/>
        <w:rPr>
          <w:rStyle w:val="Fontdeparagrafimplicit1"/>
          <w:i/>
        </w:rPr>
      </w:pPr>
      <w:r>
        <w:t>Legea nr. 304 din 2004 a fost modificată si în luna octombrie a anului 2018, când prin OUG nr. 92/15.10.2018 pentru modificarea si completarea unor acte normative în domeniul justiției, publicată în Monitorul Oficial nr. 874 din 16 octombrie 2018, Legea nr. 304/2004 a fost completată și a fost introdus art. 88 ind. 2, alineatul 5, potrivit căruia ”pe durata desfășurării activității in cadrul Secției pentru Investigarea Infracțiunilor din Justiție, procurorii cu funcții de conducere si execuție beneficiază de drepturile procurorilor detașați în condițiile legii”.</w:t>
      </w:r>
    </w:p>
    <w:p w14:paraId="74D9F9D3" w14:textId="77777777" w:rsidR="004B63A6" w:rsidRDefault="00C576EA">
      <w:pPr>
        <w:ind w:firstLine="708"/>
        <w:jc w:val="both"/>
      </w:pPr>
      <w:r>
        <w:t>În consecință, instanța a preciat că doar de la data de 16.10.2018 pot fi admise pretențiile reclamantelor şi până la data de 13.03.2022, când a fost desfiinţată Secţia pentru Investigarea Infracţiunilor din Justiţie din cadrul Parchetului de pe lângă Înalta Curte de Casaţie şi Justiţie, prin Legea nr. 49/2022.</w:t>
      </w:r>
    </w:p>
    <w:p w14:paraId="69520936" w14:textId="77777777" w:rsidR="004B63A6" w:rsidRDefault="00C576EA">
      <w:pPr>
        <w:ind w:firstLine="720"/>
        <w:jc w:val="both"/>
      </w:pPr>
      <w:bookmarkStart w:id="5" w:name="_Hlk34647974"/>
      <w:bookmarkStart w:id="6" w:name="_Hlk103344666"/>
      <w:r>
        <w:t xml:space="preserve">Având în vedere că natura juridică a dobânzii este diferită de natura juridică a actualizării obligaţiei cu rata inflaţiei, prima reprezentând o sancţiune (daune moratorii pentru neexecutarea obligaţiei de plată), iar a doua valoarea reală a obligaţiei băneşti la data efectuării plăţii (daune compensatorii), rezultă că este admisibil cumulul acestora şi, deci, nu se ajunge la o dublă reparaţie. Prin acordarea dobânzii se urmăreşte sancţionarea debitorului pentru executarea cu întârziere a obligaţiei care îi incumbă, pe când prin actualizarea debitului se urmăreşte acoperirea unui prejudiciu efectiv cauzat de fluctuaţiile monetare în intervalul de timp scurs de la data scadenţei până la plata efectivă a sumei datorate. </w:t>
      </w:r>
    </w:p>
    <w:p w14:paraId="0B385CAC" w14:textId="77777777" w:rsidR="004B63A6" w:rsidRDefault="00C576EA">
      <w:pPr>
        <w:ind w:firstLine="720"/>
        <w:jc w:val="both"/>
      </w:pPr>
      <w:r>
        <w:lastRenderedPageBreak/>
        <w:t>Actualizarea se constituie într-o modalitate de reparare a pierderii suferite de creditor, în timp ce dobânda urmăreşte acoperirea beneficiului nerealizat.</w:t>
      </w:r>
    </w:p>
    <w:bookmarkEnd w:id="5"/>
    <w:p w14:paraId="0C47F639" w14:textId="77777777" w:rsidR="004B63A6" w:rsidRDefault="00C576EA">
      <w:pPr>
        <w:ind w:firstLine="720"/>
        <w:jc w:val="both"/>
      </w:pPr>
      <w:r>
        <w:t>Cu privire la plata dobânzii şi acordarea actualizării sumelor datorate funcţie de indicele de inflaţie instanţa a apreciat că pot fi acordate cumulat întrucât sunt două instituţii distincte. În timp ce dobânda reprezintă preţul lipsei de folosinţă, actualizarea cu rata inflaţiei urmăreşte păstrarea valorii reale a obligaţiilor băneşti. Acordarea dobânzii nu exclude actualizarea debitului deoarece acestea au temeiuri şi sporuri diferite. Dobânda îşi are temeiul în art. 1489 Cod civil, iar actualizarea îşi are raţiunea în respectarea principiului reparării integrale a pagubei. Prin acordarea dobânzii se urmăreşte sancţionarea debitorului pentru executarea cu întârziere a obligaţiei care îi incumbă, pe când prin actualizarea debitului se urmăreşte acoperirea unui prejudiciu efectiv cauzat de fluctuaţiile monetare în intervalul scurs de la data scadenţei şi cea a plăţii efective a sumei datorate.</w:t>
      </w:r>
    </w:p>
    <w:bookmarkEnd w:id="6"/>
    <w:p w14:paraId="3FBDA3FA" w14:textId="77777777" w:rsidR="004B63A6" w:rsidRDefault="00C576EA">
      <w:pPr>
        <w:ind w:firstLine="655"/>
        <w:jc w:val="both"/>
      </w:pPr>
      <w:r>
        <w:t xml:space="preserve"> Reclamantele au mai solicitat si acordarea tuturor drepturilor salariale specifice personalului detașat de care beneficiază procurorii din cadrul S.I.I.J, însă nu a fost administrată nici o probă din care să rezultă că aceasta categorie de procurori beneficiază si de alte drepturi, dimpotrivă reclamantele au solicitat emiterea unei adrese către Ministerul Public - Parchetul de pe lângă Înalta Curte de Casație și Justiție, cu solicitarea de a comunica dacă procurorii din cadrul S.I.I.J beneficiază de drepturile recunoscute conform art. 88 ind. 2, alineatul 5 din Legea nr. 304 din 2004, si daca aceştia sunt numiți sau sunt delegați, motiv pentru care instanța a reținut că discriminarea dintre reclamante si procurorii care își desfăşoară activitatea în cadrul S.I.I.J, vizează doar suma acordată potrivit art. 88  indice 2 alin. 5 din Legea nr. 304 din 2004 coroborat cu art. 13 alin. 1 lit. a din OUG nr. 27 din 2006.</w:t>
      </w:r>
    </w:p>
    <w:p w14:paraId="69487B4B" w14:textId="77777777" w:rsidR="004B63A6" w:rsidRDefault="00C576EA">
      <w:pPr>
        <w:ind w:firstLine="655"/>
        <w:jc w:val="both"/>
      </w:pPr>
      <w:r>
        <w:t>Pentru toate considerentele de fapt și de drept anterior expuse, instanța a admis în parte acțiunea, conform dispozitivului.</w:t>
      </w:r>
    </w:p>
    <w:p w14:paraId="1CAEE568" w14:textId="63889654" w:rsidR="004B63A6" w:rsidRDefault="00C576EA">
      <w:pPr>
        <w:jc w:val="both"/>
      </w:pPr>
      <w:r>
        <w:tab/>
      </w:r>
      <w:r>
        <w:rPr>
          <w:rStyle w:val="Fontdeparagrafimplicit1"/>
          <w:b/>
        </w:rPr>
        <w:t>Împotriva</w:t>
      </w:r>
      <w:r>
        <w:t xml:space="preserve"> </w:t>
      </w:r>
      <w:r>
        <w:rPr>
          <w:rStyle w:val="Fontdeparagrafimplicit1"/>
          <w:b/>
        </w:rPr>
        <w:t>acestei hotărâri, în termenul legal</w:t>
      </w:r>
      <w:r>
        <w:t xml:space="preserve">, </w:t>
      </w:r>
      <w:r>
        <w:rPr>
          <w:rStyle w:val="Fontdeparagrafimplicit1"/>
          <w:b/>
        </w:rPr>
        <w:t xml:space="preserve">a declarat apel pârâtul Parchetul de pe lângă Tribunalul </w:t>
      </w:r>
      <w:r w:rsidR="00CD6578">
        <w:rPr>
          <w:rStyle w:val="Fontdeparagrafimplicit1"/>
          <w:b/>
        </w:rPr>
        <w:t>Z</w:t>
      </w:r>
      <w:r>
        <w:t>, solicitând admiterea acestuia.</w:t>
      </w:r>
    </w:p>
    <w:p w14:paraId="7CA3959A" w14:textId="77777777" w:rsidR="004B63A6" w:rsidRDefault="00C576EA">
      <w:pPr>
        <w:ind w:firstLine="708"/>
        <w:jc w:val="both"/>
      </w:pPr>
      <w:bookmarkStart w:id="7" w:name="_Hlk144718547"/>
      <w:r>
        <w:t>Prin motivele de apel s-a arătat, în esență, că sentința atacată este nelegală și netemeinică în ceea ce privește admiterea cererii de chemare în judecată, în sensul incidenței în litigiu a prevederilor art. 38 alin. 6 din Legea nr. 153/2017 fiind invocată Decizia nr. 200/2019, Decizia nr. 134/2020, Decizia nr. 524/2020, Decizia nr. 617/2021, Decizia nr. 700/2019, Decizia nr. 624/2020, Decizia nr. 617/2021 pronunțate de Curtea Constituțională în soluționarea unor excepții de neconstituționalitate.</w:t>
      </w:r>
    </w:p>
    <w:p w14:paraId="2AAF3872" w14:textId="77777777" w:rsidR="004B63A6" w:rsidRDefault="00C576EA">
      <w:pPr>
        <w:ind w:firstLine="708"/>
        <w:jc w:val="both"/>
      </w:pPr>
      <w:r>
        <w:t>Referitor la data de la care instanța a dispus recalcularea indemnizației de încadrare apreciază că această solicitare poate avea caracter întemeiat doar începând cu data de 19.10.2018, deoarece deși prin Legea nr. 207/2018 (în vigoare din iulie 2018) a fost modificată Legea nr. 304/2004 și înființată Secția pentru Investigarea Infracțiunilor din Justiție, această formă a legii nu a introdus și art. 88 indice 2 alin. 5 din Legea nr. 304/2004, dispoziție legală care prevede în cazul procurorilor din cadrul acestei structuri o majorare salarială de 2%.</w:t>
      </w:r>
    </w:p>
    <w:p w14:paraId="1F153EDD" w14:textId="77777777" w:rsidR="004B63A6" w:rsidRDefault="00C576EA">
      <w:pPr>
        <w:ind w:firstLine="708"/>
        <w:jc w:val="both"/>
      </w:pPr>
      <w:r>
        <w:t>Legea nr. 304/2004 a fost modificată și în luna octombrie a anului 2018, prin OUG nr. 92/15.10.2018 publicată în M.Of. nr. 874/16 octombrie 2018, acesta fiind momentul introducerii art. 88 indice 2 , alineatul 5, acesta fiind motivul pentru care pretențiile reclamantelor pot fi admise cel mult de la data de 19.10.2018.</w:t>
      </w:r>
    </w:p>
    <w:p w14:paraId="0D1968C6" w14:textId="77777777" w:rsidR="004B63A6" w:rsidRDefault="00C576EA">
      <w:pPr>
        <w:ind w:firstLine="708"/>
        <w:jc w:val="both"/>
      </w:pPr>
      <w:r>
        <w:t>În ceea ce privește fondul cauzei s-a invocat art. 8 alin. 1 secțiunea a 2 a, Capitolul VIII, Anexa V din Legea nr. 153/2017 alături de Decizia nr. 794/2016 a Curții Constituționale, arătându-se că în speță, reclamantele nu dețin un grad profesional corespunzător unui procuror de la Parchetul de lângă ÎCCJ pentru a fi îndreptățit la a fi salarizat la acest nivel.</w:t>
      </w:r>
    </w:p>
    <w:p w14:paraId="22D52828" w14:textId="77777777" w:rsidR="004B63A6" w:rsidRDefault="00C576EA">
      <w:pPr>
        <w:ind w:firstLine="708"/>
        <w:jc w:val="both"/>
      </w:pPr>
      <w:r>
        <w:t>În continuare au fost reluate în ordine cronologică o serie de aspecte legislative vizând salarizarea procurorilor, fiind menționat faptul că Legea nr. 153/2017 se aplică etapizat dar și că reclamantele nu dețin vechimea necesară efectivă de 18 ani în magistratură neputând participa așadar la concursul pentru ocuparea unui post SIIJ.</w:t>
      </w:r>
    </w:p>
    <w:p w14:paraId="66725128" w14:textId="77777777" w:rsidR="004B63A6" w:rsidRDefault="00C576EA">
      <w:pPr>
        <w:jc w:val="both"/>
      </w:pPr>
      <w:r>
        <w:tab/>
        <w:t xml:space="preserve">A mai precizat că raționamentul potrivit căruia din coroborarea dispozițiilor alin. 2 și 5 ale art. 88 indice 2 din Legea nr. 207/2018 ar rezulta existența unei creșteri salariale mascate, nu poate fi susținut în condițiile în care alin. 2 are menirea de a exclude posibilitatea ocupării </w:t>
      </w:r>
      <w:r>
        <w:lastRenderedPageBreak/>
        <w:t>celor 15 posturi SIIJ prin delegarea sau detașarea unor procurori ce îndeplinesc condițiile legale ocupării posturilor, însă nu se prezintă la examen.</w:t>
      </w:r>
    </w:p>
    <w:p w14:paraId="4AA06870" w14:textId="77777777" w:rsidR="004B63A6" w:rsidRDefault="00C576EA">
      <w:pPr>
        <w:jc w:val="both"/>
      </w:pPr>
      <w:r>
        <w:tab/>
        <w:t>În contra opiniei reclamantelor, a formulat trimitere la Decizia nr. 289/07.06.2005 a Curții constituționale, respectiv jurisprudență CEDO.</w:t>
      </w:r>
    </w:p>
    <w:p w14:paraId="06D362AA" w14:textId="77777777" w:rsidR="004B63A6" w:rsidRDefault="00C576EA">
      <w:pPr>
        <w:jc w:val="both"/>
      </w:pPr>
      <w:r>
        <w:tab/>
        <w:t>De asemenea, privitor la repararea prejudiciului, a menționat că legea bugetului de stat, prin care sunt alocate către Ministerului Public fondurile pentru plata drepturilor de personal, nu cuprinde un capitol distinct pentru acordarea ulterioară a unei sume de bani peste cea datorată, chiar reprezentând indicele de inflație.</w:t>
      </w:r>
    </w:p>
    <w:p w14:paraId="767CBC4B" w14:textId="77777777" w:rsidR="004B63A6" w:rsidRDefault="00C576EA">
      <w:pPr>
        <w:jc w:val="both"/>
      </w:pPr>
      <w:r>
        <w:tab/>
        <w:t>S-a mai arătat că în eventualitatea admiterii cererii de chemare în judecată, executarea ar fi supusă prevederilor art. 39 alin. 4 și 5 din OUG nr. 114/2018, or, instituțiile pârâte nu pot fi obligate la plată atâta vreme cât nu se poate reține în sarcina acestora o atitudine subiectivă în lipsa emiterii actelor administrative de salarizare.</w:t>
      </w:r>
    </w:p>
    <w:p w14:paraId="2A506D5A" w14:textId="77777777" w:rsidR="004B63A6" w:rsidRDefault="00C576EA">
      <w:pPr>
        <w:jc w:val="both"/>
      </w:pPr>
      <w:r>
        <w:tab/>
        <w:t>În drept, apelantul a invocat art. 466, art. 411 alin. 1 pct. 2 Cod Procedură Civilă.</w:t>
      </w:r>
    </w:p>
    <w:bookmarkEnd w:id="7"/>
    <w:p w14:paraId="6A7FE2F2" w14:textId="77777777" w:rsidR="004B63A6" w:rsidRDefault="00C576EA">
      <w:pPr>
        <w:jc w:val="both"/>
      </w:pPr>
      <w:r>
        <w:tab/>
      </w:r>
      <w:r>
        <w:rPr>
          <w:rStyle w:val="Fontdeparagrafimplicit1"/>
          <w:b/>
        </w:rPr>
        <w:t>Împotriva</w:t>
      </w:r>
      <w:r>
        <w:t xml:space="preserve"> </w:t>
      </w:r>
      <w:r>
        <w:rPr>
          <w:rStyle w:val="Fontdeparagrafimplicit1"/>
          <w:b/>
        </w:rPr>
        <w:t>aceleiași hotărâri, în termenul legal,</w:t>
      </w:r>
      <w:r>
        <w:t xml:space="preserve"> </w:t>
      </w:r>
      <w:r>
        <w:rPr>
          <w:rStyle w:val="Fontdeparagrafimplicit1"/>
          <w:b/>
        </w:rPr>
        <w:t>a declarat apel pârâtul Ministerul Public – Parchetul de pe lângă Înalta Curte de Casație și Justiție</w:t>
      </w:r>
      <w:r>
        <w:t xml:space="preserve">, solicitând schimbarea în tot a sentinței apelate, admiterea </w:t>
      </w:r>
      <w:bookmarkStart w:id="8" w:name="_Hlk144726470"/>
      <w:r>
        <w:t>excepției lipsei calității procesuale pasive a Parchetului de pe lângă ÎCCJ</w:t>
      </w:r>
      <w:bookmarkEnd w:id="8"/>
      <w:r>
        <w:t>, respingerea acțiunii ca fiind introdusă împotriva unei persoane fără calitate procesuală pasivă, respingerea acțiunii ca neîntemeiată.</w:t>
      </w:r>
    </w:p>
    <w:p w14:paraId="4732422B" w14:textId="77777777" w:rsidR="004B63A6" w:rsidRDefault="00C576EA">
      <w:pPr>
        <w:jc w:val="both"/>
      </w:pPr>
      <w:r>
        <w:tab/>
        <w:t>A precizat apelantul că în mod greșit a respins prima instanță excepția lipsei calității procesuale pasive deoarece în perioada supusă analizei, reclamantele nu au funcționat în cadrul Parchetului de pe lângă ÎCCJ, fiind incidente (mutatis mutandis) considerentele Deciziei nr. 13/2016 a ÎCCJ pronunțată în soluționarea unui recurs în interesul legii. În sensul celor de mai sus, calitatea de ordonator principal de credite a conducătorului unei autorități publice nu conferă automat acesteia și calitatea de pârâtă.</w:t>
      </w:r>
    </w:p>
    <w:p w14:paraId="6E2146CE" w14:textId="77777777" w:rsidR="004B63A6" w:rsidRDefault="00C576EA">
      <w:pPr>
        <w:ind w:firstLine="708"/>
        <w:jc w:val="both"/>
      </w:pPr>
      <w:r>
        <w:t>S-a mai precizat că prima instanță a calificat în mod greșit natura dreptului pretins, nefiind vorba despre o majorare salarială (fila 20 din hotărârea atacată), ci diurna de 2% din indemnizația de încadrare, prevăzută de art. 13 alin. 1 din OUG nr. 27/2006. Or, potrivit Codului Fiscal, diurna nu este inclusă în categoria veniturilor salariale, conform textelor de lege fiind vorba despre un venit neimpozabil, spre deosebire de indemnizații/salarii, care sunt venituri impozabile, așadar diurna nu urmează regulile salariului.</w:t>
      </w:r>
    </w:p>
    <w:p w14:paraId="0DA64F37" w14:textId="77777777" w:rsidR="004B63A6" w:rsidRDefault="00C576EA">
      <w:pPr>
        <w:ind w:firstLine="708"/>
        <w:jc w:val="both"/>
      </w:pPr>
      <w:r>
        <w:t>Deși prima instanță a înlăturat de la aplicare art. 38 alin. 6 din Legea nr. 153/2017, în lipsa unei modificări legislative sau a unei invalidări a legii de către Curtea Constituțională, dispoziția legală mai sus menționată este pe deplin aplicabilă.</w:t>
      </w:r>
    </w:p>
    <w:p w14:paraId="4039A68E" w14:textId="77777777" w:rsidR="004B63A6" w:rsidRDefault="00C576EA">
      <w:pPr>
        <w:jc w:val="both"/>
      </w:pPr>
      <w:r>
        <w:tab/>
        <w:t>Au fost invocate prevederile art. 1 alin. 1 din Legea nr. 49/2022, art. 88 indice 2 alin. 5 din Legea nr. 304/2004, respectiv art. 13 alin. 1 lit. a din OUG nr. 27/2006, cu mențiunea că în cauză nu sunt întrunite cerințele prevăzute de lege pentru acordarea diurnei.</w:t>
      </w:r>
    </w:p>
    <w:p w14:paraId="7EB76A8D" w14:textId="77777777" w:rsidR="004B63A6" w:rsidRDefault="00C576EA">
      <w:pPr>
        <w:jc w:val="both"/>
      </w:pPr>
      <w:r>
        <w:tab/>
        <w:t>De asemenea,  a arătat că în conformitate cu art. 13 alin. 3 din OUG nr. 27/2006, alin. 1 al aceluiași articol se completează cu HG nr. 1860/2006 și HG nr. 714/2018, cele din urmă texte normative nefiind verificate de prima instanță în vederea îndeplinirii condițiilor pentru acordarea diurnei.</w:t>
      </w:r>
    </w:p>
    <w:p w14:paraId="5D7FA2AD" w14:textId="4A53344F" w:rsidR="004B63A6" w:rsidRDefault="00C576EA">
      <w:pPr>
        <w:jc w:val="both"/>
      </w:pPr>
      <w:r>
        <w:tab/>
        <w:t xml:space="preserve">În continuare a fost invocat conținutul adresei nr. </w:t>
      </w:r>
      <w:r w:rsidR="00F050DE">
        <w:t>...</w:t>
      </w:r>
      <w:r>
        <w:t xml:space="preserve">/2022 din 06.01.2022 a secției de resurse umane și documentare, conform căreia procurorii din cadrul SIIJ, fără domiciliu în </w:t>
      </w:r>
      <w:r w:rsidR="00CD6578">
        <w:t>B</w:t>
      </w:r>
      <w:r>
        <w:t>, beneficiau de drepturile procurorilor detașați (inclusiv 2%), drepturi neincluse în indemnizația de încadrare, or, ținând cont că reclamantele nu au funcționat în cadrul Secției pentru investigarea infracțiunilor din justiție, nu beneficiază de niciunul dintre drepturile prevăzute de art. 88 indice 2 alin. 5 din Legea nr. 304/2004.</w:t>
      </w:r>
    </w:p>
    <w:p w14:paraId="04909FA4" w14:textId="77777777" w:rsidR="004B63A6" w:rsidRDefault="00C576EA">
      <w:pPr>
        <w:jc w:val="both"/>
      </w:pPr>
      <w:r>
        <w:tab/>
        <w:t>Totodată, a menționat că dispoziția legală mai sus menționată nu instituie nicio formă de discriminare, în acest sens fiind invocate considerentele Deciziei nr. 289/2005 a Curții Constituționale, respectiv deciziile nr. 818-821 din 2008 pronunțate de aceeași instanță.</w:t>
      </w:r>
    </w:p>
    <w:p w14:paraId="3B49136C" w14:textId="77777777" w:rsidR="004B63A6" w:rsidRDefault="00C576EA">
      <w:pPr>
        <w:jc w:val="both"/>
      </w:pPr>
      <w:r>
        <w:tab/>
        <w:t>Apreciază că atâta vreme cât reclamantele contestă o dispoziție dintr-o lege organică, respectiv art. 88 indice 2 alin. 5 din Legea nr. 304/2004, menținerea soluției primei instanțe ar echivala cu depășirea atribuțiilor puterii judecătorești.</w:t>
      </w:r>
    </w:p>
    <w:p w14:paraId="7D7ADC97" w14:textId="77777777" w:rsidR="004B63A6" w:rsidRDefault="00C576EA">
      <w:pPr>
        <w:jc w:val="both"/>
      </w:pPr>
      <w:r>
        <w:tab/>
        <w:t>În drept a invocat art. 411 alin. 1 pct. 2 teza finală cod Procedură Civilă.</w:t>
      </w:r>
    </w:p>
    <w:p w14:paraId="6D6D7C32" w14:textId="64ACDC76" w:rsidR="004B63A6" w:rsidRDefault="00C576EA">
      <w:pPr>
        <w:ind w:firstLine="708"/>
        <w:jc w:val="both"/>
      </w:pPr>
      <w:r>
        <w:rPr>
          <w:rStyle w:val="Fontdeparagrafimplicit1"/>
          <w:b/>
        </w:rPr>
        <w:lastRenderedPageBreak/>
        <w:t>Împotriva</w:t>
      </w:r>
      <w:r>
        <w:t xml:space="preserve"> </w:t>
      </w:r>
      <w:r>
        <w:rPr>
          <w:rStyle w:val="Fontdeparagrafimplicit1"/>
          <w:b/>
        </w:rPr>
        <w:t>aceleiași hotărâri, în termenul legal</w:t>
      </w:r>
      <w:r>
        <w:t xml:space="preserve">, </w:t>
      </w:r>
      <w:r>
        <w:rPr>
          <w:rStyle w:val="Fontdeparagrafimplicit1"/>
          <w:b/>
        </w:rPr>
        <w:t xml:space="preserve">a declarat apel și pârâtul Parchetul de pe lângă Curtea de Apel </w:t>
      </w:r>
      <w:r w:rsidR="00CD6578">
        <w:rPr>
          <w:rStyle w:val="Fontdeparagrafimplicit1"/>
          <w:b/>
        </w:rPr>
        <w:t>X</w:t>
      </w:r>
      <w:r>
        <w:t>, solicitând admiterea acestuia și arătând că sentința atacată este nelegală și netemeinică în ceea ce privește admiterea cererii de chemare în judecată.</w:t>
      </w:r>
    </w:p>
    <w:p w14:paraId="1C42875F" w14:textId="77777777" w:rsidR="004B63A6" w:rsidRDefault="00C576EA">
      <w:pPr>
        <w:jc w:val="both"/>
      </w:pPr>
      <w:r>
        <w:tab/>
        <w:t>Prin motivele de apel s-a arătat, în esență, că sentința atacată este nelegală și netemeinică în ceea ce privește admiterea cererii de chemare în judecată, în sensul incidenței în litigiu a prevederilor art. 38 alin. 6 din Legea nr. 153/2017 fiind invocată Decizia nr. 200/2019, Decizia nr. 134/2020, Decizia nr. 524/2020, Decizia nr. 617/2021, Decizia nr. 700/2019, Decizia nr. 624/2020, Decizia nr. 617/2021 pronunțate de Curtea Constituțională în soluționarea unor excepții de neconstituționalitate.</w:t>
      </w:r>
    </w:p>
    <w:p w14:paraId="3F500F12" w14:textId="77777777" w:rsidR="004B63A6" w:rsidRDefault="00C576EA">
      <w:pPr>
        <w:ind w:firstLine="708"/>
        <w:jc w:val="both"/>
      </w:pPr>
      <w:r>
        <w:t>Referitor la data de la care instanța a dispus recalcularea indemnizației de încadrare apreciază că această solicitare poate avea caracter întemeiat doar începând cu data de 19.10.2018, deoarece deși prin Legea nr. 207/2018 (în vigoare din iulie 2018) a fost modificată Legea nr. 304/2004 și înființată Secția pentru Investigarea Infracțiunilor din Justiție, această formă a legii nu a introdus și art. 88 indice 2 alin. 5 din Legea nr. 304/2004, dispoziție legală care prevede în cazul procurorilor din cadrul acestei structuri o majorare salarială de 2%.</w:t>
      </w:r>
    </w:p>
    <w:p w14:paraId="7D5EEAEB" w14:textId="77777777" w:rsidR="004B63A6" w:rsidRDefault="00C576EA">
      <w:pPr>
        <w:ind w:firstLine="708"/>
        <w:jc w:val="both"/>
      </w:pPr>
      <w:r>
        <w:t>Legea nr. 304/2004 a fost modificată și în luna octombrie a anului 2018, prin OUG nr. 92/15.10.2018 publicată în M.Of. nr. 874/16 octombrie 2018, acesta fiind momentul introducerii art. 88 indice 2 , alineatul 5, acesta fiind motivul pentru care pretențiile reclamantelor pot fi admise cel mult de la data de 19.10.2018.</w:t>
      </w:r>
    </w:p>
    <w:p w14:paraId="3D674137" w14:textId="77777777" w:rsidR="004B63A6" w:rsidRDefault="00C576EA">
      <w:pPr>
        <w:ind w:firstLine="708"/>
        <w:jc w:val="both"/>
      </w:pPr>
      <w:r>
        <w:t>În ceea ce privește fondul cauzei s-a invocat art. 8 alin. 1 secțiunea a 2 a, Capitolul VIII, Anexa V din Legea nr. 153/2017 alături de Decizia nr. 794/2016 a Curții Constituționale, arătându-se că în speță, reclamantele nu dețin un grad profesional corespunzător unui procuror de la Parchetul de lângă ÎCCJ pentru a fi îndreptățit la a fi salarizat la acest nivel.</w:t>
      </w:r>
    </w:p>
    <w:p w14:paraId="3D3DC0F5" w14:textId="77777777" w:rsidR="004B63A6" w:rsidRDefault="00C576EA">
      <w:pPr>
        <w:jc w:val="both"/>
      </w:pPr>
      <w:r>
        <w:t>În continuare au fost reluate în ordine cronologică o serie de aspecte legislative vizând salarizarea procurorilor, fiind menționat faptul că Legea nr. 153/2017 se aplică etapizat dar și că reclamantele nu dețin vechimea necesară efectivă de 18 ani în magistratură neputând participa așadar la concursul pentru ocuparea unui post SIIJ.</w:t>
      </w:r>
    </w:p>
    <w:p w14:paraId="05205904" w14:textId="77777777" w:rsidR="004B63A6" w:rsidRDefault="00C576EA">
      <w:pPr>
        <w:jc w:val="both"/>
      </w:pPr>
      <w:r>
        <w:tab/>
        <w:t>A mai precizat că raționamentul potrivit căruia din coroborarea dispozițiilor alin. 2 și 5 ale art. 88 indice 2 din Legea nr. 207/2018 ar rezulta existența unei creșteri salariale mascate, nu poate fi susținut în condițiile în care alin. 2 are menirea de a exclude posibilitatea ocupării celor 15 posturi SIIJ prin delegarea sau detașarea unor procurori ce îndeplinesc condițiile legale ocupării posturilor, însă nu se prezintă la examen.</w:t>
      </w:r>
    </w:p>
    <w:p w14:paraId="4503920B" w14:textId="77777777" w:rsidR="004B63A6" w:rsidRDefault="00C576EA">
      <w:pPr>
        <w:jc w:val="both"/>
      </w:pPr>
      <w:r>
        <w:tab/>
        <w:t>În contra opiniei reclamantelor, a formulat trimitere la Decizia nr. 289/07.06.2005 a Curții constituționale, respectiv jurisprudență CEDO.</w:t>
      </w:r>
    </w:p>
    <w:p w14:paraId="3506948D" w14:textId="77777777" w:rsidR="004B63A6" w:rsidRDefault="00C576EA">
      <w:pPr>
        <w:jc w:val="both"/>
      </w:pPr>
      <w:r>
        <w:tab/>
        <w:t>De asemenea, privitor la repararea prejudiciului, a menționat că legea bugetului de stat, prin care sunt alocate către Ministerului Public fondurile pentru plata drepturilor de personal, nu cuprinde un capitol distinct pentru acordarea ulterioară a unei sume de bani peste cea datorată, chiar reprezentând indicele de inflație.</w:t>
      </w:r>
    </w:p>
    <w:p w14:paraId="587DB5EB" w14:textId="77777777" w:rsidR="004B63A6" w:rsidRDefault="00C576EA">
      <w:pPr>
        <w:jc w:val="both"/>
      </w:pPr>
      <w:r>
        <w:tab/>
        <w:t>S-a mai arătat că în eventualitatea admiterii cererii de chemare în judecată, executarea ar fi supusă prevederilor art. 39 alin. 4 și 5 din OUG nr. 114/2018, or, instituțiile pârâte nu pot fi obligate la plată atâta vreme cât nu se poate reține în sarcina acestora o atitudine subiectivă în lipsa emiterii actelor administrative de salarizare.</w:t>
      </w:r>
    </w:p>
    <w:p w14:paraId="69B8EA43" w14:textId="77777777" w:rsidR="004B63A6" w:rsidRDefault="00C576EA">
      <w:pPr>
        <w:jc w:val="both"/>
      </w:pPr>
      <w:r>
        <w:tab/>
        <w:t>În drept a invocat art. 466, art. 411 alin. 1 pct. 2 Cod Procedură Civilă.</w:t>
      </w:r>
    </w:p>
    <w:p w14:paraId="75FFE9C6" w14:textId="77777777" w:rsidR="004B63A6" w:rsidRDefault="00C576EA">
      <w:pPr>
        <w:ind w:firstLine="708"/>
        <w:jc w:val="both"/>
        <w:rPr>
          <w:rStyle w:val="Fontdeparagrafimplicit1"/>
        </w:rPr>
      </w:pPr>
      <w:r>
        <w:rPr>
          <w:rStyle w:val="Fontdeparagrafimplicit1"/>
          <w:b/>
        </w:rPr>
        <w:t>Intimatele reclamante nu au formulat întâmpinare la apeluri.</w:t>
      </w:r>
    </w:p>
    <w:p w14:paraId="75B83E2C" w14:textId="77777777" w:rsidR="004B63A6" w:rsidRDefault="00C576EA">
      <w:pPr>
        <w:ind w:firstLine="708"/>
        <w:jc w:val="both"/>
        <w:rPr>
          <w:rStyle w:val="Fontdeparagrafimplicit1"/>
          <w:b/>
        </w:rPr>
      </w:pPr>
      <w:r>
        <w:rPr>
          <w:rStyle w:val="Fontdeparagrafimplicit1"/>
          <w:b/>
        </w:rPr>
        <w:t>Examinând sentinţa apelată prin prisma motivelor de apel cât şi din oficiu, Curtea constată următoarele:</w:t>
      </w:r>
    </w:p>
    <w:p w14:paraId="383617E5" w14:textId="78660248" w:rsidR="004B63A6" w:rsidRDefault="00C576EA">
      <w:pPr>
        <w:ind w:firstLine="708"/>
        <w:jc w:val="both"/>
      </w:pPr>
      <w:r>
        <w:t xml:space="preserve">Prin acțiunea formulată, reclamantele </w:t>
      </w:r>
      <w:r w:rsidR="00CD6578">
        <w:t>BLM</w:t>
      </w:r>
      <w:r>
        <w:t xml:space="preserve"> și </w:t>
      </w:r>
      <w:r w:rsidR="00CD6578">
        <w:t>SA</w:t>
      </w:r>
      <w:r>
        <w:t>, în contradictoriu cu pârâţii</w:t>
      </w:r>
      <w:r>
        <w:rPr>
          <w:rStyle w:val="Fontdeparagrafimplicit1"/>
          <w:b/>
        </w:rPr>
        <w:t xml:space="preserve"> </w:t>
      </w:r>
      <w:r>
        <w:t xml:space="preserve">Ministerul Public - Parchetul de pe lângă Înalta Curte de Casaţie și Justiţie, Parchetul de pe lângă Curtea de Apel </w:t>
      </w:r>
      <w:r w:rsidR="00CD6578">
        <w:t>X</w:t>
      </w:r>
      <w:r>
        <w:t xml:space="preserve">, Parchetul de pe lângă Tribunalul </w:t>
      </w:r>
      <w:r w:rsidR="00CD6578">
        <w:t>Z</w:t>
      </w:r>
      <w:r>
        <w:t xml:space="preserve">, cu Citarea Consiliului Naţional pentru Combaterea Discriminării, au solicitat instanței de judecată pronunțarea unei sentințe prin care să dispună, începând cu data de 20.07.2018 și pe viitor, recalcularea indemnizațiilor de încadrare și a sporurilor aferente, în funcție de salarizarea aferentă procurorilor din cadrul SIIJ, acestea incluzând, pe lângă salarizarea specifică gradului de ÎCCJ și toate drepturile </w:t>
      </w:r>
      <w:r>
        <w:lastRenderedPageBreak/>
        <w:t xml:space="preserve">salariale specifice personalului detașat (inclusiv diurna de 2% pe zi, din salariul aferent PÎCCJ, calculată pe zile calendaristice), care să fie incluse în indemnizația de încadrare, cu depășirea limitelor prevăzute de art. 38 alin. 6 din Legea nr. 153/2017. Reclamantele au solicitat, de asemenea, repararea prejudiciului care le-a fost cauzat prin neaplicarea dispozițiilor legale, reprezentat de diferența salarială dintre noua indemnizație de încadrare și indemnizația actuală, de la data admiterii cererii și în continuare, pe viitor, până la plata efectivă a noii indemnizații de încadrare, sumă ce va fi actualizată cu indicele de inflație și la care urmează a fi aplicată dobânda legală penalizatoare, până la data plăți efective. </w:t>
      </w:r>
    </w:p>
    <w:p w14:paraId="0E3F740D" w14:textId="77777777" w:rsidR="004B63A6" w:rsidRDefault="00C576EA">
      <w:pPr>
        <w:ind w:firstLine="708"/>
        <w:jc w:val="both"/>
      </w:pPr>
      <w:r>
        <w:t>În ceea ce privește critica apelantului Ministrul Public-Parchetul de pe lângă Înalta Curte de Casație și Justiție cu privire la soluția primei instanțe de respingere a excepției lipsei calității sale procesuale pasive, Curtea apreciază că aceasta este neîntemeiată, raportat la dispozițiile art. 70 alin. 1 din Legea 304/2004, respectiv la cele ale art. 131 alin. 3 același act normativ, care stabilesc, în esență, că Parchetul de pe lângă Înalta Curte de Casaţie şi Justiţie are calitatea de ordonator principal de credite, gestionând bugetul parchetelor de pe lângă curţile de apel, tribunale, tribunale specializate şi judecătorii, atribuțiile sale în acest sens fiind reglementate la art. 15 alin. 1 lit. a, q, s și ș din Regulamentul de ordine interioară al parchetelor, aprobat prin Hotărârea Nr. 947 din 14 noiembrie 2019.</w:t>
      </w:r>
    </w:p>
    <w:p w14:paraId="3353D19E" w14:textId="77777777" w:rsidR="004B63A6" w:rsidRDefault="00C576EA">
      <w:pPr>
        <w:ind w:firstLine="708"/>
        <w:jc w:val="both"/>
      </w:pPr>
      <w:r>
        <w:t>Așadar, raportat la aceste considerente, soluția Tribunalului de respingere a excepției lipsei calității procesuale pasive a Ministrului Public-Parchetul de pe lângă Înalta Curte de Casație și Justiție urmează a fi menținută.</w:t>
      </w:r>
    </w:p>
    <w:p w14:paraId="319D6B66" w14:textId="77777777" w:rsidR="004B63A6" w:rsidRDefault="00C576EA">
      <w:pPr>
        <w:ind w:firstLine="708"/>
        <w:jc w:val="both"/>
      </w:pPr>
      <w:r>
        <w:t>Cu privire la fondul cauzei, Curtea reține că în mod greșit a admis prima instanță, în parte, acțiunea formulată de reclamantelor, dispunând obligarea pârâților la plata indemnizației de încadrare începând cu data de 20.07.2018 și până la data de 11.03.2022, cu includerea unui procent de 2% de aceasta, cu depășirea limitelor prevăzute de art. 38 alin. 6 din legea nr. 153/2017, reprezentând echivalentul diurnei, stabilită potrivit art. 13 alin. 1 lit. a din OUG nr. 27/2006, drept acordat în favoarea procurorilor numiți în cadrul Secției pentru Investigarea Infracțiunilor din Justiție, în temeiul art. 88 indice 2 alin. 5din Legea nr. 304/2004, sume actualizate cu indicele de inflație și dobânda legală penalizatoare până la data plății efective.</w:t>
      </w:r>
    </w:p>
    <w:p w14:paraId="7F2DE917" w14:textId="77777777" w:rsidR="004B63A6" w:rsidRDefault="00C576EA">
      <w:pPr>
        <w:ind w:firstLine="708"/>
        <w:jc w:val="both"/>
      </w:pPr>
      <w:r>
        <w:t>Considerentul primei instanțe în sensul că din acordarea și plata, începând cu data de 20.07.2018 a dreptului prevăzut de art. 88</w:t>
      </w:r>
      <w:r>
        <w:rPr>
          <w:rStyle w:val="Fontdeparagrafimplicit1"/>
          <w:vertAlign w:val="superscript"/>
        </w:rPr>
        <w:t>2</w:t>
      </w:r>
      <w:r>
        <w:t xml:space="preserve"> alin. 5 din Legea nr. 303/2004 exclusiv procurorilor din cadrul Secției pentru Investigarea Infracțiunilor din Justiție, rezultă o situație profund inechitabilă față de alți magistrați numiți, care nu beneficiază de drepturile magistraților detașați, astfel cum beneficiază această categorie de procurori, este neîntemeiat, astfel cum rezultă din considerentele care urmează.</w:t>
      </w:r>
    </w:p>
    <w:p w14:paraId="1F540AAC" w14:textId="77777777" w:rsidR="004B63A6" w:rsidRDefault="00C576EA">
      <w:pPr>
        <w:ind w:firstLine="708"/>
        <w:jc w:val="both"/>
      </w:pPr>
      <w:r>
        <w:t>Potrivit dispozițiilor legale regăsite în articolul 88</w:t>
      </w:r>
      <w:r>
        <w:rPr>
          <w:rStyle w:val="Fontdeparagrafimplicit1"/>
          <w:vertAlign w:val="superscript"/>
        </w:rPr>
        <w:t>2</w:t>
      </w:r>
      <w:r>
        <w:t xml:space="preserve"> alineatul 5 din Legea nr. 304/2004 republicată, „Pe durata desfășurării activității în cadrul Secției pentru Investigarea Infracțiunilor din Justiție, procurorii cu funcții de conducere și execuție beneficiază de drepturile procurorilor detașați, în condițiile legii”. </w:t>
      </w:r>
    </w:p>
    <w:p w14:paraId="762A30F0" w14:textId="77777777" w:rsidR="004B63A6" w:rsidRDefault="00C576EA">
      <w:pPr>
        <w:ind w:firstLine="708"/>
        <w:jc w:val="both"/>
      </w:pPr>
      <w:r>
        <w:t>Prin articolul 45 din Legea nr. 207/2018 pentru modificarea și completarea Legii nr. 304/2004 privind organizarea judiciară, publicată în Monitorul Oficial nr. 636/20.07.2018 s-a introdus o nouă secțiune, respectiv secțiunea a 2^1-a, cuprinzând articolele 88^1-88^9, la articolul 88^1 alineatul 1 prevăzându-se că: „</w:t>
      </w:r>
      <w:r>
        <w:rPr>
          <w:rStyle w:val="Fontdeparagrafimplicit1"/>
          <w:i/>
        </w:rPr>
        <w:t>În cadrul Parchetului de pe lângă Înalta Curte de Casație și Justiție se înființează și funcționează Secția pentru investigarea infracțiunilor din justiție care are competența exclusivă de a efectua urmărirea penală pentru infracțiunile săvârșite de judecători și procurori, inclusiv judecătorii și procurorii militari și cei care au calitatea de membri ai Consiliului Superior al Magistraturii</w:t>
      </w:r>
      <w:r>
        <w:t>”.</w:t>
      </w:r>
    </w:p>
    <w:p w14:paraId="4BA459D4" w14:textId="77777777" w:rsidR="004B63A6" w:rsidRDefault="00C576EA">
      <w:pPr>
        <w:ind w:firstLine="708"/>
        <w:jc w:val="both"/>
      </w:pPr>
      <w:r>
        <w:t xml:space="preserve">De asemenea la articolul 88^5 alineatul 3 din același act normativ anterior citat s-a statuat că: „Pentru a participa la concursul pentru numirea în cadrul Secției pentru investigarea infracțiunilor din justiție, procurorii trebuie să îndeplinească cumulativ următoarele condiții: a) să nu fi fost sancționați disciplinar în ultimii 3 ani; b) </w:t>
      </w:r>
      <w:r>
        <w:rPr>
          <w:rStyle w:val="Fontdeparagrafimplicit1"/>
          <w:i/>
        </w:rPr>
        <w:t>să aibă cel puțin gradul de parchet de pe lângă curte de apel</w:t>
      </w:r>
      <w:r>
        <w:t xml:space="preserve">; c) </w:t>
      </w:r>
      <w:r>
        <w:rPr>
          <w:rStyle w:val="Fontdeparagrafimplicit1"/>
          <w:i/>
        </w:rPr>
        <w:t>să aibă o vechime efectivă de cel puțin 18 ani în funcția de procuror</w:t>
      </w:r>
      <w:r>
        <w:t>; d) să aibă o bună pregătire profesională; e) să aibă o conduită morală ireproșabilă”.</w:t>
      </w:r>
    </w:p>
    <w:p w14:paraId="7B16F08E" w14:textId="77777777" w:rsidR="004B63A6" w:rsidRDefault="00C576EA">
      <w:pPr>
        <w:ind w:firstLine="708"/>
        <w:jc w:val="both"/>
      </w:pPr>
      <w:r>
        <w:lastRenderedPageBreak/>
        <w:t>Astfel, Curtea constată că legiuitorul, prin intermediul dispozițiilor legale anterior citate, a stabilit în mod expres criteriile care sunt imperios necesare a fi îndeplinite pentru ca un procuror să fie încadrat în cadrul Secției pentru Investigarea Infracțiunilor din Justiție, respectiv să aibă cel puțin gradul de parchet de pe lângă curte de apel și să aibă o vechime efectivă de cel puțin 18 ani în funcția de procuror, condiții care nu sunt îndeplinite de către reclamantele din prezenta cauză, care au gradul de procurori ai parchetului de pe lângă judecătorie și o vechime în funcție mai mică de 14 ani.</w:t>
      </w:r>
    </w:p>
    <w:p w14:paraId="3A176FEC" w14:textId="77777777" w:rsidR="004B63A6" w:rsidRDefault="00C576EA">
      <w:pPr>
        <w:ind w:firstLine="708"/>
        <w:jc w:val="both"/>
      </w:pPr>
      <w:r>
        <w:t>Cu privire la starea de discriminare în care apelantele consideră că se află, Curtea reține că principiul nediscriminării, regăsit și în articolul 14 din Convenția Europeană a Drepturilor Omului, este un principiu material al protecției internaționale a drepturilor omului, afirmat în toate instrumentele internaționale și naționale garantate a drepturilor fundamentale, acest principiu impune ca oricărei persoane să îi fie rezervat un tratament egal. Însă pentru a determina existența unei diferențe de tratament, trebuie realizată o comparație între două persoane aflate în situații similare, astfel pentru proba existenței diferenței de tratament se face comparația între două persoane aflate în aceeași situație.</w:t>
      </w:r>
    </w:p>
    <w:p w14:paraId="302D7FC9" w14:textId="77777777" w:rsidR="004B63A6" w:rsidRDefault="00C576EA">
      <w:pPr>
        <w:ind w:firstLine="708"/>
        <w:jc w:val="both"/>
        <w:rPr>
          <w:rStyle w:val="Fontdeparagrafimplicit1"/>
        </w:rPr>
      </w:pPr>
      <w:r>
        <w:rPr>
          <w:rStyle w:val="Fontdeparagrafimplicit1"/>
          <w:shd w:val="clear" w:color="auto" w:fill="FFFFFF"/>
        </w:rPr>
        <w:t>De altfel, prin Decizia nr. 13/2023, pronunțată de Înalta Curte de Casație și Justiție, Completul pentru dezlegarea unor chestiuni de drept, s-a statuat, cât se poate de clar, în sensul că dreptul reglementat de art. 88</w:t>
      </w:r>
      <w:r>
        <w:rPr>
          <w:rStyle w:val="Fontdeparagrafimplicit1"/>
          <w:shd w:val="clear" w:color="auto" w:fill="FFFFFF"/>
          <w:vertAlign w:val="superscript"/>
        </w:rPr>
        <w:t>2</w:t>
      </w:r>
      <w:r>
        <w:rPr>
          <w:rStyle w:val="Fontdeparagrafimplicit1"/>
          <w:shd w:val="clear" w:color="auto" w:fill="FFFFFF"/>
        </w:rPr>
        <w:t> alin. (5) din Legea nr. 304/2004 are natura juridică a indemnizaţiei de încadrare brute lunare pentru procurorii care şi-au desfăşurat activitatea în cadrul Secţiei pentru investigarea infracţiunilor din justiţie, iar garanţiile principiului nediscriminării şi ale principiului egalităţii, prevăzute de art. 6 lit. b) şi c) din Legea-cadru nr. 153/2017 privind salarizarea personalului plătit din fonduri publice, cu modificările şi completările ulterioare, pot fi invocate doar de către magistraţii care ocupau o „funcţie similară” cu a acestora, astfel cum este definită la art. 7 lit. g) din acelaşi act normativ coroborat cu art. 8 din secţiunea a 2-a capitolul VIII din anexa nr. V la Legea-cadru nr. 153/2017</w:t>
      </w:r>
      <w:r>
        <w:rPr>
          <w:rStyle w:val="Fontdeparagrafimplicit1"/>
          <w:rFonts w:ascii="Open Sans" w:hAnsi="Open Sans"/>
          <w:sz w:val="21"/>
          <w:shd w:val="clear" w:color="auto" w:fill="FFFFFF"/>
        </w:rPr>
        <w:t>.</w:t>
      </w:r>
    </w:p>
    <w:p w14:paraId="5C8C0DB2" w14:textId="77777777" w:rsidR="004B63A6" w:rsidRDefault="00C576EA">
      <w:pPr>
        <w:ind w:firstLine="708"/>
        <w:jc w:val="both"/>
      </w:pPr>
      <w:r>
        <w:t>Articolul 7 litera g.) din Legea nr. 153/2017 oferă o definiție legală a noțiunii de funcție similară, statuând că: „prin funcție similară se înțelege o funcție de același fel din cadrul aceleiași instituții sau autorități publice, care implică aceleași condiții de studii, grad/treaptă profesională, gradație, vechime în funcție sau vechime în specialitate, după caz, și condiții de muncă”. Procurorii ale căror indemnizații de încadrare și sporuri sunt reclamate de către apelanți și-au desfășurat activitatea în cadrul Parchetului de pe lângă Înalta Curte de Casație și Justiție, au fost numiți în urma unui concurs, fiind necesar să dețină gradul de parchet de pe lângă curte de apel și o vechime de 18 ani efectivă, condiții care, după cum s-a mai precizat, nu sunt îndeplinite cumulativ de către reclamanții apelanți.</w:t>
      </w:r>
    </w:p>
    <w:p w14:paraId="03F6510A" w14:textId="77777777" w:rsidR="004B63A6" w:rsidRDefault="00C576EA">
      <w:pPr>
        <w:ind w:firstLine="708"/>
        <w:jc w:val="both"/>
      </w:pPr>
      <w:r>
        <w:t>În aceste condiții, raportat la dispozițiile legale la care s-a făcut referire în paragrafele anterioare, precum și la Decizia nr. 13/2023 a Înaltei Curți de Casație și Justiție, Curtea reține că reclamanții apelanți nu se află în stare de discriminare raportat la procurorii din cadrul Secției pentru Investigarea Infracțiunilor din Justiție, atât timp cât nu se află într-o împrejurare similară cu aceștia din urmă.</w:t>
      </w:r>
    </w:p>
    <w:p w14:paraId="1B8FAB47" w14:textId="77777777" w:rsidR="004B63A6" w:rsidRDefault="00C576EA">
      <w:pPr>
        <w:ind w:firstLine="708"/>
        <w:jc w:val="both"/>
      </w:pPr>
      <w:r>
        <w:t>Se impune a fi avută în vedere și Decizia nr. 693 din data de 17 octombrie 2006, pronunțată de Curtea Constituțională și publicată în Monitorul Oficial nr. 915 din 10 noiembrie 2006, prin care s-a statuat în sensul că „Legiuitorul este în drept totodată să instituie anumite sporuri la indemnizațiile și salariile de bază, premii periodice și alte stimulente, pe care le poate diferenția în funcție de categoriile de personal cărora li se acordă, le poate modifica în diferite perioade de timp, le poate suspenda sau chiar anula...”.</w:t>
      </w:r>
    </w:p>
    <w:p w14:paraId="71AA7092" w14:textId="77777777" w:rsidR="004B63A6" w:rsidRDefault="00C576EA">
      <w:pPr>
        <w:ind w:firstLine="708"/>
        <w:jc w:val="both"/>
      </w:pPr>
      <w:r>
        <w:t xml:space="preserve">Față de considerentele primei instanțe, în sensul că acest drept acordat de legiuitor doar procurorilor care își desfășoară activitatea în cadrul SIIJ ar trebui acordat și altor magistrați în baza jurisprudenței anterioare a Curții Constituționale și a Înaltei Curți de Casație și Justiție, Curtea reține că acestea sunt neîntemeiate, raportat la cele statuate de către Înalta Curte de Casație și Justiție prin Decizia nr. 13/2023. </w:t>
      </w:r>
    </w:p>
    <w:p w14:paraId="32AD9091" w14:textId="77777777" w:rsidR="004B63A6" w:rsidRDefault="00C576EA">
      <w:pPr>
        <w:ind w:firstLine="708"/>
        <w:jc w:val="both"/>
        <w:rPr>
          <w:rStyle w:val="Fontdeparagrafimplicit1"/>
          <w:shd w:val="clear" w:color="auto" w:fill="FFFFFF"/>
        </w:rPr>
      </w:pPr>
      <w:r>
        <w:t xml:space="preserve">Astfel, la punctul 175 din considerentele acestei decizii s-a statuat în sensul că </w:t>
      </w:r>
      <w:r>
        <w:rPr>
          <w:rStyle w:val="Fontdeparagrafimplicit1"/>
          <w:shd w:val="clear" w:color="auto" w:fill="FFFFFF"/>
        </w:rPr>
        <w:t xml:space="preserve">numai judecătorii (care ocupă o funcţie similară în cadrul autorităţii judecătoreşti) şi procurorii (care </w:t>
      </w:r>
      <w:r>
        <w:rPr>
          <w:rStyle w:val="Fontdeparagrafimplicit1"/>
          <w:shd w:val="clear" w:color="auto" w:fill="FFFFFF"/>
        </w:rPr>
        <w:lastRenderedPageBreak/>
        <w:t>ocupă o funcţie similară în cadrul aceleiaşi instituţii publice) care, în intervalul de referinţă 16 octombrie 2018-14 martie 2022, au îndeplinit, în mod cumulativ, cel puţin condiţiile legale anterior analizate, respectiv cel puţin gradul de judecător de curte de apel sau procuror de parchet de pe lângă curtea de apel şi o vechime efectivă de minimum 18 ani în funcţia de judecător sau procuror, ar putea pretinde că aplicarea normei de la art. 88</w:t>
      </w:r>
      <w:r>
        <w:rPr>
          <w:rStyle w:val="Fontdeparagrafimplicit1"/>
          <w:shd w:val="clear" w:color="auto" w:fill="FFFFFF"/>
          <w:vertAlign w:val="superscript"/>
        </w:rPr>
        <w:t>2</w:t>
      </w:r>
      <w:r>
        <w:rPr>
          <w:rStyle w:val="Fontdeparagrafimplicit1"/>
          <w:shd w:val="clear" w:color="auto" w:fill="FFFFFF"/>
        </w:rPr>
        <w:t> alin. (5) din Legea nr. 304/2004 a creat efecte discriminatorii în privinţa lor, întrucât legiuitorul s-a abătut de la principiile de la art. 6 lit. b) – nediscriminarea – din Legea-cadru nr. 153/2017 şi, ca atare, să invoce respectarea principiului egalităţii – art. 6 lit. c) din acelaşi act normativ, prin acordarea echivalentului indemnizaţiei de încadrare suplimentar recunoscute doar în favoarea procurorilor numiţi în cadrul S.I.I.J., pe durata funcţionării acestei structuri.</w:t>
      </w:r>
    </w:p>
    <w:p w14:paraId="478FEA82" w14:textId="77777777" w:rsidR="004B63A6" w:rsidRDefault="00C576EA">
      <w:pPr>
        <w:ind w:firstLine="708"/>
        <w:jc w:val="both"/>
        <w:rPr>
          <w:rStyle w:val="Fontdeparagrafimplicit1"/>
        </w:rPr>
      </w:pPr>
      <w:r>
        <w:rPr>
          <w:rStyle w:val="Fontdeparagrafimplicit1"/>
          <w:shd w:val="clear" w:color="auto" w:fill="FFFFFF"/>
        </w:rPr>
        <w:t>Or, după cum s-a reținut în paragrafele precedente, nici una dintre cele două reclamante din prezenta cauză nu îndeplinește aceste condiții.</w:t>
      </w:r>
    </w:p>
    <w:p w14:paraId="77246347" w14:textId="58C4E444" w:rsidR="004B63A6" w:rsidRDefault="00C576EA">
      <w:pPr>
        <w:ind w:firstLine="708"/>
        <w:jc w:val="both"/>
      </w:pPr>
      <w:r>
        <w:t xml:space="preserve">Având în vedere considerentele mai sus expuse, reținând că motivele invocate de către apelanți sunt întemeiate, în baza art. 480 alin. (2) cod procedură civilă, va admite ca fondate apelurile civile introduse de apelanții Parchetul de pe lângă Înalta Curte de Casaţie și Justiţie, Parchetul de pe lângă Curtea de Apel </w:t>
      </w:r>
      <w:r w:rsidR="00CD6578">
        <w:t>X</w:t>
      </w:r>
      <w:r>
        <w:t xml:space="preserve">, Parchetul de pe lângă Tribunalul </w:t>
      </w:r>
      <w:r w:rsidR="00CD6578">
        <w:t>Z</w:t>
      </w:r>
      <w:r>
        <w:t xml:space="preserve">, în contradictoriu cu intimatele </w:t>
      </w:r>
      <w:r w:rsidR="00CD6578">
        <w:t>BLM</w:t>
      </w:r>
      <w:r>
        <w:t xml:space="preserve"> și </w:t>
      </w:r>
      <w:r w:rsidR="00CD6578">
        <w:t>SA</w:t>
      </w:r>
      <w:r>
        <w:t>,  împotriva sentinţei civile nr.</w:t>
      </w:r>
      <w:r>
        <w:rPr>
          <w:rStyle w:val="Fontdeparagrafimplicit1"/>
          <w:rFonts w:ascii="Calibri" w:hAnsi="Calibri"/>
        </w:rPr>
        <w:t xml:space="preserve"> </w:t>
      </w:r>
      <w:r w:rsidR="00CD6578">
        <w:t>...</w:t>
      </w:r>
      <w:r>
        <w:t xml:space="preserve"> din </w:t>
      </w:r>
      <w:r w:rsidR="00CD6578">
        <w:t>...</w:t>
      </w:r>
      <w:r>
        <w:t xml:space="preserve"> 2022, pronunţată de Tribunalul </w:t>
      </w:r>
      <w:r w:rsidR="00CD6578">
        <w:t>Z</w:t>
      </w:r>
      <w:r>
        <w:t xml:space="preserve">, pe care o va schimba în parte în sensul că va respinge acţiunea; totodată, Curtea va menține soluția de respingere a excepției lipsei calității procesuale pasive invocată de către Ministrul Public-Parchetul de pe lângă Înalta Curte de Casație și Jusiție, precum și soluția primei instanțe privind respingerea celorlalte pretenții ale reclamantelor intimate. </w:t>
      </w:r>
    </w:p>
    <w:p w14:paraId="4A0183C4" w14:textId="77777777" w:rsidR="004B63A6" w:rsidRDefault="00C576EA">
      <w:pPr>
        <w:jc w:val="both"/>
      </w:pPr>
      <w:r>
        <w:tab/>
        <w:t>Va lua act de faptul că nu au fost solicitate cheltuieli de judecată.</w:t>
      </w:r>
    </w:p>
    <w:p w14:paraId="3728E27A" w14:textId="77777777" w:rsidR="004B63A6" w:rsidRDefault="00C576EA">
      <w:pPr>
        <w:ind w:firstLine="708"/>
        <w:jc w:val="both"/>
      </w:pPr>
      <w:r>
        <w:t xml:space="preserve">  </w:t>
      </w:r>
    </w:p>
    <w:p w14:paraId="368527DB" w14:textId="77777777" w:rsidR="004B63A6" w:rsidRDefault="00C576EA">
      <w:pPr>
        <w:jc w:val="center"/>
        <w:rPr>
          <w:rStyle w:val="Fontdeparagrafimplicit1"/>
          <w:b/>
          <w:i/>
        </w:rPr>
      </w:pPr>
      <w:r>
        <w:rPr>
          <w:rStyle w:val="Fontdeparagrafimplicit1"/>
          <w:b/>
          <w:i/>
        </w:rPr>
        <w:t xml:space="preserve">PENTRU ACESTE MOTIVE </w:t>
      </w:r>
    </w:p>
    <w:p w14:paraId="2D56C59D" w14:textId="77777777" w:rsidR="004B63A6" w:rsidRDefault="00C576EA">
      <w:pPr>
        <w:jc w:val="center"/>
        <w:rPr>
          <w:rStyle w:val="Fontdeparagrafimplicit1"/>
          <w:b/>
          <w:i/>
        </w:rPr>
      </w:pPr>
      <w:r>
        <w:rPr>
          <w:rStyle w:val="Fontdeparagrafimplicit1"/>
          <w:b/>
          <w:i/>
        </w:rPr>
        <w:t xml:space="preserve">ÎN NUMELE LEGII </w:t>
      </w:r>
    </w:p>
    <w:p w14:paraId="74E7F5B1" w14:textId="77777777" w:rsidR="004B63A6" w:rsidRDefault="00C576EA">
      <w:pPr>
        <w:jc w:val="center"/>
        <w:rPr>
          <w:rStyle w:val="Fontdeparagrafimplicit1"/>
          <w:b/>
          <w:i/>
        </w:rPr>
      </w:pPr>
      <w:r>
        <w:rPr>
          <w:rStyle w:val="Fontdeparagrafimplicit1"/>
          <w:b/>
          <w:i/>
        </w:rPr>
        <w:t xml:space="preserve">D E C I D E : </w:t>
      </w:r>
    </w:p>
    <w:p w14:paraId="01C98975" w14:textId="77777777" w:rsidR="004B63A6" w:rsidRDefault="004B63A6">
      <w:pPr>
        <w:jc w:val="center"/>
        <w:rPr>
          <w:rStyle w:val="Fontdeparagrafimplicit1"/>
        </w:rPr>
      </w:pPr>
    </w:p>
    <w:p w14:paraId="2BAAEE40" w14:textId="11832342" w:rsidR="004B63A6" w:rsidRDefault="00C576EA">
      <w:pPr>
        <w:ind w:firstLine="708"/>
        <w:jc w:val="both"/>
      </w:pPr>
      <w:r>
        <w:rPr>
          <w:rStyle w:val="Fontdeparagrafimplicit1"/>
          <w:b/>
        </w:rPr>
        <w:t>ADMITE</w:t>
      </w:r>
      <w:r>
        <w:t xml:space="preserve"> ca fondate apelurile civile declarate de apelanţii </w:t>
      </w:r>
      <w:r>
        <w:rPr>
          <w:rStyle w:val="Fontdeparagrafimplicit1"/>
          <w:b/>
        </w:rPr>
        <w:t xml:space="preserve">PARCHETUL DE PE LÂNGĂ ÎNALTA CURTE DE CASAŢIE ŞI JUSTIŢIE, </w:t>
      </w:r>
      <w:r>
        <w:t xml:space="preserve">cu sediul în ..., </w:t>
      </w:r>
      <w:r>
        <w:rPr>
          <w:rStyle w:val="Fontdeparagrafimplicit1"/>
          <w:b/>
        </w:rPr>
        <w:t xml:space="preserve">PARCHETUL DE PE LÂNGĂ CURTEA DE APEL </w:t>
      </w:r>
      <w:r w:rsidR="00CD6578">
        <w:rPr>
          <w:rStyle w:val="Fontdeparagrafimplicit1"/>
          <w:b/>
        </w:rPr>
        <w:t>X</w:t>
      </w:r>
      <w:r>
        <w:rPr>
          <w:rStyle w:val="Fontdeparagrafimplicit1"/>
          <w:b/>
        </w:rPr>
        <w:t>,</w:t>
      </w:r>
      <w:r>
        <w:t xml:space="preserve"> cu sediul în ..., </w:t>
      </w:r>
      <w:r>
        <w:rPr>
          <w:rStyle w:val="Fontdeparagrafimplicit1"/>
          <w:b/>
        </w:rPr>
        <w:t xml:space="preserve">PARCHETUL DE PE LÂNGĂ TRIBUNALUL </w:t>
      </w:r>
      <w:r w:rsidR="00CD6578">
        <w:rPr>
          <w:rStyle w:val="Fontdeparagrafimplicit1"/>
          <w:b/>
        </w:rPr>
        <w:t>Z</w:t>
      </w:r>
      <w:r>
        <w:rPr>
          <w:rStyle w:val="Fontdeparagrafimplicit1"/>
          <w:b/>
        </w:rPr>
        <w:t>,</w:t>
      </w:r>
      <w:r>
        <w:t xml:space="preserve"> cu sediul în ..., în contradictoriu cu intimaţii </w:t>
      </w:r>
      <w:r w:rsidR="00CD6578">
        <w:rPr>
          <w:rStyle w:val="Fontdeparagrafimplicit1"/>
          <w:b/>
        </w:rPr>
        <w:t>BLM</w:t>
      </w:r>
      <w:r>
        <w:rPr>
          <w:rStyle w:val="Fontdeparagrafimplicit1"/>
          <w:b/>
        </w:rPr>
        <w:t>,</w:t>
      </w:r>
      <w:r>
        <w:t xml:space="preserve"> CNP </w:t>
      </w:r>
      <w:r w:rsidR="004D0EA3">
        <w:t>...</w:t>
      </w:r>
      <w:r>
        <w:t xml:space="preserve">, </w:t>
      </w:r>
      <w:r w:rsidR="00CD6578">
        <w:rPr>
          <w:rStyle w:val="Fontdeparagrafimplicit1"/>
          <w:b/>
        </w:rPr>
        <w:t>SA</w:t>
      </w:r>
      <w:r>
        <w:t xml:space="preserve">, CNP </w:t>
      </w:r>
      <w:r w:rsidR="004D0EA3">
        <w:t>...</w:t>
      </w:r>
      <w:r>
        <w:t xml:space="preserve">,  ambele cu domiciliul procesual ales la Parchetul de pe lângă Judecătoria </w:t>
      </w:r>
      <w:r w:rsidR="00CD6578">
        <w:t>X</w:t>
      </w:r>
      <w:r>
        <w:t xml:space="preserve"> situat în ..., </w:t>
      </w:r>
      <w:r>
        <w:rPr>
          <w:rStyle w:val="Fontdeparagrafimplicit1"/>
          <w:b/>
        </w:rPr>
        <w:t>CONSILIUL NAŢIONAL PENTRU COMBATEREA DISCRIMINĂRII,</w:t>
      </w:r>
      <w:r>
        <w:t xml:space="preserve"> cu sediul în ...</w:t>
      </w:r>
      <w:r w:rsidR="004D0EA3">
        <w:t>.</w:t>
      </w:r>
      <w:r>
        <w:t>, împotriva sentinţei civile nr.</w:t>
      </w:r>
      <w:r w:rsidR="00CD6578">
        <w:t>...</w:t>
      </w:r>
      <w:r>
        <w:t xml:space="preserve"> din </w:t>
      </w:r>
      <w:r w:rsidR="00CD6578">
        <w:t>...</w:t>
      </w:r>
      <w:r>
        <w:t xml:space="preserve"> 2022, pronunţată de Tribunalul </w:t>
      </w:r>
      <w:r w:rsidR="00CD6578">
        <w:t>Z</w:t>
      </w:r>
      <w:r>
        <w:t>, pe care o modifică în parte în sensul că :</w:t>
      </w:r>
    </w:p>
    <w:p w14:paraId="5782CF30" w14:textId="35C52767" w:rsidR="004B63A6" w:rsidRDefault="00C576EA">
      <w:pPr>
        <w:ind w:firstLine="708"/>
        <w:jc w:val="both"/>
      </w:pPr>
      <w:r>
        <w:t xml:space="preserve">Respinge acţiunea reclamantelor </w:t>
      </w:r>
      <w:r w:rsidR="00CD6578">
        <w:rPr>
          <w:rStyle w:val="Fontdeparagrafimplicit1"/>
          <w:b/>
        </w:rPr>
        <w:t>BLM</w:t>
      </w:r>
      <w:r>
        <w:rPr>
          <w:rStyle w:val="Fontdeparagrafimplicit1"/>
          <w:b/>
        </w:rPr>
        <w:t>,</w:t>
      </w:r>
      <w:r>
        <w:t xml:space="preserve"> CNP </w:t>
      </w:r>
      <w:r w:rsidR="004D0EA3">
        <w:t>...</w:t>
      </w:r>
      <w:r>
        <w:t xml:space="preserve">, </w:t>
      </w:r>
      <w:r w:rsidR="00CD6578">
        <w:rPr>
          <w:rStyle w:val="Fontdeparagrafimplicit1"/>
          <w:b/>
        </w:rPr>
        <w:t>SA</w:t>
      </w:r>
      <w:r>
        <w:t xml:space="preserve">, CNP </w:t>
      </w:r>
      <w:r w:rsidR="004D0EA3">
        <w:t>...</w:t>
      </w:r>
      <w:r>
        <w:t xml:space="preserve">, ambele cu domiciliul procesual ales la Parchetul de pe lângă Judecătoria </w:t>
      </w:r>
      <w:r w:rsidR="00CD6578">
        <w:t>X</w:t>
      </w:r>
      <w:r>
        <w:t xml:space="preserve"> situat în ... în contradictoriu cu pârâţii </w:t>
      </w:r>
      <w:r>
        <w:rPr>
          <w:rStyle w:val="Fontdeparagrafimplicit1"/>
          <w:b/>
        </w:rPr>
        <w:t xml:space="preserve">PARCHETUL DE PE LÂNGĂ ÎNALTA CURTE DE CASAŢIE ŞI JUSTIŢIE, </w:t>
      </w:r>
      <w:r>
        <w:t xml:space="preserve">cu sediul în ..., </w:t>
      </w:r>
      <w:r>
        <w:rPr>
          <w:rStyle w:val="Fontdeparagrafimplicit1"/>
          <w:b/>
        </w:rPr>
        <w:t xml:space="preserve">PARCHETUL DE PE LÂNGĂ CURTEA DE APEL </w:t>
      </w:r>
      <w:r w:rsidR="00CD6578">
        <w:rPr>
          <w:rStyle w:val="Fontdeparagrafimplicit1"/>
          <w:b/>
        </w:rPr>
        <w:t>X</w:t>
      </w:r>
      <w:r>
        <w:rPr>
          <w:rStyle w:val="Fontdeparagrafimplicit1"/>
          <w:b/>
        </w:rPr>
        <w:t>,</w:t>
      </w:r>
      <w:r>
        <w:t xml:space="preserve"> cu sediul în ..., </w:t>
      </w:r>
      <w:r>
        <w:rPr>
          <w:rStyle w:val="Fontdeparagrafimplicit1"/>
          <w:b/>
        </w:rPr>
        <w:t xml:space="preserve">PARCHETUL DE PE LÂNGĂ TRIBUNALUL </w:t>
      </w:r>
      <w:r w:rsidR="00CD6578">
        <w:rPr>
          <w:rStyle w:val="Fontdeparagrafimplicit1"/>
          <w:b/>
        </w:rPr>
        <w:t>Z</w:t>
      </w:r>
      <w:r>
        <w:rPr>
          <w:rStyle w:val="Fontdeparagrafimplicit1"/>
          <w:b/>
        </w:rPr>
        <w:t>,</w:t>
      </w:r>
      <w:r>
        <w:t xml:space="preserve"> cu sediul în ..., </w:t>
      </w:r>
      <w:r>
        <w:rPr>
          <w:rStyle w:val="Fontdeparagrafimplicit1"/>
          <w:b/>
        </w:rPr>
        <w:t>CONSILIUL NAŢIONAL PENTRU COMBATEREA DISCRIMINĂRII,</w:t>
      </w:r>
      <w:r>
        <w:t xml:space="preserve"> cu sediul în ...</w:t>
      </w:r>
    </w:p>
    <w:p w14:paraId="50534F49" w14:textId="77777777" w:rsidR="004B63A6" w:rsidRDefault="00C576EA">
      <w:pPr>
        <w:ind w:firstLine="708"/>
        <w:jc w:val="both"/>
      </w:pPr>
      <w:r>
        <w:t xml:space="preserve">Menţine soluţia de respingere a excepţiei lipsei calităţii procesuale pasive invocată de pârâtul Ministerul Public – Parchetul de pe lângă Înalta Curte de Casaţie şi Justiţie şi de respingere a pretenţiilor celorlalte.   </w:t>
      </w:r>
    </w:p>
    <w:p w14:paraId="27157E1C" w14:textId="77777777" w:rsidR="004B63A6" w:rsidRDefault="00C576EA">
      <w:pPr>
        <w:ind w:firstLine="708"/>
        <w:jc w:val="both"/>
      </w:pPr>
      <w:r>
        <w:t xml:space="preserve">Fără cheltuieli de judecată.  </w:t>
      </w:r>
    </w:p>
    <w:p w14:paraId="7E93C2CC" w14:textId="77777777" w:rsidR="004B63A6" w:rsidRDefault="00C576EA">
      <w:pPr>
        <w:ind w:firstLine="708"/>
        <w:jc w:val="both"/>
        <w:rPr>
          <w:rStyle w:val="Fontdeparagrafimplicit1"/>
          <w:b/>
        </w:rPr>
      </w:pPr>
      <w:r>
        <w:rPr>
          <w:rStyle w:val="Fontdeparagrafimplicit1"/>
          <w:b/>
        </w:rPr>
        <w:t>D E F I N I T I V Ă.</w:t>
      </w:r>
    </w:p>
    <w:p w14:paraId="05A50905" w14:textId="6433F4BB" w:rsidR="004B63A6" w:rsidRDefault="00C576EA">
      <w:pPr>
        <w:jc w:val="both"/>
      </w:pPr>
      <w:r>
        <w:tab/>
        <w:t xml:space="preserve">Pronunţată  prin punerea soluţiei la dispoziţia părţilor prin mijlocirea grefei instanţei azi, </w:t>
      </w:r>
      <w:r w:rsidR="004D0EA3">
        <w:t>....</w:t>
      </w:r>
      <w:r>
        <w:t xml:space="preserve"> 2023. </w:t>
      </w:r>
    </w:p>
    <w:p w14:paraId="2757B080" w14:textId="77777777" w:rsidR="004B63A6" w:rsidRDefault="004B63A6">
      <w:pPr>
        <w:jc w:val="both"/>
      </w:pPr>
    </w:p>
    <w:p w14:paraId="1D866EE4" w14:textId="77777777" w:rsidR="00634E1E" w:rsidRDefault="00634E1E">
      <w:pPr>
        <w:jc w:val="both"/>
      </w:pPr>
    </w:p>
    <w:p w14:paraId="6A1AF45E" w14:textId="77777777" w:rsidR="004B63A6" w:rsidRDefault="00C576EA">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GREFIER </w:t>
      </w:r>
    </w:p>
    <w:p w14:paraId="271D9A22" w14:textId="183CB442" w:rsidR="004B63A6" w:rsidRDefault="00C576EA">
      <w:pPr>
        <w:jc w:val="both"/>
        <w:rPr>
          <w:rStyle w:val="Fontdeparagrafimplicit1"/>
          <w:i/>
        </w:rPr>
      </w:pPr>
      <w:r>
        <w:rPr>
          <w:rStyle w:val="Fontdeparagrafimplicit1"/>
          <w:i/>
        </w:rPr>
        <w:t xml:space="preserve">                             </w:t>
      </w:r>
      <w:r w:rsidR="00CD6578">
        <w:rPr>
          <w:rStyle w:val="Fontdeparagrafimplicit1"/>
          <w:i/>
        </w:rPr>
        <w:t>A0011</w:t>
      </w:r>
      <w:r>
        <w:rPr>
          <w:rStyle w:val="Fontdeparagrafimplicit1"/>
          <w:i/>
        </w:rPr>
        <w:t xml:space="preserve">                                 </w:t>
      </w:r>
      <w:r w:rsidR="00CD6578">
        <w:rPr>
          <w:rStyle w:val="Fontdeparagrafimplicit1"/>
          <w:i/>
        </w:rPr>
        <w:t>....</w:t>
      </w:r>
      <w:r>
        <w:rPr>
          <w:rStyle w:val="Fontdeparagrafimplicit1"/>
          <w:i/>
        </w:rPr>
        <w:t xml:space="preserve">                                          </w:t>
      </w:r>
      <w:r w:rsidR="00CD6578">
        <w:rPr>
          <w:rStyle w:val="Fontdeparagrafimplicit1"/>
          <w:i/>
        </w:rPr>
        <w:t>....</w:t>
      </w:r>
      <w:r>
        <w:rPr>
          <w:rStyle w:val="Fontdeparagrafimplicit1"/>
          <w:i/>
        </w:rPr>
        <w:t xml:space="preserve"> </w:t>
      </w:r>
    </w:p>
    <w:p w14:paraId="35AED7FA" w14:textId="77777777" w:rsidR="004B63A6" w:rsidRDefault="004B63A6">
      <w:pPr>
        <w:jc w:val="both"/>
        <w:rPr>
          <w:rStyle w:val="Fontdeparagrafimplicit1"/>
          <w:i/>
          <w:sz w:val="16"/>
        </w:rPr>
      </w:pPr>
    </w:p>
    <w:p w14:paraId="0FA0728E" w14:textId="77777777" w:rsidR="004B63A6" w:rsidRDefault="004B63A6">
      <w:pPr>
        <w:jc w:val="both"/>
        <w:rPr>
          <w:rStyle w:val="Fontdeparagrafimplicit1"/>
          <w:i/>
          <w:sz w:val="16"/>
        </w:rPr>
      </w:pPr>
    </w:p>
    <w:p w14:paraId="1957782C" w14:textId="77777777" w:rsidR="004B63A6" w:rsidRDefault="004B63A6">
      <w:pPr>
        <w:jc w:val="both"/>
        <w:rPr>
          <w:rStyle w:val="Fontdeparagrafimplicit1"/>
          <w:i/>
          <w:sz w:val="16"/>
        </w:rPr>
      </w:pPr>
    </w:p>
    <w:p w14:paraId="4BA9E781" w14:textId="4B822C71" w:rsidR="004B63A6" w:rsidRDefault="00C576EA">
      <w:pPr>
        <w:jc w:val="both"/>
        <w:rPr>
          <w:rStyle w:val="Fontdeparagrafimplicit1"/>
          <w:i/>
          <w:sz w:val="16"/>
        </w:rPr>
      </w:pPr>
      <w:r>
        <w:rPr>
          <w:rStyle w:val="Fontdeparagrafimplicit1"/>
          <w:i/>
          <w:sz w:val="16"/>
        </w:rPr>
        <w:t xml:space="preserve">red.jud. </w:t>
      </w:r>
      <w:r w:rsidR="004D0EA3">
        <w:rPr>
          <w:rStyle w:val="Fontdeparagrafimplicit1"/>
          <w:i/>
          <w:sz w:val="16"/>
        </w:rPr>
        <w:t>A0011</w:t>
      </w:r>
      <w:r>
        <w:rPr>
          <w:rStyle w:val="Fontdeparagrafimplicit1"/>
          <w:i/>
          <w:sz w:val="16"/>
        </w:rPr>
        <w:t xml:space="preserve"> </w:t>
      </w:r>
      <w:r w:rsidR="004D0EA3">
        <w:rPr>
          <w:rStyle w:val="Fontdeparagrafimplicit1"/>
          <w:i/>
          <w:sz w:val="16"/>
        </w:rPr>
        <w:t>...</w:t>
      </w:r>
    </w:p>
    <w:p w14:paraId="5023308E" w14:textId="094905E2" w:rsidR="004B63A6" w:rsidRDefault="00C576EA">
      <w:pPr>
        <w:jc w:val="both"/>
        <w:rPr>
          <w:rStyle w:val="Fontdeparagrafimplicit1"/>
          <w:i/>
          <w:sz w:val="16"/>
        </w:rPr>
      </w:pPr>
      <w:r>
        <w:rPr>
          <w:rStyle w:val="Fontdeparagrafimplicit1"/>
          <w:i/>
          <w:sz w:val="16"/>
        </w:rPr>
        <w:t xml:space="preserve">jud. fond </w:t>
      </w:r>
      <w:r w:rsidR="004D0EA3">
        <w:rPr>
          <w:rStyle w:val="Fontdeparagrafimplicit1"/>
          <w:i/>
          <w:sz w:val="16"/>
        </w:rPr>
        <w:t>...</w:t>
      </w:r>
      <w:r>
        <w:rPr>
          <w:rStyle w:val="Fontdeparagrafimplicit1"/>
          <w:i/>
          <w:sz w:val="16"/>
        </w:rPr>
        <w:t xml:space="preserve"> F.I.   </w:t>
      </w:r>
    </w:p>
    <w:p w14:paraId="710A989E" w14:textId="3AAB53D2" w:rsidR="004B63A6" w:rsidRDefault="00C576EA">
      <w:pPr>
        <w:jc w:val="both"/>
        <w:rPr>
          <w:rStyle w:val="Fontdeparagrafimplicit1"/>
          <w:i/>
          <w:sz w:val="16"/>
        </w:rPr>
      </w:pPr>
      <w:r>
        <w:rPr>
          <w:rStyle w:val="Fontdeparagrafimplicit1"/>
          <w:i/>
          <w:sz w:val="16"/>
        </w:rPr>
        <w:t xml:space="preserve">tehnored. </w:t>
      </w:r>
      <w:r w:rsidR="004D0EA3">
        <w:rPr>
          <w:rStyle w:val="Fontdeparagrafimplicit1"/>
          <w:i/>
          <w:sz w:val="16"/>
        </w:rPr>
        <w:t>....</w:t>
      </w:r>
      <w:r>
        <w:rPr>
          <w:rStyle w:val="Fontdeparagrafimplicit1"/>
          <w:i/>
          <w:sz w:val="16"/>
        </w:rPr>
        <w:t>8 ex./</w:t>
      </w:r>
      <w:r w:rsidR="004D0EA3">
        <w:rPr>
          <w:rStyle w:val="Fontdeparagrafimplicit1"/>
          <w:i/>
          <w:sz w:val="16"/>
        </w:rPr>
        <w:t>...</w:t>
      </w:r>
    </w:p>
    <w:p w14:paraId="3E8DC7DB" w14:textId="77777777" w:rsidR="004B63A6" w:rsidRDefault="004B63A6">
      <w:pPr>
        <w:jc w:val="both"/>
        <w:rPr>
          <w:rStyle w:val="Fontdeparagrafimplicit1"/>
          <w:i/>
          <w:sz w:val="16"/>
        </w:rPr>
      </w:pPr>
    </w:p>
    <w:p w14:paraId="6038EA1C" w14:textId="77777777" w:rsidR="004B63A6" w:rsidRDefault="004B63A6">
      <w:pPr>
        <w:jc w:val="both"/>
        <w:rPr>
          <w:rStyle w:val="Fontdeparagrafimplicit1"/>
          <w:i/>
          <w:sz w:val="16"/>
        </w:rPr>
      </w:pPr>
    </w:p>
    <w:p w14:paraId="027A0DF1" w14:textId="77777777" w:rsidR="004B63A6" w:rsidRDefault="004B63A6">
      <w:pPr>
        <w:jc w:val="both"/>
        <w:rPr>
          <w:rStyle w:val="Fontdeparagrafimplicit1"/>
          <w:i/>
          <w:sz w:val="16"/>
        </w:rPr>
      </w:pPr>
    </w:p>
    <w:p w14:paraId="1F757AE5" w14:textId="77777777" w:rsidR="004B63A6" w:rsidRDefault="00C576EA">
      <w:pPr>
        <w:jc w:val="both"/>
        <w:rPr>
          <w:rStyle w:val="Fontdeparagrafimplicit1"/>
          <w:i/>
          <w:sz w:val="16"/>
          <w:u w:val="single"/>
        </w:rPr>
      </w:pPr>
      <w:r>
        <w:rPr>
          <w:rStyle w:val="Fontdeparagrafimplicit1"/>
          <w:i/>
          <w:sz w:val="16"/>
          <w:u w:val="single"/>
        </w:rPr>
        <w:t>emis 6 comunicări</w:t>
      </w:r>
    </w:p>
    <w:p w14:paraId="78F85A56" w14:textId="7D3C788E" w:rsidR="004B63A6" w:rsidRDefault="00C576EA">
      <w:pPr>
        <w:numPr>
          <w:ilvl w:val="0"/>
          <w:numId w:val="3"/>
        </w:numPr>
        <w:jc w:val="both"/>
        <w:rPr>
          <w:rStyle w:val="Fontdeparagrafimplicit1"/>
          <w:sz w:val="16"/>
        </w:rPr>
      </w:pPr>
      <w:r>
        <w:rPr>
          <w:rStyle w:val="Fontdeparagrafimplicit1"/>
          <w:b/>
          <w:sz w:val="16"/>
        </w:rPr>
        <w:t xml:space="preserve">PARCHETUL DE PE LÂNGĂ ÎNALTA CURTE DE CASAŢIE ŞI JUSTIŢIE, </w:t>
      </w:r>
      <w:r>
        <w:rPr>
          <w:rStyle w:val="Fontdeparagrafimplicit1"/>
          <w:sz w:val="16"/>
        </w:rPr>
        <w:t>cu sediul în ...</w:t>
      </w:r>
    </w:p>
    <w:p w14:paraId="6AAEA075" w14:textId="78B06FEF" w:rsidR="004B63A6" w:rsidRDefault="00C576EA">
      <w:pPr>
        <w:numPr>
          <w:ilvl w:val="0"/>
          <w:numId w:val="3"/>
        </w:numPr>
        <w:jc w:val="both"/>
        <w:rPr>
          <w:rStyle w:val="Fontdeparagrafimplicit1"/>
          <w:sz w:val="16"/>
        </w:rPr>
      </w:pPr>
      <w:r>
        <w:rPr>
          <w:rStyle w:val="Fontdeparagrafimplicit1"/>
          <w:b/>
          <w:sz w:val="16"/>
        </w:rPr>
        <w:t xml:space="preserve">PARCHETUL DE PE LÂNGĂ CURTEA DE APEL </w:t>
      </w:r>
      <w:r w:rsidR="00CD6578">
        <w:rPr>
          <w:rStyle w:val="Fontdeparagrafimplicit1"/>
          <w:b/>
          <w:sz w:val="16"/>
        </w:rPr>
        <w:t>X</w:t>
      </w:r>
      <w:r>
        <w:rPr>
          <w:rStyle w:val="Fontdeparagrafimplicit1"/>
          <w:b/>
          <w:sz w:val="16"/>
        </w:rPr>
        <w:t>,</w:t>
      </w:r>
      <w:r>
        <w:rPr>
          <w:rStyle w:val="Fontdeparagrafimplicit1"/>
          <w:sz w:val="16"/>
        </w:rPr>
        <w:t xml:space="preserve"> cu sediul în ...</w:t>
      </w:r>
    </w:p>
    <w:p w14:paraId="484E953A" w14:textId="7BB6893D" w:rsidR="004B63A6" w:rsidRDefault="00C576EA">
      <w:pPr>
        <w:numPr>
          <w:ilvl w:val="0"/>
          <w:numId w:val="3"/>
        </w:numPr>
        <w:jc w:val="both"/>
        <w:rPr>
          <w:rStyle w:val="Fontdeparagrafimplicit1"/>
          <w:sz w:val="16"/>
        </w:rPr>
      </w:pPr>
      <w:r>
        <w:rPr>
          <w:rStyle w:val="Fontdeparagrafimplicit1"/>
          <w:b/>
          <w:sz w:val="16"/>
        </w:rPr>
        <w:t xml:space="preserve">PARCHETUL DE PE LÂNGĂ TRIBUNALUL </w:t>
      </w:r>
      <w:r w:rsidR="00CD6578">
        <w:rPr>
          <w:rStyle w:val="Fontdeparagrafimplicit1"/>
          <w:b/>
          <w:sz w:val="16"/>
        </w:rPr>
        <w:t>Z</w:t>
      </w:r>
      <w:r>
        <w:rPr>
          <w:rStyle w:val="Fontdeparagrafimplicit1"/>
          <w:b/>
          <w:sz w:val="16"/>
        </w:rPr>
        <w:t>,</w:t>
      </w:r>
      <w:r>
        <w:rPr>
          <w:rStyle w:val="Fontdeparagrafimplicit1"/>
          <w:sz w:val="16"/>
        </w:rPr>
        <w:t xml:space="preserve"> cu sediul în ... </w:t>
      </w:r>
    </w:p>
    <w:p w14:paraId="09BF9B0E" w14:textId="34F2AD71" w:rsidR="004B63A6" w:rsidRDefault="00C576EA">
      <w:pPr>
        <w:numPr>
          <w:ilvl w:val="0"/>
          <w:numId w:val="3"/>
        </w:numPr>
        <w:jc w:val="both"/>
        <w:rPr>
          <w:rStyle w:val="Fontdeparagrafimplicit1"/>
          <w:sz w:val="16"/>
        </w:rPr>
      </w:pPr>
      <w:r>
        <w:rPr>
          <w:rStyle w:val="Fontdeparagrafimplicit1"/>
          <w:b/>
          <w:sz w:val="16"/>
        </w:rPr>
        <w:t>BLM,</w:t>
      </w:r>
      <w:r>
        <w:rPr>
          <w:rStyle w:val="Fontdeparagrafimplicit1"/>
          <w:sz w:val="16"/>
        </w:rPr>
        <w:t xml:space="preserve"> </w:t>
      </w:r>
    </w:p>
    <w:p w14:paraId="16AC186B" w14:textId="3ECCB08C" w:rsidR="004B63A6" w:rsidRDefault="00C576EA">
      <w:pPr>
        <w:numPr>
          <w:ilvl w:val="0"/>
          <w:numId w:val="3"/>
        </w:numPr>
        <w:jc w:val="both"/>
        <w:rPr>
          <w:rStyle w:val="Fontdeparagrafimplicit1"/>
          <w:sz w:val="16"/>
        </w:rPr>
      </w:pPr>
      <w:r>
        <w:rPr>
          <w:rStyle w:val="Fontdeparagrafimplicit1"/>
          <w:b/>
          <w:sz w:val="16"/>
        </w:rPr>
        <w:t>SA</w:t>
      </w:r>
      <w:r>
        <w:rPr>
          <w:rStyle w:val="Fontdeparagrafimplicit1"/>
          <w:sz w:val="16"/>
        </w:rPr>
        <w:t>, ambele cu domiciliul procesual ales la Parchetul de pe lângă Judecătoria X situat în ...</w:t>
      </w:r>
    </w:p>
    <w:p w14:paraId="63317A6A" w14:textId="676597A6" w:rsidR="004B63A6" w:rsidRDefault="00C576EA">
      <w:pPr>
        <w:numPr>
          <w:ilvl w:val="0"/>
          <w:numId w:val="3"/>
        </w:numPr>
        <w:jc w:val="both"/>
        <w:rPr>
          <w:rStyle w:val="Fontdeparagrafimplicit1"/>
          <w:b/>
          <w:i/>
          <w:sz w:val="16"/>
        </w:rPr>
      </w:pPr>
      <w:r>
        <w:rPr>
          <w:rStyle w:val="Fontdeparagrafimplicit1"/>
          <w:b/>
          <w:sz w:val="16"/>
        </w:rPr>
        <w:t>CONSILIUL NAŢIONAL PENTRU COMBATEREA DISCRIMINĂRII,</w:t>
      </w:r>
      <w:r>
        <w:rPr>
          <w:rStyle w:val="Fontdeparagrafimplicit1"/>
          <w:sz w:val="16"/>
        </w:rPr>
        <w:t xml:space="preserve"> cu sediul în ...</w:t>
      </w:r>
    </w:p>
    <w:p w14:paraId="7C322186" w14:textId="77777777" w:rsidR="004B63A6" w:rsidRDefault="004B63A6">
      <w:pPr>
        <w:ind w:firstLine="708"/>
        <w:jc w:val="both"/>
        <w:rPr>
          <w:rStyle w:val="Fontdeparagrafimplicit1"/>
        </w:rPr>
      </w:pPr>
    </w:p>
    <w:p w14:paraId="2A3D1CE6" w14:textId="77777777" w:rsidR="004B63A6" w:rsidRDefault="004B63A6">
      <w:pPr>
        <w:rPr>
          <w:rStyle w:val="Fontdeparagrafimplicit1"/>
        </w:rPr>
      </w:pPr>
    </w:p>
    <w:p w14:paraId="058A69EB" w14:textId="77777777" w:rsidR="004B63A6" w:rsidRDefault="004B63A6">
      <w:pPr>
        <w:jc w:val="both"/>
        <w:rPr>
          <w:rStyle w:val="Fontdeparagrafimplicit1"/>
        </w:rPr>
      </w:pPr>
    </w:p>
    <w:p w14:paraId="2A0DFEFD" w14:textId="77777777" w:rsidR="004B63A6" w:rsidRDefault="004B63A6">
      <w:pPr>
        <w:jc w:val="center"/>
        <w:rPr>
          <w:rStyle w:val="Fontdeparagrafimplicit1"/>
        </w:rPr>
      </w:pPr>
    </w:p>
    <w:p w14:paraId="75FC0699" w14:textId="77777777" w:rsidR="004B63A6" w:rsidRDefault="00C576EA">
      <w:pPr>
        <w:jc w:val="both"/>
      </w:pPr>
      <w:r>
        <w:tab/>
      </w:r>
    </w:p>
    <w:p w14:paraId="609621DA" w14:textId="77777777" w:rsidR="004B63A6" w:rsidRDefault="004B63A6">
      <w:pPr>
        <w:ind w:firstLine="708"/>
        <w:jc w:val="both"/>
      </w:pPr>
    </w:p>
    <w:p w14:paraId="7A9D9536" w14:textId="77777777" w:rsidR="004B63A6" w:rsidRDefault="004B63A6"/>
    <w:p w14:paraId="0A7243D6" w14:textId="77777777" w:rsidR="004B63A6" w:rsidRDefault="004B63A6"/>
    <w:p w14:paraId="5CA12F19" w14:textId="77777777" w:rsidR="004B63A6" w:rsidRDefault="004B63A6">
      <w:pPr>
        <w:jc w:val="both"/>
      </w:pPr>
    </w:p>
    <w:p w14:paraId="2E98C16D" w14:textId="77777777" w:rsidR="004B63A6" w:rsidRDefault="004B63A6">
      <w:pPr>
        <w:ind w:firstLine="708"/>
        <w:jc w:val="both"/>
      </w:pPr>
    </w:p>
    <w:p w14:paraId="3541494A" w14:textId="77777777" w:rsidR="004B63A6" w:rsidRDefault="004B63A6">
      <w:pPr>
        <w:ind w:firstLine="708"/>
        <w:jc w:val="both"/>
      </w:pPr>
    </w:p>
    <w:p w14:paraId="24A57BCB" w14:textId="77777777" w:rsidR="004B63A6" w:rsidRDefault="004B63A6">
      <w:pPr>
        <w:rPr>
          <w:rStyle w:val="Fontdeparagrafimplicit1"/>
          <w:b/>
        </w:rPr>
      </w:pPr>
    </w:p>
    <w:p w14:paraId="7B8AE166" w14:textId="77777777" w:rsidR="004B63A6" w:rsidRDefault="004B63A6">
      <w:pPr>
        <w:rPr>
          <w:rStyle w:val="Fontdeparagrafimplicit1"/>
        </w:rPr>
      </w:pPr>
    </w:p>
    <w:sectPr w:rsidR="004B63A6">
      <w:footerReference w:type="default" r:id="rId15"/>
      <w:pgSz w:w="11906" w:h="16838"/>
      <w:pgMar w:top="1134" w:right="1021" w:bottom="1021" w:left="1701" w:header="0" w:footer="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86603" w14:textId="77777777" w:rsidR="00A52678" w:rsidRDefault="00A52678">
      <w:r>
        <w:separator/>
      </w:r>
    </w:p>
  </w:endnote>
  <w:endnote w:type="continuationSeparator" w:id="0">
    <w:p w14:paraId="10F3DA47" w14:textId="77777777" w:rsidR="00A52678" w:rsidRDefault="00A5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C862" w14:textId="77777777" w:rsidR="004B63A6" w:rsidRDefault="00C576EA">
    <w:pPr>
      <w:pStyle w:val="Subsol1"/>
      <w:jc w:val="center"/>
    </w:pPr>
    <w:r>
      <w:fldChar w:fldCharType="begin"/>
    </w:r>
    <w:r>
      <w:instrText>PAGE   \* MERGEFORMAT</w:instrText>
    </w:r>
    <w:r>
      <w:fldChar w:fldCharType="separate"/>
    </w:r>
    <w:r>
      <w:t>#</w:t>
    </w:r>
    <w:r>
      <w:fldChar w:fldCharType="end"/>
    </w:r>
  </w:p>
  <w:p w14:paraId="39E036C3" w14:textId="77777777" w:rsidR="004B63A6" w:rsidRDefault="004B63A6">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7A14D" w14:textId="77777777" w:rsidR="00A52678" w:rsidRDefault="00A52678">
      <w:r>
        <w:separator/>
      </w:r>
    </w:p>
  </w:footnote>
  <w:footnote w:type="continuationSeparator" w:id="0">
    <w:p w14:paraId="15B32257" w14:textId="77777777" w:rsidR="00A52678" w:rsidRDefault="00A52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D0D78"/>
    <w:multiLevelType w:val="multilevel"/>
    <w:tmpl w:val="09A8E3E8"/>
    <w:lvl w:ilvl="0">
      <w:start w:val="1"/>
      <w:numFmt w:val="lowerLetter"/>
      <w:lvlText w:val="%1)"/>
      <w:legacy w:legacy="1" w:legacySpace="0" w:legacyIndent="267"/>
      <w:lvlJc w:val="left"/>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71E810FD"/>
    <w:multiLevelType w:val="multilevel"/>
    <w:tmpl w:val="F0CAFD38"/>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4245762"/>
    <w:multiLevelType w:val="multilevel"/>
    <w:tmpl w:val="7D9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2077852">
    <w:abstractNumId w:val="0"/>
  </w:num>
  <w:num w:numId="2" w16cid:durableId="581064315">
    <w:abstractNumId w:val="2"/>
  </w:num>
  <w:num w:numId="3" w16cid:durableId="1379822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963000&amp;id_departament=2&amp;id_sesiune=733228&amp;id_user=181&amp;id_institutie=35&amp;actiune=modifica"/>
  </w:docVars>
  <w:rsids>
    <w:rsidRoot w:val="004B63A6"/>
    <w:rsid w:val="000D10BA"/>
    <w:rsid w:val="002F3EA8"/>
    <w:rsid w:val="004B63A6"/>
    <w:rsid w:val="004D0EA3"/>
    <w:rsid w:val="00634E1E"/>
    <w:rsid w:val="00774EEF"/>
    <w:rsid w:val="00777B62"/>
    <w:rsid w:val="0078514D"/>
    <w:rsid w:val="008F3ED1"/>
    <w:rsid w:val="009F37DF"/>
    <w:rsid w:val="00A52678"/>
    <w:rsid w:val="00C576EA"/>
    <w:rsid w:val="00CD6578"/>
    <w:rsid w:val="00DA4576"/>
    <w:rsid w:val="00F05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CDE39"/>
  <w15:docId w15:val="{7E47AFF6-28FA-4DB7-B7DD-AC3C15B97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1">
    <w:name w:val="Fără spațiere1"/>
    <w:qFormat/>
    <w:rPr>
      <w:rFonts w:ascii="Calibri" w:hAnsi="Calibri"/>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1">
    <w:name w:val="Antet1"/>
    <w:basedOn w:val="Normal"/>
    <w:link w:val="AntetCaracter"/>
    <w:pPr>
      <w:tabs>
        <w:tab w:val="center" w:pos="4536"/>
        <w:tab w:val="right" w:pos="9072"/>
      </w:tabs>
      <w:spacing w:after="160" w:line="259" w:lineRule="auto"/>
    </w:pPr>
    <w:rPr>
      <w:rFonts w:ascii="Calibri" w:hAnsi="Calibri"/>
      <w:sz w:val="22"/>
    </w:rPr>
  </w:style>
  <w:style w:type="paragraph" w:customStyle="1" w:styleId="Subsol1">
    <w:name w:val="Subsol1"/>
    <w:basedOn w:val="Normal"/>
    <w:link w:val="SubsolCaracter"/>
    <w:pPr>
      <w:tabs>
        <w:tab w:val="center" w:pos="4536"/>
        <w:tab w:val="right" w:pos="9072"/>
      </w:tabs>
      <w:spacing w:after="160" w:line="259" w:lineRule="auto"/>
    </w:pPr>
    <w:rPr>
      <w:rFonts w:ascii="Calibri" w:hAnsi="Calibri"/>
      <w:sz w:val="22"/>
    </w:rPr>
  </w:style>
  <w:style w:type="character" w:styleId="LineNumber">
    <w:name w:val="line number"/>
    <w:basedOn w:val="DefaultParagraphFont"/>
    <w:semiHidden/>
  </w:style>
  <w:style w:type="character" w:styleId="Hyperlink">
    <w:name w:val="Hyperlink"/>
    <w:rPr>
      <w:color w:val="0563C1"/>
      <w:u w:val="single"/>
    </w:rPr>
  </w:style>
  <w:style w:type="character" w:customStyle="1" w:styleId="Fontdeparagrafimplicit1">
    <w:name w:val="Font de paragraf implicit1"/>
  </w:style>
  <w:style w:type="character" w:customStyle="1" w:styleId="AntetCaracter">
    <w:name w:val="Antet Caracter"/>
    <w:link w:val="Antet1"/>
    <w:rPr>
      <w:rFonts w:ascii="Calibri" w:hAnsi="Calibri"/>
      <w:sz w:val="22"/>
    </w:rPr>
  </w:style>
  <w:style w:type="character" w:customStyle="1" w:styleId="SubsolCaracter">
    <w:name w:val="Subsol Caracter"/>
    <w:link w:val="Subsol1"/>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165147" TargetMode="External"/><Relationship Id="rId13" Type="http://schemas.openxmlformats.org/officeDocument/2006/relationships/hyperlink" Target="http://legislatie.just.ro/Public/DetaliiDocumentAfis/173855" TargetMode="External"/><Relationship Id="rId3" Type="http://schemas.openxmlformats.org/officeDocument/2006/relationships/settings" Target="settings.xml"/><Relationship Id="rId7" Type="http://schemas.openxmlformats.org/officeDocument/2006/relationships/hyperlink" Target="https://lege5.ro/Gratuit/gezdsnbtgy/legea-cadru-nr-330-2009-privind-salarizarea-unitara-a-personalului-platit-din-fonduri-publice?d=2020-07-26" TargetMode="External"/><Relationship Id="rId12" Type="http://schemas.openxmlformats.org/officeDocument/2006/relationships/hyperlink" Target="http://legislatie.just.ro/Public/DetaliiDocumentAfis/18131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islatie.just.ro/Public/DetaliiDocumentAfis/17385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legislatie.just.ro/Public/DetaliiDocumentAfis/153396" TargetMode="External"/><Relationship Id="rId4" Type="http://schemas.openxmlformats.org/officeDocument/2006/relationships/webSettings" Target="webSettings.xml"/><Relationship Id="rId9" Type="http://schemas.openxmlformats.org/officeDocument/2006/relationships/hyperlink" Target="http://legislatie.just.ro/Public/DetaliiDocumentAfis/143201" TargetMode="External"/><Relationship Id="rId14" Type="http://schemas.openxmlformats.org/officeDocument/2006/relationships/hyperlink" Target="http://legislatie.just.ro/Public/DetaliiDocumentAfis/1813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Pages>
  <Words>11371</Words>
  <Characters>64818</Characters>
  <Application>Microsoft Office Word</Application>
  <DocSecurity>0</DocSecurity>
  <Lines>540</Lines>
  <Paragraphs>152</Paragraphs>
  <ScaleCrop>false</ScaleCrop>
  <Manager/>
  <Company/>
  <LinksUpToDate>false</LinksUpToDate>
  <CharactersWithSpaces>76037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2026-09-03T12:36:00Z</dcterms:created>
  <dcterms:modified xsi:type="dcterms:W3CDTF">2026-09-12T09:31:00Z</dcterms:modified>
  <cp:category/>
  <dc:identifier/>
  <cp:contentStatus/>
  <dc:language/>
  <cp:version/>
</cp:coreProperties>
</file>