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FF6FC7" w:rsidP="00FF6FC7">
      <w:pPr>
        <w:rPr>
          <w:b/>
        </w:rPr>
      </w:pPr>
      <w:r>
        <w:rPr>
          <w:b/>
        </w:rPr>
        <w:t>HOTĂRÂREA NR. 4</w:t>
      </w:r>
      <w:r>
        <w:rPr>
          <w:b/>
        </w:rPr>
        <w:t xml:space="preserve">                                                         CANDIDAT  A0009</w:t>
      </w:r>
    </w:p>
    <w:p w:rsidR="00A9317C">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00587702">
      <w:pPr>
        <w:rPr>
          <w:rStyle w:val="Fontdeparagrafimplicit"/>
          <w:rFonts w:ascii="Garamond" w:hAnsi="Garamond"/>
        </w:rPr>
      </w:pPr>
      <w:r>
        <w:rPr>
          <w:rStyle w:val="Fontdeparagrafimplicit"/>
          <w:rFonts w:ascii="Garamond" w:hAnsi="Garamond"/>
        </w:rPr>
        <w:t>Cod ECLI    ECLI:RO:</w:t>
      </w:r>
      <w:r>
        <w:rPr>
          <w:rStyle w:val="Fontdeparagrafimplicit"/>
          <w:rFonts w:ascii="Garamond" w:hAnsi="Garamond"/>
        </w:rPr>
        <w:t>...........</w:t>
      </w:r>
    </w:p>
    <w:p w:rsidR="00A9317C">
      <w:r>
        <w:t xml:space="preserve"> </w:t>
      </w:r>
      <w:r w:rsidR="00FF6FC7">
        <w:t>Dosar nr.</w:t>
      </w:r>
      <w:r>
        <w:t>...............</w:t>
      </w:r>
    </w:p>
    <w:p w:rsidR="00A9317C"/>
    <w:p w:rsidR="00A9317C">
      <w:pPr>
        <w:jc w:val="center"/>
      </w:pPr>
      <w:r>
        <w:t>R O M Â N I A</w:t>
      </w:r>
    </w:p>
    <w:p w:rsidR="00A9317C">
      <w:pPr>
        <w:jc w:val="center"/>
      </w:pPr>
      <w:r>
        <w:t xml:space="preserve">CURTEA DE APEL </w:t>
      </w:r>
      <w:r w:rsidR="00587702">
        <w:t>.............</w:t>
      </w:r>
    </w:p>
    <w:p w:rsidR="00A9317C">
      <w:pPr>
        <w:jc w:val="center"/>
      </w:pPr>
      <w:r>
        <w:t xml:space="preserve">SECŢIA </w:t>
      </w:r>
      <w:r w:rsidR="00587702">
        <w:t>............</w:t>
      </w:r>
      <w:r>
        <w:t>CONTENCIOS ADMINISTRATIV ŞI FISCAL</w:t>
      </w:r>
    </w:p>
    <w:p w:rsidR="00587702">
      <w:pPr>
        <w:jc w:val="center"/>
      </w:pPr>
      <w:r>
        <w:t xml:space="preserve">Sentința civilă nr. </w:t>
      </w:r>
      <w:r>
        <w:t>............</w:t>
      </w:r>
    </w:p>
    <w:p w:rsidR="00A9317C">
      <w:pPr>
        <w:jc w:val="center"/>
      </w:pPr>
      <w:r>
        <w:t xml:space="preserve">Şedinţa publică de la </w:t>
      </w:r>
      <w:r w:rsidR="00587702">
        <w:t>............</w:t>
      </w:r>
    </w:p>
    <w:p w:rsidR="00A9317C">
      <w:pPr>
        <w:jc w:val="center"/>
      </w:pPr>
      <w:r>
        <w:t>Curtea constituită din:</w:t>
      </w:r>
    </w:p>
    <w:p w:rsidR="00A9317C">
      <w:pPr>
        <w:jc w:val="center"/>
      </w:pPr>
      <w:r>
        <w:t xml:space="preserve">Președinte: </w:t>
      </w:r>
      <w:r w:rsidR="00587702">
        <w:t>CANDIDAT A0009</w:t>
      </w:r>
    </w:p>
    <w:p w:rsidR="00A9317C">
      <w:pPr>
        <w:jc w:val="center"/>
      </w:pPr>
      <w:r>
        <w:t xml:space="preserve">Grefier: </w:t>
      </w:r>
      <w:r w:rsidR="00587702">
        <w:t>..................</w:t>
      </w:r>
    </w:p>
    <w:p w:rsidR="00A9317C"/>
    <w:p w:rsidR="00A9317C">
      <w:pPr>
        <w:ind w:firstLine="709"/>
        <w:jc w:val="both"/>
      </w:pPr>
    </w:p>
    <w:p w:rsidR="00A9317C">
      <w:pPr>
        <w:ind w:firstLine="567"/>
        <w:jc w:val="both"/>
      </w:pPr>
      <w:r>
        <w:t xml:space="preserve">Pe rol se află soluţionarea cererii de chemare în judecată formulată de reclamanta S.C. </w:t>
      </w:r>
      <w:r w:rsidR="00587702">
        <w:t xml:space="preserve">AB </w:t>
      </w:r>
      <w:r>
        <w:t xml:space="preserve">S.R.L., în contradictoriu cu pârâtul Ministerul Fondurilor Europene, prin reprezentant Ministerul Finanțelor Publice, având ca obiect obligaţia de a face. </w:t>
      </w:r>
    </w:p>
    <w:p w:rsidR="00A9317C">
      <w:pPr>
        <w:ind w:firstLine="567"/>
        <w:jc w:val="both"/>
      </w:pPr>
      <w:r>
        <w:t>Dezbaterile asupra fondului şi susţinerile părţilor au avut loc în şedinţa publică din</w:t>
      </w:r>
      <w:r w:rsidR="00587702">
        <w:t>............</w:t>
      </w:r>
      <w:r>
        <w:t xml:space="preserve">, fiind consemnate în încheierea de şedinţă de la acea dată, parte integrantă din prezenta, termen la care instanţa, pentru a da posibilitatea părţilor să formuleze concluzii scrise, a amânat pronunţarea succesiv la </w:t>
      </w:r>
      <w:r w:rsidR="00587702">
        <w:t>...........</w:t>
      </w:r>
      <w:r>
        <w:t xml:space="preserve"> și al</w:t>
      </w:r>
      <w:r w:rsidR="00587702">
        <w:t xml:space="preserve"> ...........</w:t>
      </w:r>
      <w:r>
        <w:t xml:space="preserve">, când a hotărât următoarele: </w:t>
      </w:r>
    </w:p>
    <w:p w:rsidR="00A9317C">
      <w:pPr>
        <w:jc w:val="center"/>
        <w:rPr>
          <w:rStyle w:val="Fontdeparagrafimplicit"/>
          <w:b/>
        </w:rPr>
      </w:pPr>
    </w:p>
    <w:p w:rsidR="00A9317C">
      <w:pPr>
        <w:jc w:val="center"/>
        <w:rPr>
          <w:rStyle w:val="Fontdeparagrafimplicit"/>
          <w:b/>
        </w:rPr>
      </w:pPr>
      <w:r>
        <w:rPr>
          <w:rStyle w:val="Fontdeparagrafimplicit"/>
          <w:b/>
        </w:rPr>
        <w:t>CURTEA,</w:t>
      </w:r>
    </w:p>
    <w:p w:rsidR="00A9317C">
      <w:pPr>
        <w:widowControl w:val="0"/>
        <w:jc w:val="both"/>
        <w:rPr>
          <w:rStyle w:val="Fontdeparagrafimplicit"/>
          <w:b/>
        </w:rPr>
      </w:pPr>
    </w:p>
    <w:p w:rsidR="00A9317C">
      <w:pPr>
        <w:widowControl w:val="0"/>
        <w:ind w:firstLine="567"/>
        <w:jc w:val="both"/>
        <w:rPr>
          <w:rStyle w:val="Fontdeparagrafimplicit"/>
          <w:b/>
        </w:rPr>
      </w:pPr>
      <w:r>
        <w:rPr>
          <w:rStyle w:val="Fontdeparagrafimplicit"/>
          <w:b/>
        </w:rPr>
        <w:t>Deliberând asupra prezentei cereri de chemare în judecată, constată următoarele:</w:t>
      </w:r>
    </w:p>
    <w:p w:rsidR="00A9317C">
      <w:pPr>
        <w:widowControl w:val="0"/>
        <w:ind w:firstLine="567"/>
        <w:jc w:val="both"/>
        <w:rPr>
          <w:rStyle w:val="Fontdeparagrafimplicit"/>
          <w:b/>
        </w:rPr>
      </w:pPr>
    </w:p>
    <w:p w:rsidR="00A9317C">
      <w:pPr>
        <w:widowControl w:val="0"/>
        <w:numPr>
          <w:ilvl w:val="0"/>
          <w:numId w:val="5"/>
        </w:numPr>
        <w:spacing w:after="200" w:line="276" w:lineRule="auto"/>
        <w:jc w:val="both"/>
        <w:rPr>
          <w:rStyle w:val="Fontdeparagrafimplicit"/>
          <w:b/>
        </w:rPr>
      </w:pPr>
      <w:r>
        <w:rPr>
          <w:rStyle w:val="Fontdeparagrafimplicit"/>
          <w:b/>
        </w:rPr>
        <w:t>Cererea de chemare în judecată.</w:t>
      </w:r>
    </w:p>
    <w:p w:rsidR="00A9317C">
      <w:pPr>
        <w:widowControl w:val="0"/>
        <w:ind w:left="720"/>
        <w:jc w:val="both"/>
        <w:rPr>
          <w:rStyle w:val="Fontdeparagrafimplicit"/>
        </w:rPr>
      </w:pPr>
    </w:p>
    <w:p w:rsidR="00A9317C">
      <w:pPr>
        <w:widowControl w:val="0"/>
        <w:ind w:firstLine="567"/>
        <w:jc w:val="both"/>
      </w:pPr>
      <w:r>
        <w:t xml:space="preserve">Prin cererea înregistrată pe rolul </w:t>
      </w:r>
      <w:r w:rsidR="00587702">
        <w:t>Curții de Apel ..........</w:t>
      </w:r>
      <w:r>
        <w:t xml:space="preserve">– Secția </w:t>
      </w:r>
      <w:r w:rsidR="00587702">
        <w:t>..........</w:t>
      </w:r>
      <w:r>
        <w:t xml:space="preserve">contencios administrativ și fiscal la data de 13.10.2015, reclamanta S.C. </w:t>
      </w:r>
      <w:r w:rsidR="00587702">
        <w:t xml:space="preserve">AB </w:t>
      </w:r>
      <w:r>
        <w:t>S.R.L., în contradictoriu cu Ministerul Fondurilor Europene, a solicitat instanței să dispună obligarea pârâtului la îndeplinirea obligațiilor contractuale, respectiv să aprobe Raportul final însoțit de fișele de prezență ale experților și Nota de certificare a serviciilor prestate de reclamantă în executarea contractului, precum și să îi plătească suma de 43.680 euro, reprezentând c/v serviciilor prestate în temeiul contractului.</w:t>
      </w:r>
    </w:p>
    <w:p w:rsidR="00A9317C">
      <w:pPr>
        <w:widowControl w:val="0"/>
        <w:ind w:firstLine="567"/>
        <w:jc w:val="both"/>
      </w:pPr>
      <w:r>
        <w:t xml:space="preserve">În motivarea cererii de chemare în judecată, s-a arătat, în esență, că între pârât, in calitate de promitent achizitor, si </w:t>
      </w:r>
      <w:r w:rsidR="00587702">
        <w:t xml:space="preserve">AB </w:t>
      </w:r>
      <w:r>
        <w:t>S.R.L. (unul dintre cei treizeci si noua de promitenți prestatori) a fost încheiat Acordul-cadru de servicii având ca obiect asigurarea serviciilor unor experţi, care sa vina in sprijinul autorităţilor din sistemul de management al instrumentelor structurale. Sursele de finanțare au fost asigurate din fondurile alocate  Programului Operaţional Asistenta Tehnica, din Fondul European de Dezvoltare Regionala si de la Bugetul de Stat, conform Instrucţiunii pentru Ofertanţi, parte a documentaţiei de atribuire.</w:t>
      </w:r>
    </w:p>
    <w:p w:rsidR="00A9317C">
      <w:pPr>
        <w:widowControl w:val="0"/>
        <w:ind w:firstLine="567"/>
        <w:jc w:val="both"/>
      </w:pPr>
      <w:r>
        <w:t xml:space="preserve">In conformitate cu prevederile Caietului de sarcini aferent Acordului-cadru, în scopul încheierii contractului subsecvent, a fost lansata Invitaţia de participare la reofertare nr. </w:t>
      </w:r>
      <w:r w:rsidR="00587702">
        <w:t>..........</w:t>
      </w:r>
      <w:r>
        <w:t>/26.08.2013.</w:t>
      </w:r>
    </w:p>
    <w:p w:rsidR="00A9317C">
      <w:pPr>
        <w:widowControl w:val="0"/>
        <w:ind w:firstLine="567"/>
        <w:jc w:val="both"/>
      </w:pPr>
      <w:r>
        <w:t>In urma evaluării ofertelor depuse în procedura de reofertare, oferta reclamantei a fost declarata câştigătoare.</w:t>
      </w:r>
    </w:p>
    <w:p w:rsidR="00A9317C">
      <w:pPr>
        <w:widowControl w:val="0"/>
        <w:ind w:firstLine="567"/>
        <w:jc w:val="both"/>
      </w:pPr>
      <w:r>
        <w:t xml:space="preserve">Ulterior, la 30 septembrie 2013, între pârât, in calitate de achizitor, si reclamantă, in calitate de prestator, a fost încheiat contractul subsecvent având ca obiect servicii care sa vina in sprijinul Autorităţii de Management pentru POS Mediu („APOS Mediu"), acesta fiind înregistrat sub nr. </w:t>
      </w:r>
      <w:r w:rsidR="00587702">
        <w:t>..........</w:t>
      </w:r>
      <w:r>
        <w:t>/22.10.2013.</w:t>
      </w:r>
    </w:p>
    <w:p w:rsidR="00A9317C">
      <w:pPr>
        <w:widowControl w:val="0"/>
        <w:ind w:firstLine="567"/>
        <w:jc w:val="both"/>
      </w:pPr>
      <w:r>
        <w:t>In executarea contractului subsecvent, reclamanta a folosit serviciile a patru experți , după cum urmează:</w:t>
      </w:r>
    </w:p>
    <w:p w:rsidR="00A9317C">
      <w:pPr>
        <w:widowControl w:val="0"/>
        <w:numPr>
          <w:ilvl w:val="0"/>
          <w:numId w:val="11"/>
        </w:numPr>
        <w:spacing w:after="200" w:line="276" w:lineRule="auto"/>
        <w:ind w:left="0" w:firstLine="567"/>
        <w:contextualSpacing/>
        <w:jc w:val="both"/>
      </w:pPr>
      <w:r>
        <w:t xml:space="preserve">expert financiar in scriere cereri de finanţare, </w:t>
      </w:r>
      <w:r w:rsidR="00587702">
        <w:t>BC</w:t>
      </w:r>
      <w:r>
        <w:t>(57 zile lucrate);</w:t>
      </w:r>
    </w:p>
    <w:p w:rsidR="00A9317C">
      <w:pPr>
        <w:widowControl w:val="0"/>
        <w:numPr>
          <w:ilvl w:val="0"/>
          <w:numId w:val="11"/>
        </w:numPr>
        <w:spacing w:after="200" w:line="276" w:lineRule="auto"/>
        <w:ind w:left="0" w:firstLine="567"/>
        <w:contextualSpacing/>
        <w:jc w:val="both"/>
      </w:pPr>
      <w:r>
        <w:t xml:space="preserve">expert scriere cereri de finanţare pentru domeniul deşeuri, </w:t>
      </w:r>
      <w:r w:rsidR="00587702">
        <w:t>CD</w:t>
      </w:r>
      <w:r>
        <w:t xml:space="preserve"> zile lucrate);</w:t>
      </w:r>
    </w:p>
    <w:p w:rsidR="00A9317C">
      <w:pPr>
        <w:widowControl w:val="0"/>
        <w:numPr>
          <w:ilvl w:val="0"/>
          <w:numId w:val="11"/>
        </w:numPr>
        <w:spacing w:after="200" w:line="276" w:lineRule="auto"/>
        <w:ind w:left="0" w:firstLine="567"/>
        <w:contextualSpacing/>
        <w:jc w:val="both"/>
      </w:pPr>
      <w:r>
        <w:t xml:space="preserve">expert instituţional in scriere cereri de finanţare, </w:t>
      </w:r>
      <w:r w:rsidR="00587702">
        <w:t>DE</w:t>
      </w:r>
      <w:r>
        <w:t>(37 zile lucrate);</w:t>
      </w:r>
    </w:p>
    <w:p w:rsidR="00A9317C">
      <w:pPr>
        <w:widowControl w:val="0"/>
        <w:numPr>
          <w:ilvl w:val="0"/>
          <w:numId w:val="11"/>
        </w:numPr>
        <w:spacing w:after="200" w:line="276" w:lineRule="auto"/>
        <w:ind w:left="0" w:firstLine="567"/>
        <w:contextualSpacing/>
        <w:jc w:val="both"/>
      </w:pPr>
      <w:r>
        <w:t xml:space="preserve">expert financiar in scriere cereri de finanţare, </w:t>
      </w:r>
      <w:r w:rsidR="00587702">
        <w:t>EF</w:t>
      </w:r>
      <w:r>
        <w:t>(56 zile lucrate);</w:t>
      </w:r>
    </w:p>
    <w:p w:rsidR="00A9317C">
      <w:pPr>
        <w:widowControl w:val="0"/>
        <w:ind w:firstLine="567"/>
        <w:jc w:val="both"/>
      </w:pPr>
      <w:r>
        <w:t>Conform Raportului final aferent contractului subsecvent, perioada de derulare a contractului a fost 29.10.2013 - 31.03.2014.</w:t>
      </w:r>
    </w:p>
    <w:p w:rsidR="00A9317C">
      <w:pPr>
        <w:widowControl w:val="0"/>
        <w:ind w:firstLine="567"/>
        <w:jc w:val="both"/>
      </w:pPr>
      <w:r>
        <w:t>Preţul Contractului subsecvent este, potrivit dispoziţiilor acestuia, de 67.200 euro fără T.V.A., respectiv 83.328 euro cu T.V.A. si se calculează după formula: 4 experţi x 280 euro x 60 zile lucrătoare = 67.200 euro.</w:t>
      </w:r>
    </w:p>
    <w:p w:rsidR="00A9317C">
      <w:pPr>
        <w:widowControl w:val="0"/>
        <w:ind w:firstLine="567"/>
        <w:jc w:val="both"/>
      </w:pPr>
      <w:r>
        <w:t>Astfel, suma cuvenita reclamantei pentru îndeplinirea obligaţiilor contractuale este de 43.680 euro fără T.V.A. si rezultă din însumarea prețului corespunzător serviciilor prestate de fiecare expert in parte, calculat cu respectarea prevederilor contractuale, după cum urmează:</w:t>
      </w:r>
    </w:p>
    <w:p w:rsidR="00A9317C">
      <w:pPr>
        <w:widowControl w:val="0"/>
        <w:numPr>
          <w:ilvl w:val="0"/>
          <w:numId w:val="11"/>
        </w:numPr>
        <w:spacing w:after="200" w:line="276" w:lineRule="auto"/>
        <w:contextualSpacing/>
        <w:jc w:val="both"/>
      </w:pPr>
      <w:r>
        <w:t>BC</w:t>
      </w:r>
      <w:r w:rsidR="00FF6FC7">
        <w:t>: 280 euro x 57 zile lucrătoare = 15.960 euro</w:t>
      </w:r>
    </w:p>
    <w:p w:rsidR="00A9317C">
      <w:pPr>
        <w:widowControl w:val="0"/>
        <w:numPr>
          <w:ilvl w:val="0"/>
          <w:numId w:val="11"/>
        </w:numPr>
        <w:spacing w:after="200" w:line="276" w:lineRule="auto"/>
        <w:contextualSpacing/>
        <w:jc w:val="both"/>
      </w:pPr>
      <w:r>
        <w:t>CD</w:t>
      </w:r>
      <w:r w:rsidR="00FF6FC7">
        <w:t>: 280 euro x 6 zile lucrătoare = 1.680 euro</w:t>
      </w:r>
    </w:p>
    <w:p w:rsidR="00A9317C">
      <w:pPr>
        <w:widowControl w:val="0"/>
        <w:numPr>
          <w:ilvl w:val="0"/>
          <w:numId w:val="11"/>
        </w:numPr>
        <w:spacing w:after="200" w:line="276" w:lineRule="auto"/>
        <w:contextualSpacing/>
        <w:jc w:val="both"/>
      </w:pPr>
      <w:r>
        <w:t>DE</w:t>
      </w:r>
      <w:r w:rsidR="00FF6FC7">
        <w:t>: 280 euro x 37 zile lucrătoare = 10.360 euro</w:t>
      </w:r>
    </w:p>
    <w:p w:rsidR="00A9317C">
      <w:pPr>
        <w:widowControl w:val="0"/>
        <w:numPr>
          <w:ilvl w:val="0"/>
          <w:numId w:val="11"/>
        </w:numPr>
        <w:spacing w:after="200" w:line="276" w:lineRule="auto"/>
        <w:contextualSpacing/>
        <w:jc w:val="both"/>
      </w:pPr>
      <w:r>
        <w:t>EF</w:t>
      </w:r>
      <w:r w:rsidR="00FF6FC7">
        <w:t>: 280 euro x 56 zile lucrătoare = 15.680 euro.</w:t>
      </w:r>
    </w:p>
    <w:p w:rsidR="00A9317C">
      <w:pPr>
        <w:widowControl w:val="0"/>
        <w:ind w:firstLine="567"/>
        <w:jc w:val="both"/>
      </w:pPr>
      <w:r>
        <w:t xml:space="preserve">Experţii mobilizaţi de reclamanta au prestat activităţi specifice contractului subsecvent pe o perioada totala de 156 de zile. </w:t>
      </w:r>
    </w:p>
    <w:p w:rsidR="00A9317C">
      <w:pPr>
        <w:ind w:firstLine="567"/>
        <w:jc w:val="both"/>
      </w:pPr>
      <w:r>
        <w:t xml:space="preserve">S.C. </w:t>
      </w:r>
      <w:r w:rsidR="00587702">
        <w:t>AB</w:t>
      </w:r>
      <w:r w:rsidR="00AE76E2">
        <w:t xml:space="preserve"> </w:t>
      </w:r>
      <w:r>
        <w:t xml:space="preserve">S.R.L. a transmis pârâtului, cu adresa nr. </w:t>
      </w:r>
      <w:r w:rsidR="00AE76E2">
        <w:t>.........</w:t>
      </w:r>
      <w:r>
        <w:t xml:space="preserve">/20.05.2014, înregistrată la M.F.E. - Registratura generala sub nr. </w:t>
      </w:r>
      <w:r w:rsidR="00AE76E2">
        <w:t>.........</w:t>
      </w:r>
      <w:r>
        <w:t>/20.05.2014, Raportul final însoțit de Fisele de prezență ale experţilor, precum si Nota de certificare a serviciilor prestate.</w:t>
      </w:r>
    </w:p>
    <w:p w:rsidR="00A9317C">
      <w:pPr>
        <w:ind w:firstLine="567"/>
        <w:jc w:val="both"/>
      </w:pPr>
      <w:r>
        <w:t xml:space="preserve">Drept răspuns, pârâtul a comunicat reclamantei (pe e-mail, în data de 13 ianuarie 2015) Adresa nr. </w:t>
      </w:r>
      <w:r w:rsidR="00AE76E2">
        <w:t>.........</w:t>
      </w:r>
      <w:r>
        <w:t xml:space="preserve">/17.12.2014, emisa de Direcţia Generala APOS Mediu, în cuprinsul căreia se menționează că, in conformitate cu art. 7 dintr-un Acord de implementare încheiat între M.F.E. si Ministerul Mediului si Schimbărilor Climatice - APOS Mediu,  această din urmă instituție avizează parţial, cu observaţii, raportul final transmis de operatorul economic </w:t>
      </w:r>
      <w:r w:rsidR="00587702">
        <w:t>AB</w:t>
      </w:r>
      <w:r>
        <w:t>S.R.L..</w:t>
      </w:r>
    </w:p>
    <w:p w:rsidR="00A9317C">
      <w:pPr>
        <w:ind w:firstLine="567"/>
        <w:jc w:val="both"/>
      </w:pPr>
      <w:r>
        <w:t>În aceeași adresă se specifică faptul că APOS Mediu „propune ca plata sa se efectueze ținând cont de livrabilul/livrabilele aprobate după cum urmează:</w:t>
      </w:r>
    </w:p>
    <w:p w:rsidR="00A9317C">
      <w:pPr>
        <w:numPr>
          <w:ilvl w:val="0"/>
          <w:numId w:val="11"/>
        </w:numPr>
        <w:spacing w:after="200" w:line="276" w:lineRule="auto"/>
        <w:ind w:left="0" w:firstLine="567"/>
        <w:contextualSpacing/>
        <w:jc w:val="both"/>
      </w:pPr>
      <w:r>
        <w:t>BC</w:t>
      </w:r>
      <w:r w:rsidR="00FF6FC7">
        <w:t>, expert financiar în scriere cereri de finanţare, a participat la elaborarea a 4 cereri de finanţa</w:t>
      </w:r>
      <w:r w:rsidR="00AE76E2">
        <w:t>re aferente localităţilor V, C, Z si T</w:t>
      </w:r>
      <w:r w:rsidR="00FF6FC7">
        <w:t>, pentru care, in conformitate cu prevederile Anexei 1 la Acordul de implementare, are alocat un număr de 4,8 zile pentru o cerere de finanţare. Astfel, ținând cont de faptul ca proiectele pot fi aprobate, suma cuvenita este de 4,8 zile * 280 euro * 4 cereri de finanţare = 4032 euro;</w:t>
      </w:r>
    </w:p>
    <w:p w:rsidR="00A9317C">
      <w:pPr>
        <w:numPr>
          <w:ilvl w:val="0"/>
          <w:numId w:val="11"/>
        </w:numPr>
        <w:spacing w:after="200" w:line="276" w:lineRule="auto"/>
        <w:ind w:left="0" w:firstLine="567"/>
        <w:contextualSpacing/>
        <w:jc w:val="both"/>
      </w:pPr>
      <w:r>
        <w:t>EF</w:t>
      </w:r>
      <w:r w:rsidR="00FF6FC7">
        <w:t>, expert financiar în scriere cereri de finanţare, a participat la elaborarea cererii de finanţ</w:t>
      </w:r>
      <w:r>
        <w:t>are aferenta localităţii Vl</w:t>
      </w:r>
      <w:r w:rsidR="00FF6FC7">
        <w:t xml:space="preserve"> pentru care, in conformitate cu prevederile Anexei 1 la Acordul de implementare, are alocat un număr de 4,8 zile pentru o cerere de finanţare. Astfel, ținând cont de faptul ca proiectul poate fi aprobat, suma cuvenita este de 4,8 zile * 280 euro = 1344 euro; </w:t>
      </w:r>
    </w:p>
    <w:p w:rsidR="00A9317C">
      <w:pPr>
        <w:numPr>
          <w:ilvl w:val="0"/>
          <w:numId w:val="11"/>
        </w:numPr>
        <w:spacing w:after="200" w:line="276" w:lineRule="auto"/>
        <w:ind w:left="0" w:firstLine="567"/>
        <w:contextualSpacing/>
        <w:jc w:val="both"/>
      </w:pPr>
      <w:r>
        <w:t>DE</w:t>
      </w:r>
      <w:r w:rsidR="00FF6FC7">
        <w:t>, expert instituţional în scriere cereri de finanţare, a participat la elaborarea cererii de finanţare afere</w:t>
      </w:r>
      <w:r>
        <w:t>ntă localităţii T</w:t>
      </w:r>
      <w:r w:rsidR="00FF6FC7">
        <w:t>, pentru care, în conformitate cu prevederile Anexei 1 la Acordul de implementare, are alocat un număr de 4,8 zile pentru o cerere de finanţare. Astfel, ținând cont de faptul ca proiectul poate fi aprobat, suma cuvenita este de 4,8 zile * 280 euro = 1344 euro.</w:t>
      </w:r>
    </w:p>
    <w:p w:rsidR="00A9317C">
      <w:pPr>
        <w:ind w:firstLine="567"/>
        <w:jc w:val="both"/>
      </w:pPr>
      <w:r>
        <w:t>Pentru cel de-al patrulea expert, Adresa in discuţie nu conţine nicio referire cu privire la decontarea serviciilor prestate.</w:t>
      </w:r>
    </w:p>
    <w:p w:rsidR="00A9317C">
      <w:pPr>
        <w:ind w:firstLine="567"/>
        <w:jc w:val="both"/>
      </w:pPr>
      <w:r>
        <w:t>Ulterior primirii acestui răspuns, reclamanta și ceilalţi operatori semnatari ai Acordului-cadru au încercat în repetate rânduri clarificarea situaţiei create în urma refuzului de recunoaştere a activităţilor prestate de experţi.</w:t>
      </w:r>
    </w:p>
    <w:p w:rsidR="00A9317C">
      <w:pPr>
        <w:ind w:firstLine="567"/>
        <w:jc w:val="both"/>
      </w:pPr>
      <w:r>
        <w:t xml:space="preserve">In acest sens, au fost formulate adrese comune ce urmăreau fixarea unor întâlniri care sa aibă ca obiect finalizarea amiabila a contractului, semnificative în acest sens fiind Adresa nr. </w:t>
      </w:r>
      <w:r w:rsidR="00AE76E2">
        <w:t>.........</w:t>
      </w:r>
      <w:r>
        <w:t xml:space="preserve">/18.03.2015 și Adresa nr. </w:t>
      </w:r>
      <w:r w:rsidR="00AE76E2">
        <w:t>.........</w:t>
      </w:r>
      <w:r>
        <w:t>/07.04.2015.</w:t>
      </w:r>
    </w:p>
    <w:p w:rsidR="00A9317C">
      <w:pPr>
        <w:ind w:firstLine="567"/>
        <w:jc w:val="both"/>
      </w:pPr>
      <w:r>
        <w:t xml:space="preserve">Fără a da curs solicitării de organizare a unei întâlniri, M.F.E. a transmis S.C. </w:t>
      </w:r>
      <w:r w:rsidR="00587702">
        <w:t>AB</w:t>
      </w:r>
      <w:r w:rsidR="00AE76E2">
        <w:t xml:space="preserve"> </w:t>
      </w:r>
      <w:r>
        <w:t xml:space="preserve">S.R.L. Adresa nr. </w:t>
      </w:r>
      <w:r w:rsidR="00AE76E2">
        <w:t>.........</w:t>
      </w:r>
      <w:r>
        <w:t xml:space="preserve">/29.06.2015 (primită de reclamantă pe e-mail la 1 iulie 2015), adresă ce aduce ca element de noutate, față de Adresa nr. </w:t>
      </w:r>
      <w:r w:rsidR="00AE76E2">
        <w:t>.........</w:t>
      </w:r>
      <w:r>
        <w:t xml:space="preserve">/17.12.2014, acceptarea la plata a unei sume de 5.376 euro pentru expertul </w:t>
      </w:r>
      <w:r w:rsidR="00587702">
        <w:t>BC</w:t>
      </w:r>
      <w:r>
        <w:t>(față de suma de 4032 euro indicată iniţial).</w:t>
      </w:r>
    </w:p>
    <w:p w:rsidR="00A9317C">
      <w:pPr>
        <w:ind w:firstLine="567"/>
        <w:jc w:val="both"/>
      </w:pPr>
      <w:r>
        <w:t xml:space="preserve">În cuprinsul Adresei nr. </w:t>
      </w:r>
      <w:r w:rsidR="00AE76E2">
        <w:t>.........</w:t>
      </w:r>
      <w:r>
        <w:t>/29.06.2015, se menționează din nou avizarea parţiala a raportului final transmis de reclamanta „având în vedere că obiectivele contractului (din punctul de vedere al maturităţii livrabilelor) au fost atinse parţial", propunându-se ca plata experţilor sa se efectueze ținând cont de livrabilul/livrabilele aprobate si cu luarea in considerare a unui număr de 4,8 zile pentru fiecare cerere de finanţare.</w:t>
      </w:r>
    </w:p>
    <w:p w:rsidR="00A9317C">
      <w:pPr>
        <w:ind w:firstLine="567"/>
        <w:jc w:val="both"/>
      </w:pPr>
      <w:r>
        <w:t>Având în vedere această din urmă adresă, precum și solicitările reclamantei (la care se adaugă cele ale celorlalţi operatori economici semnatari ai Acordului-cadru), în data de 07.07.2015 a fost organizata o sesiune de conciliere între părţile contractante.</w:t>
      </w:r>
    </w:p>
    <w:p w:rsidR="00A9317C">
      <w:pPr>
        <w:ind w:firstLine="567"/>
        <w:jc w:val="both"/>
      </w:pPr>
      <w:r>
        <w:t>Cu această ocazie a fost redactată Minuta întâlnirii de conciliere din 07.07.2015, minută care face dovada îndeplinirii procedurii prealabile impuse de art. 7 alin. 6 din Legea nr. 554/2004.</w:t>
      </w:r>
    </w:p>
    <w:p w:rsidR="00A9317C">
      <w:pPr>
        <w:ind w:firstLine="567"/>
        <w:jc w:val="both"/>
      </w:pPr>
      <w:r>
        <w:t>Deși, în urma discuţiei pe marginea necunoaşterii si neasumării Acordului de implementare ce a stat la baza refuzului de recunoaştere a activităţilor prestate de experţi, s-a stabilit că „Beneficiarul, împreună cu Autoritatea contractantă să ia o decizie care să fie comunicată prestatorilor vineri, 10.07.2015.", reclamanta nu a primit niciun răspuns.</w:t>
      </w:r>
    </w:p>
    <w:p w:rsidR="00A9317C">
      <w:pPr>
        <w:ind w:firstLine="567"/>
        <w:jc w:val="both"/>
      </w:pPr>
      <w:r>
        <w:t>Cu toate că reclamanta și-a îndeplinit întocmai si la timp obligaţiile asumate, pârâtul nu a înțeles să execute obligațiile care-i incumbă în urma semnării Acordului –cadru și a contractului subsecvent, astfel că se impune cenzurarea de instanță a acestui refuz nejustificat.</w:t>
      </w:r>
    </w:p>
    <w:p w:rsidR="00A9317C">
      <w:pPr>
        <w:ind w:firstLine="567"/>
        <w:jc w:val="both"/>
      </w:pPr>
      <w:r>
        <w:t>În drept, au fost invocate dispozițiile art. 8 alin. 2 din Legea nr. 554/2004.</w:t>
      </w:r>
    </w:p>
    <w:p w:rsidR="00A9317C">
      <w:pPr>
        <w:ind w:firstLine="567"/>
        <w:jc w:val="both"/>
      </w:pPr>
      <w:r>
        <w:t>În probațiune, s-a solicitat încuviințarea administrării probei cu înscrisuri.</w:t>
      </w:r>
    </w:p>
    <w:p w:rsidR="00A9317C">
      <w:pPr>
        <w:ind w:firstLine="567"/>
        <w:jc w:val="both"/>
      </w:pPr>
      <w:r>
        <w:t>La 23.02.2016, reclamata a formulat o cerere prin care a arătat că, în urma plății sumei de 8.064 euro, își micșorează pretențiile.</w:t>
      </w:r>
    </w:p>
    <w:p w:rsidR="00A9317C">
      <w:pPr>
        <w:jc w:val="both"/>
      </w:pPr>
    </w:p>
    <w:p w:rsidR="00A9317C">
      <w:pPr>
        <w:numPr>
          <w:ilvl w:val="0"/>
          <w:numId w:val="5"/>
        </w:numPr>
        <w:spacing w:after="200" w:line="276" w:lineRule="auto"/>
        <w:contextualSpacing/>
        <w:jc w:val="both"/>
        <w:rPr>
          <w:rStyle w:val="Fontdeparagrafimplicit"/>
          <w:b/>
        </w:rPr>
      </w:pPr>
      <w:r>
        <w:rPr>
          <w:rStyle w:val="Fontdeparagrafimplicit"/>
          <w:b/>
        </w:rPr>
        <w:t>Aspecte procesuale relevante.</w:t>
      </w:r>
    </w:p>
    <w:p w:rsidR="00A9317C">
      <w:pPr>
        <w:jc w:val="both"/>
        <w:rPr>
          <w:rStyle w:val="Fontdeparagrafimplicit"/>
        </w:rPr>
      </w:pPr>
    </w:p>
    <w:p w:rsidR="00A9317C">
      <w:pPr>
        <w:ind w:firstLine="567"/>
        <w:jc w:val="both"/>
      </w:pPr>
      <w:r>
        <w:t>În temeiul dispoziţiilor art. 258 rap. la art. 255 C.pr.civ., în cauză a fost încuviinţată administrarea probei cu înscrisuri.</w:t>
      </w:r>
    </w:p>
    <w:p w:rsidR="00A9317C">
      <w:pPr>
        <w:ind w:firstLine="567"/>
        <w:jc w:val="both"/>
      </w:pPr>
      <w:r>
        <w:t>Pârâtul, deși legal citat nu a formulat întâmpinare, însă, la termenul de judecată din 06.09.2016, a invocat oral excepția tardivității formulării cererii de chemare în judecată și excepția inadmisibilității acțiunii, ca urmare a neparcurgerii procedurii prealabile în termenele defipte de lege.</w:t>
      </w:r>
    </w:p>
    <w:p w:rsidR="00A9317C">
      <w:pPr>
        <w:ind w:firstLine="567"/>
        <w:jc w:val="both"/>
      </w:pPr>
      <w:r>
        <w:t>La același termen, reclamanta a invocat excepția decăderii pârâtului din dreptul de a invoca excepția neparcurgerii procedurii prealabile.</w:t>
      </w:r>
    </w:p>
    <w:p w:rsidR="00A9317C">
      <w:pPr>
        <w:ind w:firstLine="567"/>
        <w:jc w:val="both"/>
      </w:pPr>
    </w:p>
    <w:p w:rsidR="00A9317C">
      <w:pPr>
        <w:numPr>
          <w:ilvl w:val="0"/>
          <w:numId w:val="5"/>
        </w:numPr>
        <w:spacing w:after="200" w:line="276" w:lineRule="auto"/>
        <w:contextualSpacing/>
        <w:jc w:val="both"/>
        <w:rPr>
          <w:rStyle w:val="Fontdeparagrafimplicit"/>
          <w:b/>
        </w:rPr>
      </w:pPr>
      <w:r>
        <w:rPr>
          <w:rStyle w:val="Fontdeparagrafimplicit"/>
          <w:b/>
        </w:rPr>
        <w:t xml:space="preserve"> Soluția instanței.</w:t>
      </w:r>
    </w:p>
    <w:p w:rsidR="00A9317C">
      <w:pPr>
        <w:ind w:left="720"/>
        <w:jc w:val="both"/>
        <w:rPr>
          <w:rStyle w:val="Fontdeparagrafimplicit"/>
          <w:b/>
        </w:rPr>
      </w:pPr>
    </w:p>
    <w:p w:rsidR="00A9317C">
      <w:pPr>
        <w:numPr>
          <w:ilvl w:val="0"/>
          <w:numId w:val="6"/>
        </w:numPr>
        <w:spacing w:after="200" w:line="276" w:lineRule="auto"/>
        <w:contextualSpacing/>
        <w:jc w:val="both"/>
        <w:rPr>
          <w:rStyle w:val="Fontdeparagrafimplicit"/>
          <w:b/>
        </w:rPr>
      </w:pPr>
      <w:r>
        <w:rPr>
          <w:rStyle w:val="Fontdeparagrafimplicit"/>
          <w:b/>
        </w:rPr>
        <w:t>Situația de fapt relevantă în dosar.</w:t>
      </w:r>
    </w:p>
    <w:p w:rsidR="00A9317C">
      <w:pPr>
        <w:ind w:left="927"/>
        <w:contextualSpacing/>
        <w:jc w:val="both"/>
        <w:rPr>
          <w:rStyle w:val="Fontdeparagrafimplicit"/>
        </w:rPr>
      </w:pPr>
    </w:p>
    <w:p w:rsidR="00A9317C">
      <w:pPr>
        <w:ind w:firstLine="567"/>
        <w:jc w:val="both"/>
      </w:pPr>
      <w:r>
        <w:t>Între reclamantă, în calitate de promitent – prestator, și pârâtă, în calitate de promitent – achizitor, s-a încheiat Ac</w:t>
      </w:r>
      <w:r w:rsidR="00AE76E2">
        <w:t>ordul – cadru de servicii nr. .......</w:t>
      </w:r>
      <w:r>
        <w:t>/12.06.2013 (f. 105 – 126 vol. I), având ca obiect asigurarea serviciilor unor experți, care să vină în sprijinul autorităților din sistemul de management al instrumentelor structurale.</w:t>
      </w:r>
    </w:p>
    <w:p w:rsidR="00A9317C">
      <w:pPr>
        <w:ind w:firstLine="567"/>
        <w:jc w:val="both"/>
      </w:pPr>
      <w:r>
        <w:t xml:space="preserve">Subsecvent, în executarea acestui Acord – cadru, a fost lansată invitația de participare la reofertare nr. </w:t>
      </w:r>
      <w:r w:rsidR="00587702">
        <w:t>..........</w:t>
      </w:r>
      <w:r>
        <w:t xml:space="preserve">/26.08.2013 (f. 154-158 vol. I), în urma evaluării ofertelor, propunerea reclamantei fiind declarată câștigătoare (f. 159-162 vol. I), astfel că a fost încheiat contractul subsecvent nr. </w:t>
      </w:r>
      <w:r w:rsidR="00587702">
        <w:t>..........</w:t>
      </w:r>
      <w:r>
        <w:t>/22.10.2013 (f. 163-176 vol. I), având ca obiect prestarea de servicii care să vină în sprijinul Autorității de Management pentru POS Mediu.</w:t>
      </w:r>
    </w:p>
    <w:p w:rsidR="00A9317C">
      <w:pPr>
        <w:ind w:firstLine="567"/>
        <w:jc w:val="both"/>
      </w:pPr>
      <w:r>
        <w:t xml:space="preserve">Ca urmare a executării serviciilor menționate, reclamanta a transmis pârâtei, prin adresa nr. </w:t>
      </w:r>
      <w:r w:rsidR="00AE76E2">
        <w:t>.........</w:t>
      </w:r>
      <w:r>
        <w:t xml:space="preserve"> din data de 20.05.2014 (f. 26 vol. I), Raportul final însoțit de fișele de prezență ale experților (f. 29-36 vol. I), precum și Nota de certificare a serviciilor prestate (f. 27-28 vol. I).</w:t>
      </w:r>
    </w:p>
    <w:p w:rsidR="00A9317C">
      <w:pPr>
        <w:ind w:firstLine="567"/>
        <w:jc w:val="both"/>
      </w:pPr>
      <w:r>
        <w:t xml:space="preserve">Prin adresa nr. </w:t>
      </w:r>
      <w:r w:rsidR="00AE76E2">
        <w:t>.........</w:t>
      </w:r>
      <w:r>
        <w:t xml:space="preserve">/17.12.2014 (f. 276 vol. II), comunicată reclamantei prin e-mail la data de 13.01.2015, i s-a adus la cunoștință că AM POS Mediu a avizat parțial, cu observații, Raportul final transmis de operatorul economic </w:t>
      </w:r>
      <w:r w:rsidR="00587702">
        <w:t>AB</w:t>
      </w:r>
      <w:r w:rsidR="00AE76E2">
        <w:t xml:space="preserve"> </w:t>
      </w:r>
      <w:r>
        <w:t xml:space="preserve">S.R.L.. </w:t>
      </w:r>
    </w:p>
    <w:p w:rsidR="00A9317C">
      <w:pPr>
        <w:ind w:firstLine="567"/>
        <w:jc w:val="both"/>
      </w:pPr>
      <w:r>
        <w:t>Ulterior primirii acestui răspuns, reclamanta și ceilalţi operatori semnatari ai Acordului-cadru au încercat clarificarea situaţiei create în urma refuzului de recunoaştere a activităţilor prestate de experţi.</w:t>
      </w:r>
    </w:p>
    <w:p w:rsidR="00A9317C">
      <w:pPr>
        <w:ind w:firstLine="567"/>
        <w:jc w:val="both"/>
      </w:pPr>
      <w:r>
        <w:t xml:space="preserve">In acest sens, au fost formulate adrese comune ce urmăreau fixarea unor întâlniri care sa aibă ca obiect finalizarea amiabila a contractului, semnificative în acest sens fiind Adresa nr. </w:t>
      </w:r>
      <w:r w:rsidR="00AE76E2">
        <w:t>.........</w:t>
      </w:r>
      <w:r>
        <w:t xml:space="preserve">/18.03.2015 (f. 285-287 vol. II) și Adresa nr. </w:t>
      </w:r>
      <w:r w:rsidR="00AE76E2">
        <w:t>.........</w:t>
      </w:r>
      <w:r>
        <w:t>/07.04.2015 (f. 288-291 vol. II).</w:t>
      </w:r>
    </w:p>
    <w:p w:rsidR="00A9317C">
      <w:pPr>
        <w:ind w:firstLine="567"/>
        <w:jc w:val="both"/>
      </w:pPr>
      <w:r>
        <w:t xml:space="preserve">Fără a da curs solicitării de organizare a unei întâlniri, M.F.E. a transmis S.C. </w:t>
      </w:r>
      <w:r w:rsidR="00587702">
        <w:t>AB</w:t>
      </w:r>
      <w:r w:rsidR="00AE76E2">
        <w:t xml:space="preserve"> </w:t>
      </w:r>
      <w:r>
        <w:t xml:space="preserve">S.R.L. Adresa nr. </w:t>
      </w:r>
      <w:r w:rsidR="00AE76E2">
        <w:t>.........</w:t>
      </w:r>
      <w:r>
        <w:t xml:space="preserve">/29.06.2015 (f. 293-295 vol. II), adresă ce aduce ca element de noutate, față de Adresa nr. </w:t>
      </w:r>
      <w:r w:rsidR="00AE76E2">
        <w:t>.........</w:t>
      </w:r>
      <w:r>
        <w:t xml:space="preserve">/17.12.2014, acceptarea la plata a unei sume de 5.376 euro pentru expertul </w:t>
      </w:r>
      <w:r w:rsidR="00587702">
        <w:t>BC</w:t>
      </w:r>
      <w:r>
        <w:t>(față de suma de 4032 euro acceptată iniţial).</w:t>
      </w:r>
    </w:p>
    <w:p w:rsidR="00A9317C">
      <w:pPr>
        <w:ind w:firstLine="567"/>
        <w:jc w:val="both"/>
      </w:pPr>
      <w:r>
        <w:t xml:space="preserve">În cuprinsul Adresei nr. </w:t>
      </w:r>
      <w:r w:rsidR="00AE76E2">
        <w:t>.........</w:t>
      </w:r>
      <w:r>
        <w:t>/29.06.2015, se menționează din nou avizarea parţiala a Raportului final transmis de reclamanta „având în vedere că obiectivele contractului (din punctul de vedere al maturităţii livrabilelor) au fost atinse parţial", propunându-se ca plata experţilor sa se efectueze ținând cont de livrabilul/livrabilele aprobate si cu luarea in considerare a unui număr de 4,8 zile pentru fiecare cerere de finanţare.</w:t>
      </w:r>
    </w:p>
    <w:p w:rsidR="00A9317C">
      <w:pPr>
        <w:ind w:firstLine="567"/>
        <w:jc w:val="both"/>
      </w:pPr>
      <w:r>
        <w:t>Având în vedere această din urma adresa, precum și solicitările reclamantei (și ale celorlalţi operatori economici semnatari ai Acordului-cadru), în data de 07.07.2015 a fost organizata o sesiune de conciliere intre părţile contractante.</w:t>
      </w:r>
    </w:p>
    <w:p w:rsidR="00A9317C">
      <w:pPr>
        <w:ind w:firstLine="567"/>
        <w:jc w:val="both"/>
      </w:pPr>
      <w:r>
        <w:t>Cu aceasta ocazie a fost redactata Minuta întâlnirii de conciliere din 07.07.2015 (f. 296-299 vol. II).</w:t>
      </w:r>
    </w:p>
    <w:p w:rsidR="00A9317C">
      <w:pPr>
        <w:ind w:firstLine="567"/>
        <w:jc w:val="both"/>
        <w:rPr>
          <w:rStyle w:val="Fontdeparagrafimplicit"/>
          <w:b/>
        </w:rPr>
      </w:pPr>
    </w:p>
    <w:p w:rsidR="00A9317C">
      <w:pPr>
        <w:numPr>
          <w:ilvl w:val="0"/>
          <w:numId w:val="6"/>
        </w:numPr>
        <w:spacing w:after="200" w:line="276" w:lineRule="auto"/>
        <w:contextualSpacing/>
        <w:jc w:val="both"/>
        <w:rPr>
          <w:rStyle w:val="Fontdeparagrafimplicit"/>
          <w:b/>
        </w:rPr>
      </w:pPr>
      <w:r>
        <w:rPr>
          <w:rStyle w:val="Fontdeparagrafimplicit"/>
          <w:b/>
        </w:rPr>
        <w:t>Analiza excepțiilor.</w:t>
      </w:r>
    </w:p>
    <w:p w:rsidR="00A9317C">
      <w:pPr>
        <w:spacing w:after="200" w:line="276" w:lineRule="auto"/>
        <w:contextualSpacing/>
        <w:jc w:val="both"/>
        <w:rPr>
          <w:rStyle w:val="Fontdeparagrafimplicit"/>
          <w:b/>
        </w:rPr>
      </w:pPr>
    </w:p>
    <w:p w:rsidR="00A9317C">
      <w:pPr>
        <w:numPr>
          <w:ilvl w:val="0"/>
          <w:numId w:val="7"/>
        </w:numPr>
        <w:spacing w:after="200" w:line="276" w:lineRule="auto"/>
        <w:contextualSpacing/>
        <w:jc w:val="both"/>
        <w:rPr>
          <w:rStyle w:val="Fontdeparagrafimplicit"/>
          <w:b/>
        </w:rPr>
      </w:pPr>
      <w:r>
        <w:rPr>
          <w:rStyle w:val="Fontdeparagrafimplicit"/>
          <w:b/>
        </w:rPr>
        <w:t>Excepția decăderii.</w:t>
      </w:r>
    </w:p>
    <w:p w:rsidR="00A9317C">
      <w:pPr>
        <w:ind w:left="927"/>
        <w:contextualSpacing/>
        <w:jc w:val="both"/>
        <w:rPr>
          <w:rStyle w:val="Fontdeparagrafimplicit"/>
        </w:rPr>
      </w:pPr>
    </w:p>
    <w:p w:rsidR="00A9317C">
      <w:pPr>
        <w:ind w:firstLine="540"/>
        <w:jc w:val="both"/>
      </w:pPr>
      <w:r>
        <w:rPr>
          <w:rStyle w:val="Fontdeparagrafimplicit"/>
          <w:b/>
          <w:i/>
        </w:rPr>
        <w:t>Preliminar</w:t>
      </w:r>
      <w:r>
        <w:t>, Curtea constată că reclamanta a invocat excepţia decăderii pârâtei din dreptul de a invoca excepţia inadmisibilității determinată de formularea tardivă a plângerii prealabile.</w:t>
      </w:r>
    </w:p>
    <w:p w:rsidR="00A9317C">
      <w:pPr>
        <w:ind w:firstLine="540"/>
        <w:jc w:val="both"/>
      </w:pPr>
      <w:r>
        <w:t xml:space="preserve">Tot cu titlu preliminar, Curtea reține că din punctul de vedere al efectelor plângerea prealabilă tardiv formulată este identică cu lipsa plângerii prealabile. </w:t>
      </w:r>
    </w:p>
    <w:p w:rsidR="00A9317C">
      <w:pPr>
        <w:ind w:firstLine="540"/>
        <w:jc w:val="both"/>
      </w:pPr>
      <w:r>
        <w:t xml:space="preserve">În cauză, în procedura scrisă, faţă de disp. art. 201 alin. 1 C.pr.civ., Curtea a dispus transmiterea cererii de chemare în judecată către pârât cu menţiunea de a depune întâmpinare în termen de 25 de zile de la comunicare (fila 311 vol. II), Ministerul Fondurilor Europene primind respectiva comunicare la data de 09.11.2015 (fila 311 vol. II). </w:t>
      </w:r>
    </w:p>
    <w:p w:rsidR="00A9317C">
      <w:pPr>
        <w:ind w:firstLine="540"/>
        <w:jc w:val="both"/>
      </w:pPr>
      <w:r>
        <w:t>Potrivit art. 201 alin. 1 C.pr.civ. „Judecătorul, de îndată ce constată că sunt îndeplinite condiţiile prevăzute de lege pentru cererea de chemare în judecată, dispune, prin rezoluţie, comunicarea acesteia către pârât, punându-i-se în vedere că are obligaţia de a depune întâmpinare, sub sancţiunea prevăzută de lege, care va fi indicată expres, în termen de 25 de zile de la comunicarea cererii de chemare în judecată, în condiţiile art. 165.” [s.n.].</w:t>
      </w:r>
    </w:p>
    <w:p w:rsidR="00A9317C">
      <w:pPr>
        <w:ind w:firstLine="540"/>
        <w:jc w:val="both"/>
      </w:pPr>
      <w:r>
        <w:t xml:space="preserve">Art. 205 alin. 2 C.pr.civ. prevede că „Întâmpinarea va cuprinde: (…) b) excepţiile procesuale pe care pârâtul le invocă faţă de cererea reclamantului; (…)”, iar la art. 208, având </w:t>
      </w:r>
      <w:r>
        <w:t xml:space="preserve">denumirea marginală Sancţiunea nedepunerii întâmpinării, se arată că „(1) Întâmpinarea este obligatorie, în afară de cazurile în care legea prevede în mod expres altfel. (2) Nedepunerea întâmpinării în termenul prevăzut de lege atrage decăderea pârâtului dindreptul de a mai propune probe şi de a invoca excepţii, în afara celor de ordine publică, dacă legea nu prevede altfel.” [s.n.]. </w:t>
      </w:r>
    </w:p>
    <w:p w:rsidR="00A9317C">
      <w:pPr>
        <w:ind w:firstLine="540"/>
        <w:jc w:val="both"/>
      </w:pPr>
      <w:r>
        <w:t>Totodată, Curtea reține că potrivit art. 193 C.p.civ., neîndeplinirea procedurii prealabile nu poate fi invocată decât de către pârât prin întâmpinare, sub sancțiunea decăderii.</w:t>
      </w:r>
    </w:p>
    <w:p w:rsidR="00A9317C">
      <w:pPr>
        <w:ind w:firstLine="540"/>
        <w:jc w:val="both"/>
      </w:pPr>
      <w:r>
        <w:t xml:space="preserve">Astfel, normele de procedură civilă stabilesc în sarcina pârâtului obligaţia depunerii întâmpinării în termen de 25 de zile de la comunicarea cererii de chemare în judecată, sancţiunea expres prevăzută de lege, în caz de nerespectarea a termenului imperativ, fiind aceea a decăderii pârâtului din dreptul de a mai propune probe şi de a invoca excepţii, în afara celor de ordine publică. </w:t>
      </w:r>
    </w:p>
    <w:p w:rsidR="00A9317C">
      <w:pPr>
        <w:ind w:firstLine="540"/>
        <w:jc w:val="both"/>
      </w:pPr>
      <w:r>
        <w:t>Reținând că pârâta nu a formulat întâmpinare, însă la al treilea termen de judecată, respectiv 06.09.2016, a invocat oral excepția inadmisibilității acțiunii, Curtea urmează să admită excepția decăderii pârâtului din dreptul de a invoca excepția inadmisibilității acțiunii ca urmare a formulării tardive a plângerii prealabile.</w:t>
      </w:r>
    </w:p>
    <w:p w:rsidR="00A9317C">
      <w:pPr>
        <w:ind w:firstLine="540"/>
        <w:jc w:val="both"/>
      </w:pPr>
      <w:r>
        <w:t>Relativ la excepția decăderii pârâtului din dreptul de a invocat excepția tardivității, Curtea reține că,în configurarea regimului procesual al tardivității, norma juridică aplicabilă acesteia prevede că excepţia în discuţie poate să fie invocată și de către instanță din oficiu, neexistând o limitare în timp a posibilității de invocare ( așa cum prevăd dispozițiile art. 193 C.p.civ.) , aspecte care duc la concluzia că suntem în prezenta unei excepții de ordine publică.</w:t>
      </w:r>
    </w:p>
    <w:p w:rsidR="00A9317C">
      <w:pPr>
        <w:ind w:firstLine="540"/>
        <w:jc w:val="both"/>
      </w:pPr>
      <w:r>
        <w:t>Or, este de esența excepțiilor de ordine publică faptul că acestea pot fi invocate, în principiu, în orice stare a pricinii, motiv pentru care Curtea va respinge excepția decăderii pârâtului din dreptul de a invoca excepția tardivității.</w:t>
      </w:r>
    </w:p>
    <w:p w:rsidR="00A9317C">
      <w:pPr>
        <w:ind w:firstLine="540"/>
        <w:jc w:val="both"/>
      </w:pPr>
    </w:p>
    <w:p w:rsidR="00A9317C">
      <w:pPr>
        <w:numPr>
          <w:ilvl w:val="0"/>
          <w:numId w:val="7"/>
        </w:numPr>
        <w:spacing w:after="200" w:line="276" w:lineRule="auto"/>
        <w:contextualSpacing/>
        <w:jc w:val="both"/>
        <w:rPr>
          <w:rStyle w:val="Fontdeparagrafimplicit"/>
          <w:b/>
        </w:rPr>
      </w:pPr>
      <w:r>
        <w:rPr>
          <w:rStyle w:val="Fontdeparagrafimplicit"/>
          <w:b/>
        </w:rPr>
        <w:t>Excepția tardivității.</w:t>
      </w:r>
    </w:p>
    <w:p w:rsidR="00A9317C">
      <w:pPr>
        <w:ind w:left="567"/>
        <w:jc w:val="both"/>
        <w:rPr>
          <w:rStyle w:val="Fontdeparagrafimplicit"/>
        </w:rPr>
      </w:pPr>
    </w:p>
    <w:p w:rsidR="00A9317C">
      <w:pPr>
        <w:ind w:firstLine="540"/>
        <w:jc w:val="both"/>
      </w:pPr>
      <w:r>
        <w:t>În ceea ce privește excepția tardivității formulării acțiunii, Curtea apreciază că aceasta este întemeiată pentru următoarele motive:</w:t>
      </w:r>
    </w:p>
    <w:p w:rsidR="00A9317C">
      <w:pPr>
        <w:ind w:firstLine="540"/>
        <w:jc w:val="both"/>
      </w:pPr>
      <w:r>
        <w:t xml:space="preserve">În cauza de faţă, reclamanta solicită obligarea pârâtei să aprobe Raportul final însoțit de fișele de prezență ale experților, precum și Nota de certificare a serviciilor transmise în executarea contractului subsecvent nr. </w:t>
      </w:r>
      <w:r w:rsidR="00587702">
        <w:t>..........</w:t>
      </w:r>
      <w:r>
        <w:t>/22.10.2013.</w:t>
      </w:r>
    </w:p>
    <w:p w:rsidR="00A9317C">
      <w:pPr>
        <w:ind w:firstLine="540"/>
        <w:jc w:val="both"/>
      </w:pPr>
      <w:r>
        <w:t>Curtea reține că temeiul juridic invocat de către reclamantă pentru promovarea prezentei cereri de chemare în judecată îl reprezintă dispozițiile art. 8 alin. 2 din Legea nr. 554/2004, text care duce la concluzia că fundamentul prezentei cereri de chemare în judecată îl reprezintă răspunderea contractuală.</w:t>
      </w:r>
    </w:p>
    <w:p w:rsidR="00A9317C">
      <w:pPr>
        <w:ind w:firstLine="540"/>
        <w:jc w:val="both"/>
      </w:pPr>
      <w:r>
        <w:t>Așadar, nu se contestă un act pe care pârâta să îl fi emis în regim de putere publică, ci se solicită ca pârâta să își îndeplinească o obligație contractuală.</w:t>
      </w:r>
    </w:p>
    <w:p w:rsidR="00A9317C">
      <w:pPr>
        <w:ind w:firstLine="540"/>
        <w:jc w:val="both"/>
      </w:pPr>
      <w:r>
        <w:t>Relevantă pentru soluționarea excepției tardivității formulării acțiunii este determinarea momentului de la care s-a născut dreptul material la acțiune, opiniile celor două părți în privința acestei chestiuni fiind divergente: reclamanta apreciază că termenul curge de la data de 07.07.2015, când a avut loc concilierea dintre părți, în timp ce pârâții consideră că termenul de 1 an curge de la data expirării termenului de 30 de zile în care pârâta avea obligația de a da un răspuns solicitării reclamantei de avizare a raportului final și a notei de certificare.</w:t>
      </w:r>
    </w:p>
    <w:p w:rsidR="00A9317C">
      <w:pPr>
        <w:ind w:firstLine="540"/>
        <w:jc w:val="both"/>
      </w:pPr>
      <w:r>
        <w:t xml:space="preserve">Curtea reține că potrivit art. 12.5 -12.7 din Contractul subsecvent nr. </w:t>
      </w:r>
      <w:r w:rsidR="00587702">
        <w:t>..........</w:t>
      </w:r>
      <w:r>
        <w:t xml:space="preserve"> din data de 22.10.2013 ( f. 168 vol. I), prestatorul are obligația de a întocmi și de a transmite spre avizare și aprobare achizitorului și beneficiarului Raportul final însoțit de fișele de prezență ale experților, precum și Nota de certificare a prestării serviciilor, părțile convenind un termen de 30 de zile de în care procedura de verificare trebuie să fie finalizată.</w:t>
      </w:r>
    </w:p>
    <w:p w:rsidR="00A9317C">
      <w:pPr>
        <w:ind w:firstLine="540"/>
        <w:jc w:val="both"/>
      </w:pPr>
      <w:r>
        <w:t xml:space="preserve">În opinia Curții, punctul de pornire al curgerii termenului de 30 de zile în reprezintă data depunerii Raportului final însoțit de fișele de prezență ale experților, precum și a Notei de certificare a prestării serviciilor pentru că cel mai târziu în acest moment se poate considera că  </w:t>
      </w:r>
      <w:r>
        <w:t xml:space="preserve">prestarea serviciilor a fost încheiată (sintagmă folosită de art. 12.7 din Contractul subsecvent), de vreme ce raportul reprezintă o </w:t>
      </w:r>
      <w:r>
        <w:rPr>
          <w:rStyle w:val="Fontdeparagrafimplicit"/>
          <w:i/>
        </w:rPr>
        <w:t>descărcare de gestiune</w:t>
      </w:r>
      <w:r>
        <w:t xml:space="preserve"> care, din motive ce țin de evidență, nu poate avea loc decât după prestarea serviciilor.</w:t>
      </w:r>
    </w:p>
    <w:p w:rsidR="00A9317C">
      <w:pPr>
        <w:ind w:firstLine="540"/>
        <w:jc w:val="both"/>
      </w:pPr>
      <w:r>
        <w:t xml:space="preserve">Așadar, de la data de 20.05.2016, beneficiarul serviciilor și pârâta aveau la dispoziție un interval de 30 de zile pentru a finaliza verificarea conformității serviciilor prestate în scopul obținerii de către reclamantă a certificării. </w:t>
      </w:r>
    </w:p>
    <w:p w:rsidR="00A9317C">
      <w:pPr>
        <w:ind w:firstLine="540"/>
        <w:jc w:val="both"/>
      </w:pPr>
      <w:r>
        <w:t xml:space="preserve">În acest context, Curtea reține că pârâta, în acord cu prevederile art. 11.4 (f. 167) avea obligația de a comunica reclamantei acceptarea serviciilor prestate, în aceeași zi a aprobării Notei de certificare a serviciilor prestate </w:t>
      </w:r>
      <w:r>
        <w:rPr>
          <w:rStyle w:val="Fontdeparagrafimplicit"/>
          <w:i/>
        </w:rPr>
        <w:t xml:space="preserve">de către beneficiar, </w:t>
      </w:r>
      <w:r>
        <w:t xml:space="preserve">condiționare care duce la concluzia că procedura de evaluare și, implicit, termenul de 30 de zile (la care face referire art. 12.7 din Contractul subsecvent) vizează atât </w:t>
      </w:r>
      <w:r>
        <w:rPr>
          <w:rStyle w:val="Fontdeparagrafimplicit"/>
          <w:i/>
        </w:rPr>
        <w:t xml:space="preserve">aprobarea </w:t>
      </w:r>
      <w:r>
        <w:t xml:space="preserve">de către beneficiar, cât și  </w:t>
      </w:r>
      <w:r>
        <w:rPr>
          <w:rStyle w:val="Fontdeparagrafimplicit"/>
          <w:i/>
        </w:rPr>
        <w:t xml:space="preserve">avizarea </w:t>
      </w:r>
      <w:r>
        <w:t>de către pârâtul Ministerul Fondurilor Europene a Notei de certificare.</w:t>
      </w:r>
    </w:p>
    <w:p w:rsidR="00A9317C">
      <w:pPr>
        <w:ind w:firstLine="540"/>
        <w:jc w:val="both"/>
      </w:pPr>
      <w:r>
        <w:t>În lumina considerentelor reținute anterior și a materialului probator existent în cauză,  Curtea reține că pârâta nu și-a îndeplinit obligația contractuală prevăzută de art. 12.7, respectiv de a finaliza procedura de verificare în termen de 30 de zile și nici nu a comunicat reclamantei vreun răspuns înăuntrul acestui termen.</w:t>
      </w:r>
    </w:p>
    <w:p w:rsidR="00A9317C">
      <w:pPr>
        <w:ind w:firstLine="540"/>
        <w:jc w:val="both"/>
      </w:pPr>
      <w:r>
        <w:t>În atare condiții, Curtea apreciază că o astfel de conduită întrunește elementele unui refuz nejustificat în sensul art. 2 alin. 2 din Legea nr. 554/2004, fapt care determină incidența prevederilor art. 7 alin. 6 și ale art. 11 alin. 1 lit. c.</w:t>
      </w:r>
    </w:p>
    <w:p w:rsidR="00A9317C">
      <w:pPr>
        <w:ind w:firstLine="540"/>
        <w:jc w:val="both"/>
      </w:pPr>
      <w:r>
        <w:t>Conform acestui din urmă text legal, în cazul refuzului nejustificat de soluționare a cererii, acțiunea poate fi introdusă în termen de 6 luni de la data expirării termenului  de soluţionare a cererii, iar pentru motive temeinice în termen de cel mult 1 an.</w:t>
      </w:r>
    </w:p>
    <w:p w:rsidR="00A9317C">
      <w:pPr>
        <w:ind w:firstLine="540"/>
        <w:jc w:val="both"/>
      </w:pPr>
      <w:r>
        <w:t xml:space="preserve">Or, în cauză termenul de 1 an care a început să curgă la data de 20.06.2014 s-a împlinit la data de 20.06.2015, deci, înainte de data de 13.10.2015 la care a fost sesizată instanța cu prezenta cerere de chemare în judecată. </w:t>
      </w:r>
    </w:p>
    <w:p w:rsidR="00A9317C">
      <w:pPr>
        <w:ind w:firstLine="540"/>
        <w:jc w:val="both"/>
      </w:pPr>
      <w:r>
        <w:t>Curtea nu poate achiesa la teza pe care reclamanta încearcă să o acrediteze, în sensul că termenul pentru sesizarea instanței a început să curgă de la data întocmirii minutei întâlnirii din data de 07.07.2015, întrucât termenul de 1 an este un termen obiectiv de natură să protejeze securitatea circuitului civil, eventualele demersuri întreprinse de către reclamantă în vederea soluționării litigiului pe cale amiabilă nu pot constitui temei legal pentru a înlătura  aplicarea termenului prevăzut de art. 11 alin. (2) LCA pentru introducerea acţiunii în contencios administrativ, cu atât mai mult cu cât acesta este un termen de decădere, iar nu un termen de prescripţie.</w:t>
      </w:r>
    </w:p>
    <w:p w:rsidR="00A9317C">
      <w:pPr>
        <w:ind w:firstLine="540"/>
        <w:jc w:val="both"/>
      </w:pPr>
      <w:r>
        <w:t xml:space="preserve">Această concluzie se impune cu atât mai mult cu cât, în ipoteza concretă din speță, așa cum s-a reținut în precedent, ne aflăm în prezența unui refuz nejustificat, astfel că procedura prealabilă nu este necesară.  </w:t>
      </w:r>
    </w:p>
    <w:p w:rsidR="00A9317C">
      <w:pPr>
        <w:ind w:firstLine="540"/>
        <w:jc w:val="both"/>
      </w:pPr>
      <w:r>
        <w:rPr>
          <w:rStyle w:val="Fontdeparagrafimplicit"/>
          <w:b/>
          <w:i/>
        </w:rPr>
        <w:t>Faţă de cele arătate în precedent</w:t>
      </w:r>
      <w:r>
        <w:rPr>
          <w:rStyle w:val="Fontdeparagrafimplicit"/>
          <w:i/>
        </w:rPr>
        <w:t xml:space="preserve">, </w:t>
      </w:r>
      <w:r>
        <w:t xml:space="preserve">Curtea va admite excepţia tardivităţii cererii, invocată de pârât, şi va respinge ca fiind tardivă cererea de chemare în judecată. În aceste condiţii, fiind admisă excepţia de tardivitate, ce prevalează în ordinea de soluţionare a cauzei după cum s-a arătat mai sus, şi fiind respinsă acţiunea, Curtea constată că nu se mai impune vreo analiză asupra fondului cauzei. </w:t>
      </w:r>
    </w:p>
    <w:p w:rsidR="00A9317C"/>
    <w:p w:rsidR="00A9317C">
      <w:pPr>
        <w:tabs>
          <w:tab w:val="left" w:pos="825"/>
        </w:tabs>
        <w:jc w:val="center"/>
        <w:rPr>
          <w:rStyle w:val="Fontdeparagrafimplicit"/>
          <w:b/>
        </w:rPr>
      </w:pPr>
      <w:r>
        <w:rPr>
          <w:rStyle w:val="Fontdeparagrafimplicit"/>
          <w:b/>
        </w:rPr>
        <w:t>PENTRU ACESTE MOTIVE,</w:t>
      </w:r>
    </w:p>
    <w:p w:rsidR="00A9317C">
      <w:pPr>
        <w:tabs>
          <w:tab w:val="left" w:pos="825"/>
        </w:tabs>
        <w:jc w:val="center"/>
        <w:rPr>
          <w:rStyle w:val="Fontdeparagrafimplicit"/>
          <w:b/>
        </w:rPr>
      </w:pPr>
      <w:r>
        <w:rPr>
          <w:rStyle w:val="Fontdeparagrafimplicit"/>
          <w:b/>
        </w:rPr>
        <w:t>ÎN NUMELE LEGII,</w:t>
      </w:r>
    </w:p>
    <w:p w:rsidR="00A9317C">
      <w:pPr>
        <w:tabs>
          <w:tab w:val="left" w:pos="825"/>
        </w:tabs>
        <w:jc w:val="center"/>
        <w:rPr>
          <w:rStyle w:val="Fontdeparagrafimplicit"/>
          <w:b/>
        </w:rPr>
      </w:pPr>
      <w:r>
        <w:rPr>
          <w:rStyle w:val="Fontdeparagrafimplicit"/>
          <w:b/>
        </w:rPr>
        <w:t>HOTĂRĂŞTE:</w:t>
      </w:r>
    </w:p>
    <w:p w:rsidR="00A9317C">
      <w:pPr>
        <w:jc w:val="both"/>
      </w:pPr>
      <w:r>
        <w:tab/>
      </w:r>
    </w:p>
    <w:p w:rsidR="00A9317C">
      <w:pPr>
        <w:tabs>
          <w:tab w:val="left" w:pos="810"/>
          <w:tab w:val="left" w:pos="3930"/>
        </w:tabs>
        <w:ind w:firstLine="567"/>
        <w:jc w:val="both"/>
      </w:pPr>
      <w:r>
        <w:t>Admite în parte excepţia decăderii.</w:t>
      </w:r>
    </w:p>
    <w:p w:rsidR="00A9317C">
      <w:pPr>
        <w:tabs>
          <w:tab w:val="left" w:pos="810"/>
          <w:tab w:val="left" w:pos="3930"/>
        </w:tabs>
        <w:ind w:firstLine="567"/>
        <w:jc w:val="both"/>
      </w:pPr>
      <w:r>
        <w:t>Constată că pârâtul este decăzut din dreptul de a invoca excepţia inadmisibilităţii acţiunii.</w:t>
      </w:r>
    </w:p>
    <w:p w:rsidR="00A9317C">
      <w:pPr>
        <w:tabs>
          <w:tab w:val="left" w:pos="810"/>
          <w:tab w:val="left" w:pos="3930"/>
        </w:tabs>
        <w:ind w:firstLine="567"/>
        <w:jc w:val="both"/>
      </w:pPr>
      <w:r>
        <w:t>Respinge, ca neîntemeiată, excepţia decăderii din dreptul de a invoca excepţia tardivităţii formulării acţiunii.</w:t>
      </w:r>
    </w:p>
    <w:p w:rsidR="00A9317C">
      <w:pPr>
        <w:tabs>
          <w:tab w:val="left" w:pos="810"/>
          <w:tab w:val="left" w:pos="3930"/>
        </w:tabs>
        <w:ind w:firstLine="567"/>
        <w:jc w:val="both"/>
      </w:pPr>
      <w:r>
        <w:t>Admite excepția tardivității formulării acțiunii.</w:t>
      </w:r>
    </w:p>
    <w:p w:rsidR="00A9317C">
      <w:pPr>
        <w:tabs>
          <w:tab w:val="left" w:pos="810"/>
          <w:tab w:val="left" w:pos="3930"/>
        </w:tabs>
        <w:ind w:firstLine="567"/>
        <w:jc w:val="both"/>
      </w:pPr>
      <w:r>
        <w:t xml:space="preserve">Respinge acţiunea formulată de reclamanta S.C. </w:t>
      </w:r>
      <w:r w:rsidR="00587702">
        <w:t>AB</w:t>
      </w:r>
      <w:r w:rsidR="00AE76E2">
        <w:t xml:space="preserve"> </w:t>
      </w:r>
      <w:r>
        <w:t>S.R.L.</w:t>
      </w:r>
      <w:r>
        <w:rPr>
          <w:rStyle w:val="Fontdeparagrafimplicit"/>
          <w:b/>
        </w:rPr>
        <w:t xml:space="preserve">, </w:t>
      </w:r>
      <w:r>
        <w:t xml:space="preserve">cu sediul în </w:t>
      </w:r>
      <w:r w:rsidR="00AE76E2">
        <w:t>.........</w:t>
      </w:r>
      <w:r>
        <w:t xml:space="preserve">, str. </w:t>
      </w:r>
      <w:r w:rsidR="00AE76E2">
        <w:t>...........nr........, Corp ........, etaj ........</w:t>
      </w:r>
      <w:r>
        <w:t xml:space="preserve">, </w:t>
      </w:r>
      <w:r w:rsidR="00AE76E2">
        <w:t xml:space="preserve">.......... </w:t>
      </w:r>
      <w:r>
        <w:t xml:space="preserve">şi cu sediul procesual ales la Cabinet de avocatură </w:t>
      </w:r>
      <w:r w:rsidR="00AE76E2">
        <w:t xml:space="preserve">FG </w:t>
      </w:r>
      <w:r>
        <w:t xml:space="preserve">SCA, situat în </w:t>
      </w:r>
      <w:r w:rsidR="00AE76E2">
        <w:t>.........</w:t>
      </w:r>
      <w:r>
        <w:t xml:space="preserve">, str. </w:t>
      </w:r>
      <w:r w:rsidR="00AE76E2">
        <w:t>......... nr......., et......., ap........</w:t>
      </w:r>
      <w:r>
        <w:t xml:space="preserve">, </w:t>
      </w:r>
      <w:r w:rsidR="00AE76E2">
        <w:t>..........</w:t>
      </w:r>
      <w:r>
        <w:rPr>
          <w:rStyle w:val="Fontdeparagrafimplicit"/>
          <w:b/>
        </w:rPr>
        <w:t>,</w:t>
      </w:r>
      <w:r>
        <w:t xml:space="preserve"> în contradictoriu cu pârâtul Ministerul Fondurilor Europene, prin reprezentant Ministerul Finanțelor Publice, cu sediul în </w:t>
      </w:r>
      <w:r w:rsidR="00AE76E2">
        <w:t>........., str......... nr........, ..........</w:t>
      </w:r>
      <w:r>
        <w:t>, ca fiind tardiv formulată.</w:t>
      </w:r>
    </w:p>
    <w:p w:rsidR="00A9317C">
      <w:pPr>
        <w:tabs>
          <w:tab w:val="left" w:pos="810"/>
          <w:tab w:val="left" w:pos="3930"/>
        </w:tabs>
        <w:ind w:firstLine="567"/>
        <w:jc w:val="both"/>
      </w:pPr>
      <w:r>
        <w:t xml:space="preserve">Cu recurs în termen de 15 zile de la comunicare. Recursul se va depune la Curtea de Apel </w:t>
      </w:r>
      <w:r w:rsidR="00AE76E2">
        <w:t>.........</w:t>
      </w:r>
      <w:r>
        <w:t xml:space="preserve"> - Secţia </w:t>
      </w:r>
      <w:r w:rsidR="00AE76E2">
        <w:t>...........</w:t>
      </w:r>
      <w:r>
        <w:t>contencios administrativ şi fiscal.</w:t>
      </w:r>
    </w:p>
    <w:p w:rsidR="00A9317C">
      <w:pPr>
        <w:tabs>
          <w:tab w:val="left" w:pos="810"/>
          <w:tab w:val="left" w:pos="3930"/>
        </w:tabs>
        <w:ind w:firstLine="567"/>
        <w:jc w:val="both"/>
      </w:pPr>
      <w:r>
        <w:t xml:space="preserve">Pronunţată în şedinţă publică din data de </w:t>
      </w:r>
      <w:r w:rsidR="00587702">
        <w:t>............</w:t>
      </w:r>
      <w:r>
        <w:t xml:space="preserve">, prin punerea soluţiei la dispoziţia părţilor prin mijlocirea grefei instanţei. </w:t>
      </w:r>
    </w:p>
    <w:p w:rsidR="00A9317C">
      <w:pPr>
        <w:tabs>
          <w:tab w:val="left" w:pos="1200"/>
          <w:tab w:val="left" w:pos="6345"/>
        </w:tabs>
        <w:ind w:firstLine="567"/>
        <w:rPr>
          <w:rStyle w:val="Fontdeparagrafimplicit"/>
          <w:b/>
        </w:rPr>
      </w:pPr>
    </w:p>
    <w:p w:rsidR="00A9317C">
      <w:pPr>
        <w:tabs>
          <w:tab w:val="left" w:pos="1200"/>
          <w:tab w:val="left" w:pos="3180"/>
          <w:tab w:val="left" w:pos="6345"/>
        </w:tabs>
        <w:rPr>
          <w:rStyle w:val="Fontdeparagrafimplicit"/>
          <w:b/>
        </w:rPr>
      </w:pPr>
      <w:r>
        <w:rPr>
          <w:rStyle w:val="Fontdeparagrafimplicit"/>
          <w:b/>
        </w:rPr>
        <w:t xml:space="preserve">                    Președinte,</w:t>
      </w:r>
      <w:r>
        <w:rPr>
          <w:rStyle w:val="Fontdeparagrafimplicit"/>
          <w:b/>
        </w:rPr>
        <w:tab/>
        <w:t xml:space="preserve">                                                             Grefier,          </w:t>
      </w:r>
    </w:p>
    <w:p w:rsidR="00A9317C">
      <w:pPr>
        <w:tabs>
          <w:tab w:val="left" w:pos="1200"/>
          <w:tab w:val="left" w:pos="3180"/>
          <w:tab w:val="left" w:pos="6345"/>
        </w:tabs>
        <w:rPr>
          <w:rStyle w:val="Fontdeparagrafimplicit"/>
          <w:i/>
        </w:rPr>
      </w:pPr>
      <w:r>
        <w:t xml:space="preserve">              </w:t>
      </w:r>
      <w:r w:rsidR="00587702">
        <w:t>CANDIDAT A0009</w:t>
      </w:r>
      <w:r>
        <w:t xml:space="preserve">                          </w:t>
      </w:r>
      <w:r>
        <w:tab/>
      </w:r>
      <w:r w:rsidR="00AE76E2">
        <w:t>.........................</w:t>
      </w:r>
    </w:p>
    <w:p w:rsidR="00A9317C">
      <w:pPr>
        <w:rPr>
          <w:rStyle w:val="Fontdeparagrafimplicit"/>
        </w:rPr>
      </w:pPr>
    </w:p>
    <w:p w:rsidR="00A9317C">
      <w:pPr>
        <w:rPr>
          <w:rStyle w:val="Fontdeparagrafimplicit"/>
        </w:rPr>
      </w:pPr>
    </w:p>
    <w:p w:rsidR="00A9317C">
      <w:pPr>
        <w:jc w:val="center"/>
        <w:rPr>
          <w:rStyle w:val="Fontdeparagrafimplicit"/>
        </w:rPr>
      </w:pPr>
    </w:p>
    <w:p w:rsidR="00A9317C">
      <w:pPr>
        <w:jc w:val="both"/>
      </w:pPr>
      <w:r>
        <w:tab/>
      </w:r>
    </w:p>
    <w:p w:rsidR="00A9317C">
      <w:pPr>
        <w:ind w:firstLine="567"/>
        <w:rPr>
          <w:rStyle w:val="Fontdeparagrafimplicit"/>
          <w:sz w:val="16"/>
        </w:rPr>
      </w:pPr>
      <w:r>
        <w:rPr>
          <w:rStyle w:val="Fontdeparagrafimplicit"/>
          <w:sz w:val="16"/>
        </w:rPr>
        <w:t>Red./Tehnored. CANDIDAT A0009</w:t>
      </w:r>
      <w:r w:rsidR="00FF6FC7">
        <w:rPr>
          <w:rStyle w:val="Fontdeparagrafimplicit"/>
          <w:sz w:val="16"/>
        </w:rPr>
        <w:t>/4 ex.</w:t>
      </w:r>
    </w:p>
    <w:p w:rsidR="00A9317C">
      <w:pPr>
        <w:ind w:firstLine="567"/>
        <w:rPr>
          <w:rStyle w:val="Fontdeparagrafimplicit"/>
          <w:sz w:val="16"/>
        </w:rPr>
      </w:pPr>
      <w:r>
        <w:rPr>
          <w:rStyle w:val="Fontdeparagrafimplicit"/>
          <w:sz w:val="16"/>
        </w:rPr>
        <w:t xml:space="preserve">Data </w:t>
      </w:r>
      <w:r w:rsidR="00AE76E2">
        <w:rPr>
          <w:rStyle w:val="Fontdeparagrafimplicit"/>
          <w:sz w:val="16"/>
        </w:rPr>
        <w:t>redactării:..........</w:t>
      </w:r>
    </w:p>
    <w:p w:rsidR="00A9317C">
      <w:pPr>
        <w:ind w:firstLine="567"/>
        <w:jc w:val="right"/>
        <w:rPr>
          <w:rStyle w:val="Fontdeparagrafimplicit"/>
          <w:sz w:val="16"/>
        </w:rPr>
      </w:pPr>
    </w:p>
    <w:p w:rsidR="00A9317C">
      <w:pPr>
        <w:ind w:firstLine="720"/>
        <w:jc w:val="right"/>
        <w:rPr>
          <w:rStyle w:val="Fontdeparagrafimplicit"/>
          <w:sz w:val="16"/>
        </w:rPr>
      </w:pPr>
    </w:p>
    <w:p w:rsidR="00A9317C">
      <w:pPr>
        <w:ind w:firstLine="720"/>
        <w:jc w:val="right"/>
        <w:rPr>
          <w:rStyle w:val="Fontdeparagrafimplicit"/>
          <w:sz w:val="16"/>
        </w:rPr>
      </w:pPr>
      <w:r>
        <w:rPr>
          <w:rStyle w:val="Fontdeparagrafimplicit"/>
          <w:sz w:val="16"/>
        </w:rPr>
        <w:t>Lucrat 2 comunicări la data de _____________</w:t>
      </w:r>
    </w:p>
    <w:p w:rsidR="00A9317C">
      <w:pPr>
        <w:ind w:firstLine="720"/>
        <w:jc w:val="right"/>
        <w:rPr>
          <w:rStyle w:val="Fontdeparagrafimplicit"/>
          <w:sz w:val="16"/>
        </w:rPr>
      </w:pPr>
    </w:p>
    <w:p w:rsidR="00A9317C">
      <w:pPr>
        <w:ind w:firstLine="720"/>
        <w:jc w:val="right"/>
        <w:rPr>
          <w:rStyle w:val="Fontdeparagrafimplicit"/>
          <w:sz w:val="16"/>
        </w:rPr>
      </w:pPr>
    </w:p>
    <w:p w:rsidR="00A9317C">
      <w:pPr>
        <w:ind w:firstLine="720"/>
        <w:jc w:val="right"/>
        <w:rPr>
          <w:rStyle w:val="Fontdeparagrafimplicit"/>
          <w:sz w:val="16"/>
        </w:rPr>
      </w:pPr>
      <w:r>
        <w:rPr>
          <w:rStyle w:val="Fontdeparagrafimplicit"/>
          <w:sz w:val="16"/>
        </w:rPr>
        <w:t>Semnătură grefier__________________</w:t>
      </w:r>
    </w:p>
    <w:p w:rsidR="00A9317C">
      <w:pPr>
        <w:rPr>
          <w:rStyle w:val="Fontdeparagrafimplicit"/>
          <w:color w:val="FF0000"/>
        </w:rPr>
      </w:pPr>
    </w:p>
    <w:p w:rsidR="00A9317C">
      <w:pPr>
        <w:rPr>
          <w:rStyle w:val="Fontdeparagrafimplicit"/>
          <w:color w:val="FF0000"/>
        </w:rPr>
      </w:pPr>
    </w:p>
    <w:p w:rsidR="00A9317C">
      <w:pPr>
        <w:jc w:val="both"/>
        <w:rPr>
          <w:rStyle w:val="Fontdeparagrafimplicit"/>
          <w:color w:val="FF0000"/>
        </w:rPr>
      </w:pPr>
    </w:p>
    <w:p w:rsidR="00A9317C">
      <w:pPr>
        <w:rPr>
          <w:rStyle w:val="Fontdeparagrafimplicit"/>
          <w:rFonts w:ascii="Garamond" w:hAnsi="Garamond"/>
          <w:color w:val="FF0000"/>
          <w:sz w:val="16"/>
        </w:rPr>
      </w:pPr>
    </w:p>
    <w:p w:rsidR="00A9317C">
      <w:pPr>
        <w:rPr>
          <w:rStyle w:val="Fontdeparagrafimplicit"/>
          <w:color w:val="FF0000"/>
        </w:rPr>
      </w:pPr>
    </w:p>
    <w:p w:rsidR="00A9317C">
      <w:pPr>
        <w:ind w:firstLine="600"/>
        <w:jc w:val="both"/>
        <w:rPr>
          <w:rStyle w:val="Fontdeparagrafimplicit"/>
          <w:color w:val="FF0000"/>
        </w:rPr>
      </w:pPr>
    </w:p>
    <w:p w:rsidR="00A9317C">
      <w:pPr>
        <w:jc w:val="both"/>
        <w:rPr>
          <w:rStyle w:val="Fontdeparagrafimplicit"/>
        </w:rPr>
      </w:pPr>
    </w:p>
    <w:p w:rsidR="00A9317C">
      <w:pPr>
        <w:jc w:val="center"/>
        <w:rPr>
          <w:rStyle w:val="Fontdeparagrafimplicit"/>
          <w:rFonts w:ascii="Garamond" w:hAnsi="Garamond"/>
          <w:sz w:val="16"/>
        </w:rPr>
      </w:pPr>
    </w:p>
    <w:p w:rsidR="00A9317C">
      <w:pPr>
        <w:spacing w:after="200" w:line="276" w:lineRule="auto"/>
        <w:rPr>
          <w:rStyle w:val="Fontdeparagrafimplicit"/>
          <w:rFonts w:ascii="Calibri" w:hAnsi="Calibri"/>
          <w:sz w:val="22"/>
        </w:rPr>
      </w:pPr>
    </w:p>
    <w:p w:rsidR="00A9317C">
      <w:pPr>
        <w:rPr>
          <w:rStyle w:val="Fontdeparagrafimplicit"/>
        </w:rPr>
      </w:pPr>
    </w:p>
    <w:sectPr w:rsidSect="00A9317C">
      <w:footerReference w:type="default" r:id="rId4"/>
      <w:pgSz w:w="11906" w:h="16838"/>
      <w:pgMar w:top="851" w:right="851" w:bottom="851"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17C">
    <w:pPr>
      <w:pStyle w:val="Subsol"/>
      <w:jc w:val="center"/>
      <w:rPr>
        <w:rStyle w:val="Fontdeparagrafimplicit"/>
      </w:rPr>
    </w:pPr>
    <w:r>
      <w:t xml:space="preserve">Pagină </w:t>
    </w:r>
    <w:r w:rsidRPr="00590924" w:rsidR="00590924">
      <w:fldChar w:fldCharType="begin"/>
    </w:r>
    <w:r>
      <w:rPr>
        <w:rStyle w:val="Fontdeparagrafimplicit"/>
        <w:b/>
      </w:rPr>
      <w:instrText>PAGE</w:instrText>
    </w:r>
    <w:r w:rsidR="00590924">
      <w:rPr>
        <w:rStyle w:val="Fontdeparagrafimplicit"/>
      </w:rPr>
      <w:fldChar w:fldCharType="separate"/>
    </w:r>
    <w:r w:rsidR="00AE76E2">
      <w:rPr>
        <w:rStyle w:val="Fontdeparagrafimplicit"/>
        <w:b/>
        <w:noProof/>
      </w:rPr>
      <w:t>1</w:t>
    </w:r>
    <w:r w:rsidR="00590924">
      <w:rPr>
        <w:rStyle w:val="Fontdeparagrafimplicit"/>
      </w:rPr>
      <w:fldChar w:fldCharType="end"/>
    </w:r>
    <w:r>
      <w:t xml:space="preserve"> din </w:t>
    </w:r>
    <w:r w:rsidRPr="00590924" w:rsidR="00590924">
      <w:fldChar w:fldCharType="begin"/>
    </w:r>
    <w:r>
      <w:rPr>
        <w:rStyle w:val="Fontdeparagrafimplicit"/>
        <w:b/>
      </w:rPr>
      <w:instrText>NUMPAGES</w:instrText>
    </w:r>
    <w:r w:rsidR="00590924">
      <w:rPr>
        <w:rStyle w:val="Fontdeparagrafimplicit"/>
      </w:rPr>
      <w:fldChar w:fldCharType="separate"/>
    </w:r>
    <w:r w:rsidR="00AE76E2">
      <w:rPr>
        <w:rStyle w:val="Fontdeparagrafimplicit"/>
        <w:b/>
        <w:noProof/>
      </w:rPr>
      <w:t>7</w:t>
    </w:r>
    <w:r w:rsidR="00590924">
      <w:rPr>
        <w:rStyle w:val="Fontdeparagrafimplicit"/>
      </w:rPr>
      <w:fldChar w:fldCharType="end"/>
    </w:r>
  </w:p>
  <w:p w:rsidR="00A9317C">
    <w:pPr>
      <w:pStyle w:val="Subsol"/>
      <w:rPr>
        <w:rStyle w:val="Fontdeparagrafimplicit"/>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70039"/>
    <w:multiLevelType w:val="multilevel"/>
    <w:tmpl w:val="382684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4020B2C"/>
    <w:multiLevelType w:val="multilevel"/>
    <w:tmpl w:val="9C68EB86"/>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39E30999"/>
    <w:multiLevelType w:val="multilevel"/>
    <w:tmpl w:val="04A694D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EEE6001"/>
    <w:multiLevelType w:val="multilevel"/>
    <w:tmpl w:val="8E62C6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48F3DDB"/>
    <w:multiLevelType w:val="multilevel"/>
    <w:tmpl w:val="4708513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nsid w:val="6E365241"/>
    <w:multiLevelType w:val="multilevel"/>
    <w:tmpl w:val="0BC6126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nsid w:val="7D156A28"/>
    <w:multiLevelType w:val="hybridMultilevel"/>
    <w:tmpl w:val="8CA0427A"/>
    <w:lvl w:ilvl="0">
      <w:start w:val="1"/>
      <w:numFmt w:val="bullet"/>
      <w:lvlText w:val="-"/>
      <w:lvlJc w:val="left"/>
      <w:pPr>
        <w:ind w:left="927" w:hanging="360"/>
      </w:pPr>
      <w:rPr>
        <w:rFonts w:ascii="Times New Roman" w:hAnsi="Times New Roman"/>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compat/>
  <w:rsids>
    <w:rsidRoot w:val="00A9317C"/>
    <w:rsid w:val="00587702"/>
    <w:rsid w:val="00590924"/>
    <w:rsid w:val="00A9317C"/>
    <w:rsid w:val="00AE76E2"/>
    <w:rsid w:val="00FF6FC7"/>
  </w:rsids>
  <w:docVars>
    <w:docVar w:name="url" w:val="http://10.1.48.53:80/ecris_cdms/document_upload.aspx?id_document=200000002419841&amp;id_departament=5&amp;id_sesiune=2249823&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17C"/>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A9317C"/>
    <w:pPr>
      <w:keepNext/>
      <w:jc w:val="center"/>
      <w:outlineLvl w:val="0"/>
    </w:pPr>
    <w:rPr>
      <w:b/>
      <w:sz w:val="28"/>
      <w:lang w:val="en-US"/>
    </w:rPr>
  </w:style>
  <w:style w:type="paragraph" w:styleId="NormalWeb">
    <w:name w:val="Normal (Web)"/>
    <w:basedOn w:val="Normal"/>
    <w:rsid w:val="00A9317C"/>
    <w:pPr>
      <w:spacing w:before="100" w:beforeAutospacing="1" w:after="100" w:afterAutospacing="1"/>
    </w:pPr>
  </w:style>
  <w:style w:type="paragraph" w:customStyle="1" w:styleId="Antet">
    <w:name w:val="Antet"/>
    <w:basedOn w:val="Normal"/>
    <w:link w:val="AntetCaracter"/>
    <w:rsid w:val="00A9317C"/>
    <w:pPr>
      <w:tabs>
        <w:tab w:val="center" w:pos="4536"/>
        <w:tab w:val="right" w:pos="9072"/>
      </w:tabs>
    </w:pPr>
  </w:style>
  <w:style w:type="paragraph" w:customStyle="1" w:styleId="Subsol">
    <w:name w:val="Subsol"/>
    <w:basedOn w:val="Normal"/>
    <w:link w:val="SubsolCaracter"/>
    <w:rsid w:val="00A9317C"/>
    <w:pPr>
      <w:tabs>
        <w:tab w:val="center" w:pos="4536"/>
        <w:tab w:val="right" w:pos="9072"/>
      </w:tabs>
    </w:pPr>
  </w:style>
  <w:style w:type="paragraph" w:customStyle="1" w:styleId="TextnBalon">
    <w:name w:val="Text în Balon"/>
    <w:basedOn w:val="Normal"/>
    <w:link w:val="TextnBalonCaracter"/>
    <w:rsid w:val="00A9317C"/>
    <w:rPr>
      <w:rFonts w:ascii="Tahoma" w:hAnsi="Tahoma"/>
      <w:sz w:val="16"/>
    </w:rPr>
  </w:style>
  <w:style w:type="character" w:styleId="LineNumber">
    <w:name w:val="line number"/>
    <w:basedOn w:val="DefaultParagraphFont"/>
    <w:semiHidden/>
    <w:rsid w:val="00A9317C"/>
  </w:style>
  <w:style w:type="character" w:styleId="Hyperlink">
    <w:name w:val="Hyperlink"/>
    <w:rsid w:val="00A9317C"/>
    <w:rPr>
      <w:color w:val="0000FF"/>
      <w:u w:val="single"/>
    </w:rPr>
  </w:style>
  <w:style w:type="character" w:customStyle="1" w:styleId="Fontdeparagrafimplicit">
    <w:name w:val="Font de paragraf implicit"/>
    <w:rsid w:val="00A9317C"/>
  </w:style>
  <w:style w:type="character" w:customStyle="1" w:styleId="AntetCaracter">
    <w:name w:val="Antet Caracter"/>
    <w:link w:val="Antet"/>
    <w:rsid w:val="00A9317C"/>
  </w:style>
  <w:style w:type="character" w:customStyle="1" w:styleId="SubsolCaracter">
    <w:name w:val="Subsol Caracter"/>
    <w:link w:val="Subsol"/>
    <w:rsid w:val="00A9317C"/>
  </w:style>
  <w:style w:type="character" w:customStyle="1" w:styleId="TextnBalonCaracter">
    <w:name w:val="Text în Balon Caracter"/>
    <w:link w:val="TextnBalon"/>
    <w:rsid w:val="00A9317C"/>
    <w:rPr>
      <w:rFonts w:ascii="Tahoma" w:hAnsi="Tahoma"/>
      <w:sz w:val="16"/>
    </w:rPr>
  </w:style>
  <w:style w:type="table" w:styleId="TableSimple1">
    <w:name w:val="Table Simple 1"/>
    <w:basedOn w:val="TableNormal"/>
    <w:rsid w:val="00A931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A9317C"/>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Pages>7</ap:Pages>
  <ap:Words>3416</ap:Words>
  <ap:Characters>19817</ap:Characters>
  <ap:Application>Microsoft Office Word</ap:Application>
  <ap:DocSecurity>0</ap:DocSecurity>
  <ap:Lines>165</ap:Lines>
  <ap:Paragraphs>46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23187</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2017-07-02T13:43:00.0000000Z</lastPrinted>
  <dc:subject/>
  <dc:description/>
  <keywords/>
  <category/>
  <contentStatus/>
  <dc:identifier/>
  <dc:language/>
  <version/>
</coreProperties>
</file>