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Pr="00DD01C5" w:rsidR="00DD01C5" w:rsidP="005B0E15">
      <w:pPr>
        <w:widowControl w:val="0"/>
        <w:rPr>
          <w:rFonts w:eastAsia="Calibri"/>
          <w:b/>
          <w:sz w:val="22"/>
          <w:szCs w:val="22"/>
        </w:rPr>
      </w:pPr>
      <w:bookmarkStart w:name="_Hlk176504113" w:id="0"/>
      <w:r w:rsidRPr="00DD01C5">
        <w:rPr>
          <w:rFonts w:eastAsia="Calibri"/>
          <w:b/>
          <w:sz w:val="22"/>
          <w:szCs w:val="22"/>
        </w:rPr>
        <w:t>Hot. 21</w:t>
      </w:r>
    </w:p>
    <w:p w:rsidRPr="005B0E15" w:rsidR="005B0E15" w:rsidP="005B0E15">
      <w:pPr>
        <w:widowControl w:val="0"/>
        <w:rPr>
          <w:rFonts w:eastAsia="Calibri"/>
          <w:bCs/>
          <w:sz w:val="22"/>
          <w:szCs w:val="22"/>
        </w:rPr>
      </w:pPr>
      <w:r w:rsidRPr="005B0E15">
        <w:rPr>
          <w:rFonts w:eastAsia="Calibri"/>
          <w:bCs/>
          <w:sz w:val="22"/>
          <w:szCs w:val="22"/>
        </w:rPr>
        <w:t>ECLI:RO:</w:t>
      </w:r>
      <w:r w:rsidR="00DD01C5">
        <w:rPr>
          <w:rFonts w:eastAsia="Calibri"/>
          <w:bCs/>
          <w:sz w:val="22"/>
          <w:szCs w:val="22"/>
        </w:rPr>
        <w:t>...............................</w:t>
      </w:r>
      <w:r w:rsidRPr="005B0E15">
        <w:rPr>
          <w:rFonts w:eastAsia="Calibri"/>
          <w:bCs/>
          <w:sz w:val="22"/>
          <w:szCs w:val="22"/>
        </w:rPr>
        <w:t xml:space="preserve"> </w:t>
      </w:r>
    </w:p>
    <w:p w:rsidRPr="005B0E15" w:rsidR="005B0E15" w:rsidP="005B0E15">
      <w:pPr>
        <w:widowControl w:val="0"/>
        <w:rPr>
          <w:rFonts w:eastAsia="Calibri"/>
          <w:b/>
          <w:sz w:val="22"/>
          <w:szCs w:val="22"/>
        </w:rPr>
      </w:pPr>
      <w:r w:rsidRPr="005B0E15">
        <w:rPr>
          <w:rFonts w:eastAsia="Calibri"/>
          <w:b/>
          <w:sz w:val="22"/>
          <w:szCs w:val="22"/>
        </w:rPr>
        <w:t xml:space="preserve">Dosar nr. </w:t>
      </w:r>
      <w:r w:rsidR="00DD01C5">
        <w:rPr>
          <w:rFonts w:eastAsia="Calibri"/>
          <w:b/>
          <w:sz w:val="22"/>
          <w:szCs w:val="22"/>
        </w:rPr>
        <w:t>.......................</w:t>
      </w:r>
    </w:p>
    <w:p w:rsidRPr="005B0E15" w:rsidR="005B0E15" w:rsidP="005B0E15">
      <w:pPr>
        <w:widowControl w:val="0"/>
        <w:ind w:firstLine="709"/>
        <w:jc w:val="center"/>
        <w:rPr>
          <w:rFonts w:eastAsia="Calibri"/>
          <w:b/>
          <w:sz w:val="22"/>
          <w:szCs w:val="22"/>
        </w:rPr>
      </w:pPr>
      <w:r w:rsidRPr="005B0E15">
        <w:rPr>
          <w:rFonts w:eastAsia="Calibri"/>
          <w:b/>
          <w:sz w:val="22"/>
          <w:szCs w:val="22"/>
        </w:rPr>
        <w:t>R O M Â N I A</w:t>
      </w:r>
    </w:p>
    <w:p w:rsidRPr="005B0E15" w:rsidR="005B0E15" w:rsidP="005B0E15">
      <w:pPr>
        <w:widowControl w:val="0"/>
        <w:ind w:firstLine="709"/>
        <w:jc w:val="center"/>
        <w:rPr>
          <w:rFonts w:eastAsia="Calibri"/>
          <w:b/>
          <w:sz w:val="22"/>
          <w:szCs w:val="22"/>
        </w:rPr>
      </w:pPr>
      <w:r w:rsidRPr="005B0E15">
        <w:rPr>
          <w:rFonts w:eastAsia="Calibri"/>
          <w:b/>
          <w:sz w:val="22"/>
          <w:szCs w:val="22"/>
        </w:rPr>
        <w:t xml:space="preserve">CURTEA DE APEL </w:t>
      </w:r>
      <w:r w:rsidR="00DD01C5">
        <w:rPr>
          <w:rFonts w:eastAsia="Calibri"/>
          <w:b/>
          <w:sz w:val="22"/>
          <w:szCs w:val="22"/>
        </w:rPr>
        <w:t>.......................</w:t>
      </w:r>
    </w:p>
    <w:p w:rsidRPr="005B0E15" w:rsidR="005B0E15" w:rsidP="005B0E15">
      <w:pPr>
        <w:widowControl w:val="0"/>
        <w:ind w:firstLine="709"/>
        <w:jc w:val="center"/>
        <w:rPr>
          <w:rFonts w:eastAsia="Calibri"/>
          <w:b/>
          <w:sz w:val="22"/>
          <w:szCs w:val="22"/>
        </w:rPr>
      </w:pPr>
      <w:r w:rsidRPr="005B0E15">
        <w:rPr>
          <w:rFonts w:eastAsia="Calibri"/>
          <w:b/>
          <w:sz w:val="22"/>
          <w:szCs w:val="22"/>
        </w:rPr>
        <w:t xml:space="preserve">SECŢIA A </w:t>
      </w:r>
      <w:r w:rsidR="00DD01C5">
        <w:rPr>
          <w:rFonts w:eastAsia="Calibri"/>
          <w:b/>
          <w:sz w:val="22"/>
          <w:szCs w:val="22"/>
        </w:rPr>
        <w:t>.......................</w:t>
      </w:r>
      <w:r w:rsidRPr="005B0E15">
        <w:rPr>
          <w:rFonts w:eastAsia="Calibri"/>
          <w:b/>
          <w:sz w:val="22"/>
          <w:szCs w:val="22"/>
        </w:rPr>
        <w:t>CONTENCIOS ADMINISTRATIV ŞI FISCAL</w:t>
      </w:r>
    </w:p>
    <w:p w:rsidRPr="005B0E15" w:rsidR="005B0E15" w:rsidP="005B0E15">
      <w:pPr>
        <w:widowControl w:val="0"/>
        <w:ind w:firstLine="709"/>
        <w:jc w:val="center"/>
        <w:rPr>
          <w:rFonts w:eastAsia="Calibri"/>
          <w:b/>
          <w:sz w:val="22"/>
          <w:szCs w:val="22"/>
          <w:u w:val="single"/>
        </w:rPr>
      </w:pPr>
      <w:r w:rsidRPr="005B0E15">
        <w:rPr>
          <w:rFonts w:eastAsia="Calibri"/>
          <w:b/>
          <w:sz w:val="22"/>
          <w:szCs w:val="22"/>
          <w:u w:val="single"/>
        </w:rPr>
        <w:t>DECIZIA CIVILĂ NR.</w:t>
      </w:r>
      <w:r w:rsidR="00DD01C5">
        <w:rPr>
          <w:rFonts w:eastAsia="Calibri"/>
          <w:b/>
          <w:sz w:val="22"/>
          <w:szCs w:val="22"/>
          <w:u w:val="single"/>
        </w:rPr>
        <w:t>.......................</w:t>
      </w:r>
    </w:p>
    <w:p w:rsidRPr="005B0E15" w:rsidR="005B0E15" w:rsidP="005B0E15">
      <w:pPr>
        <w:widowControl w:val="0"/>
        <w:ind w:firstLine="709"/>
        <w:jc w:val="center"/>
        <w:rPr>
          <w:rFonts w:eastAsia="Calibri"/>
          <w:b/>
          <w:sz w:val="22"/>
          <w:szCs w:val="22"/>
        </w:rPr>
      </w:pPr>
      <w:r w:rsidRPr="005B0E15">
        <w:rPr>
          <w:rFonts w:eastAsia="Calibri"/>
          <w:b/>
          <w:sz w:val="22"/>
          <w:szCs w:val="22"/>
        </w:rPr>
        <w:t xml:space="preserve">Şedinţa publică de la </w:t>
      </w:r>
      <w:r w:rsidR="00DD01C5">
        <w:rPr>
          <w:rFonts w:eastAsia="Calibri"/>
          <w:b/>
          <w:sz w:val="22"/>
          <w:szCs w:val="22"/>
        </w:rPr>
        <w:t>............</w:t>
      </w:r>
      <w:r w:rsidRPr="005B0E15">
        <w:rPr>
          <w:rFonts w:eastAsia="Calibri"/>
          <w:b/>
          <w:sz w:val="22"/>
          <w:szCs w:val="22"/>
        </w:rPr>
        <w:t>2025</w:t>
      </w:r>
    </w:p>
    <w:p w:rsidRPr="005B0E15" w:rsidR="005B0E15" w:rsidP="005B0E15">
      <w:pPr>
        <w:widowControl w:val="0"/>
        <w:ind w:firstLine="709"/>
        <w:jc w:val="center"/>
        <w:rPr>
          <w:rFonts w:eastAsia="Calibri"/>
          <w:b/>
          <w:sz w:val="22"/>
          <w:szCs w:val="22"/>
        </w:rPr>
      </w:pPr>
      <w:r w:rsidRPr="005B0E15">
        <w:rPr>
          <w:rFonts w:eastAsia="Calibri"/>
          <w:b/>
          <w:sz w:val="22"/>
          <w:szCs w:val="22"/>
        </w:rPr>
        <w:t>Curtea constituită din:</w:t>
      </w:r>
    </w:p>
    <w:p w:rsidRPr="005B0E15" w:rsidR="005B0E15" w:rsidP="005B0E15">
      <w:pPr>
        <w:widowControl w:val="0"/>
        <w:ind w:firstLine="709"/>
        <w:jc w:val="center"/>
        <w:rPr>
          <w:b/>
          <w:sz w:val="22"/>
          <w:szCs w:val="22"/>
        </w:rPr>
      </w:pPr>
      <w:r w:rsidRPr="005B0E15">
        <w:rPr>
          <w:b/>
          <w:sz w:val="22"/>
          <w:szCs w:val="22"/>
        </w:rPr>
        <w:t xml:space="preserve">PREŞEDINTE: </w:t>
      </w:r>
      <w:r w:rsidR="00DD01C5">
        <w:rPr>
          <w:b/>
          <w:sz w:val="22"/>
          <w:szCs w:val="22"/>
        </w:rPr>
        <w:t>A0016</w:t>
      </w:r>
    </w:p>
    <w:p w:rsidRPr="005B0E15" w:rsidR="005B0E15" w:rsidP="005B0E15">
      <w:pPr>
        <w:widowControl w:val="0"/>
        <w:tabs>
          <w:tab w:val="left" w:pos="0"/>
        </w:tabs>
        <w:ind w:firstLine="709"/>
        <w:jc w:val="center"/>
        <w:rPr>
          <w:b/>
          <w:sz w:val="22"/>
          <w:szCs w:val="22"/>
        </w:rPr>
      </w:pPr>
      <w:r w:rsidRPr="005B0E15">
        <w:rPr>
          <w:b/>
          <w:sz w:val="22"/>
          <w:szCs w:val="22"/>
        </w:rPr>
        <w:t xml:space="preserve">JUDECĂTOR: </w:t>
      </w:r>
      <w:r w:rsidR="00DD01C5">
        <w:rPr>
          <w:b/>
          <w:sz w:val="22"/>
          <w:szCs w:val="22"/>
        </w:rPr>
        <w:t>...............................................</w:t>
      </w:r>
      <w:r w:rsidRPr="005B0E15">
        <w:rPr>
          <w:b/>
          <w:sz w:val="22"/>
          <w:szCs w:val="22"/>
        </w:rPr>
        <w:t xml:space="preserve">                     </w:t>
      </w:r>
    </w:p>
    <w:p w:rsidRPr="005B0E15" w:rsidR="005B0E15" w:rsidP="005B0E15">
      <w:pPr>
        <w:widowControl w:val="0"/>
        <w:tabs>
          <w:tab w:val="left" w:pos="0"/>
        </w:tabs>
        <w:ind w:firstLine="709"/>
        <w:jc w:val="center"/>
        <w:rPr>
          <w:b/>
          <w:sz w:val="22"/>
          <w:szCs w:val="22"/>
        </w:rPr>
      </w:pPr>
      <w:r w:rsidRPr="005B0E15">
        <w:rPr>
          <w:b/>
          <w:sz w:val="22"/>
          <w:szCs w:val="22"/>
        </w:rPr>
        <w:t xml:space="preserve">JUDECĂTOR: </w:t>
      </w:r>
      <w:r w:rsidR="00DD01C5">
        <w:rPr>
          <w:b/>
          <w:sz w:val="22"/>
          <w:szCs w:val="22"/>
        </w:rPr>
        <w:t>..................................</w:t>
      </w:r>
    </w:p>
    <w:p w:rsidRPr="005B0E15" w:rsidR="005B0E15" w:rsidP="005B0E15">
      <w:pPr>
        <w:widowControl w:val="0"/>
        <w:ind w:firstLine="709"/>
        <w:jc w:val="center"/>
        <w:rPr>
          <w:b/>
          <w:sz w:val="22"/>
          <w:szCs w:val="22"/>
        </w:rPr>
      </w:pPr>
      <w:r w:rsidRPr="005B0E15">
        <w:rPr>
          <w:b/>
          <w:sz w:val="22"/>
          <w:szCs w:val="22"/>
        </w:rPr>
        <w:t xml:space="preserve">GREFIER: </w:t>
      </w:r>
      <w:r w:rsidR="00DD01C5">
        <w:rPr>
          <w:b/>
          <w:sz w:val="22"/>
          <w:szCs w:val="22"/>
        </w:rPr>
        <w:t>..................................</w:t>
      </w:r>
    </w:p>
    <w:p w:rsidRPr="005B0E15" w:rsidR="005B0E15" w:rsidP="005B0E15">
      <w:pPr>
        <w:widowControl w:val="0"/>
        <w:ind w:firstLine="709"/>
        <w:jc w:val="center"/>
        <w:rPr>
          <w:rFonts w:eastAsia="Calibri"/>
          <w:b/>
          <w:sz w:val="22"/>
          <w:szCs w:val="22"/>
        </w:rPr>
      </w:pPr>
    </w:p>
    <w:p w:rsidRPr="005B0E15" w:rsidR="005B0E15" w:rsidP="005B0E15">
      <w:pPr>
        <w:widowControl w:val="0"/>
        <w:tabs>
          <w:tab w:val="left" w:pos="0"/>
          <w:tab w:val="left" w:pos="426"/>
          <w:tab w:val="left" w:pos="709"/>
        </w:tabs>
        <w:ind w:firstLine="709"/>
        <w:jc w:val="both"/>
        <w:rPr>
          <w:b/>
          <w:bCs/>
          <w:i/>
          <w:iCs/>
          <w:sz w:val="22"/>
          <w:szCs w:val="22"/>
        </w:rPr>
      </w:pPr>
      <w:r w:rsidRPr="005B0E15">
        <w:rPr>
          <w:sz w:val="22"/>
          <w:szCs w:val="22"/>
        </w:rPr>
        <w:t xml:space="preserve">Pe rol se află soluţionarea </w:t>
      </w:r>
      <w:r w:rsidRPr="005B0E15">
        <w:rPr>
          <w:sz w:val="22"/>
          <w:szCs w:val="22"/>
        </w:rPr>
        <w:t xml:space="preserve">recursului </w:t>
      </w:r>
      <w:bookmarkStart w:name="_Hlk85730858" w:id="1"/>
      <w:bookmarkStart w:name="_Hlk156907604" w:id="2"/>
      <w:bookmarkStart w:name="_Hlk183769983" w:id="3"/>
      <w:bookmarkStart w:name="_Hlk191375128" w:id="4"/>
      <w:r w:rsidRPr="005B0E15">
        <w:rPr>
          <w:sz w:val="22"/>
          <w:szCs w:val="22"/>
        </w:rPr>
        <w:t xml:space="preserve">declarat de </w:t>
      </w:r>
      <w:bookmarkStart w:name="_Hlk191284769" w:id="5"/>
      <w:bookmarkStart w:name="_Hlk76030198" w:id="6"/>
      <w:r w:rsidRPr="005B0E15">
        <w:rPr>
          <w:sz w:val="22"/>
          <w:szCs w:val="22"/>
        </w:rPr>
        <w:t xml:space="preserve">recurenta-pârâtă </w:t>
      </w:r>
      <w:bookmarkEnd w:id="5"/>
      <w:r w:rsidRPr="005B0E15">
        <w:rPr>
          <w:b/>
          <w:sz w:val="22"/>
          <w:szCs w:val="22"/>
        </w:rPr>
        <w:t xml:space="preserve">AUTORITATEA NATIONALA PENTRU CETATENIE </w:t>
      </w:r>
      <w:r w:rsidRPr="005B0E15">
        <w:rPr>
          <w:sz w:val="22"/>
          <w:szCs w:val="22"/>
        </w:rPr>
        <w:t xml:space="preserve">împotriva sentinţei civile nr. </w:t>
      </w:r>
      <w:bookmarkStart w:name="_Hlk98929430" w:id="7"/>
      <w:r w:rsidR="00DD01C5">
        <w:rPr>
          <w:sz w:val="22"/>
          <w:szCs w:val="22"/>
        </w:rPr>
        <w:t>SC1/</w:t>
      </w:r>
      <w:r w:rsidRPr="005B0E15">
        <w:rPr>
          <w:sz w:val="22"/>
          <w:szCs w:val="22"/>
        </w:rPr>
        <w:t>20</w:t>
      </w:r>
      <w:r w:rsidRPr="005B0E15">
        <w:rPr>
          <w:sz w:val="22"/>
          <w:szCs w:val="22"/>
        </w:rPr>
        <w:t xml:space="preserve">24 </w:t>
      </w:r>
      <w:bookmarkEnd w:id="7"/>
      <w:r w:rsidRPr="005B0E15">
        <w:rPr>
          <w:sz w:val="22"/>
          <w:szCs w:val="22"/>
        </w:rPr>
        <w:t xml:space="preserve">pronunţate de </w:t>
      </w:r>
      <w:bookmarkStart w:name="_Hlk77169689" w:id="8"/>
      <w:r w:rsidRPr="005B0E15">
        <w:rPr>
          <w:sz w:val="22"/>
          <w:szCs w:val="22"/>
        </w:rPr>
        <w:t xml:space="preserve">Tribunalul </w:t>
      </w:r>
      <w:bookmarkEnd w:id="8"/>
      <w:r w:rsidR="00DD01C5">
        <w:rPr>
          <w:sz w:val="22"/>
          <w:szCs w:val="22"/>
        </w:rPr>
        <w:t>.......................</w:t>
      </w:r>
      <w:r w:rsidRPr="005B0E15">
        <w:rPr>
          <w:sz w:val="22"/>
          <w:szCs w:val="22"/>
        </w:rPr>
        <w:t xml:space="preserve"> - Secţia a </w:t>
      </w:r>
      <w:r w:rsidR="00DD01C5">
        <w:rPr>
          <w:sz w:val="22"/>
          <w:szCs w:val="22"/>
        </w:rPr>
        <w:t>..........</w:t>
      </w:r>
      <w:r w:rsidRPr="005B0E15">
        <w:rPr>
          <w:sz w:val="22"/>
          <w:szCs w:val="22"/>
        </w:rPr>
        <w:t xml:space="preserve">Contencios Administrativ şi Fiscal în dosarul nr. </w:t>
      </w:r>
      <w:r w:rsidR="00DD01C5">
        <w:rPr>
          <w:sz w:val="22"/>
          <w:szCs w:val="22"/>
        </w:rPr>
        <w:t>...</w:t>
      </w:r>
      <w:r w:rsidR="00DD01C5">
        <w:rPr>
          <w:sz w:val="22"/>
          <w:szCs w:val="22"/>
        </w:rPr>
        <w:t>....................</w:t>
      </w:r>
      <w:r w:rsidRPr="005B0E15">
        <w:rPr>
          <w:sz w:val="22"/>
          <w:szCs w:val="22"/>
        </w:rPr>
        <w:t xml:space="preserve">, în contradictoriu cu </w:t>
      </w:r>
      <w:bookmarkEnd w:id="1"/>
      <w:bookmarkEnd w:id="2"/>
      <w:r w:rsidRPr="005B0E15">
        <w:rPr>
          <w:bCs/>
          <w:sz w:val="22"/>
          <w:szCs w:val="22"/>
        </w:rPr>
        <w:t>intimatul-reclamant</w:t>
      </w:r>
      <w:r w:rsidRPr="005B0E15">
        <w:rPr>
          <w:b/>
          <w:sz w:val="22"/>
          <w:szCs w:val="22"/>
        </w:rPr>
        <w:t xml:space="preserve"> </w:t>
      </w:r>
      <w:bookmarkEnd w:id="3"/>
      <w:bookmarkEnd w:id="4"/>
      <w:r w:rsidR="00DD01C5">
        <w:rPr>
          <w:b/>
          <w:sz w:val="22"/>
          <w:szCs w:val="22"/>
        </w:rPr>
        <w:t>W....</w:t>
      </w:r>
      <w:r w:rsidRPr="005B0E15">
        <w:rPr>
          <w:b/>
          <w:sz w:val="22"/>
          <w:szCs w:val="22"/>
        </w:rPr>
        <w:t xml:space="preserve">, </w:t>
      </w:r>
      <w:r w:rsidRPr="005B0E15">
        <w:rPr>
          <w:sz w:val="22"/>
          <w:szCs w:val="22"/>
        </w:rPr>
        <w:t xml:space="preserve">având ca obiect </w:t>
      </w:r>
      <w:bookmarkEnd w:id="6"/>
      <w:r w:rsidRPr="005B0E15">
        <w:rPr>
          <w:b/>
          <w:bCs/>
          <w:i/>
          <w:iCs/>
          <w:sz w:val="22"/>
          <w:szCs w:val="22"/>
        </w:rPr>
        <w:t>refuz soluţionare cerere.</w:t>
      </w:r>
    </w:p>
    <w:p w:rsidRPr="005B0E15" w:rsidR="005B0E15" w:rsidP="005B0E15">
      <w:pPr>
        <w:widowControl w:val="0"/>
        <w:tabs>
          <w:tab w:val="left" w:pos="0"/>
          <w:tab w:val="left" w:pos="426"/>
          <w:tab w:val="left" w:pos="709"/>
        </w:tabs>
        <w:ind w:firstLine="709"/>
        <w:jc w:val="both"/>
        <w:rPr>
          <w:sz w:val="22"/>
          <w:szCs w:val="22"/>
        </w:rPr>
      </w:pPr>
      <w:r w:rsidRPr="005B0E15">
        <w:rPr>
          <w:sz w:val="22"/>
          <w:szCs w:val="22"/>
        </w:rPr>
        <w:t>La apelul nominal făcut în şedinţă publică, la cele două strigări ale cauzei, nu se prezintă părţile.</w:t>
      </w:r>
    </w:p>
    <w:p w:rsidRPr="005B0E15" w:rsidR="005B0E15" w:rsidP="005B0E15">
      <w:pPr>
        <w:widowControl w:val="0"/>
        <w:tabs>
          <w:tab w:val="left" w:pos="0"/>
          <w:tab w:val="left" w:pos="426"/>
          <w:tab w:val="left" w:pos="709"/>
        </w:tabs>
        <w:ind w:firstLine="709"/>
        <w:jc w:val="both"/>
        <w:rPr>
          <w:sz w:val="22"/>
          <w:szCs w:val="22"/>
        </w:rPr>
      </w:pPr>
      <w:r w:rsidRPr="005B0E15">
        <w:rPr>
          <w:sz w:val="22"/>
          <w:szCs w:val="22"/>
        </w:rPr>
        <w:t>Procedura de citare este legal îndeplinită.</w:t>
      </w:r>
    </w:p>
    <w:p w:rsidRPr="005B0E15" w:rsidR="005B0E15" w:rsidP="005B0E15">
      <w:pPr>
        <w:widowControl w:val="0"/>
        <w:tabs>
          <w:tab w:val="left" w:pos="0"/>
          <w:tab w:val="left" w:pos="709"/>
        </w:tabs>
        <w:ind w:firstLine="709"/>
        <w:jc w:val="both"/>
        <w:rPr>
          <w:sz w:val="22"/>
          <w:szCs w:val="22"/>
        </w:rPr>
      </w:pPr>
      <w:r w:rsidRPr="005B0E15">
        <w:rPr>
          <w:sz w:val="22"/>
          <w:szCs w:val="22"/>
        </w:rPr>
        <w:t xml:space="preserve">S-a făcut referatul cauzei de către grefierul de şedinţă, care învederează instanţei faptul că la data de </w:t>
      </w:r>
      <w:r w:rsidR="00DD01C5">
        <w:rPr>
          <w:sz w:val="22"/>
          <w:szCs w:val="22"/>
        </w:rPr>
        <w:t>.......</w:t>
      </w:r>
      <w:r w:rsidRPr="005B0E15">
        <w:rPr>
          <w:sz w:val="22"/>
          <w:szCs w:val="22"/>
        </w:rPr>
        <w:t>.2024, recurenta-pârâtă a depus dovada timbrării recursului cu suma de 100 de lei, precum şi că s-a solicitat judecarea cauzei şi în lipsă, după care:</w:t>
      </w:r>
    </w:p>
    <w:p w:rsidRPr="005B0E15" w:rsidR="005B0E15" w:rsidP="005B0E15">
      <w:pPr>
        <w:widowControl w:val="0"/>
        <w:tabs>
          <w:tab w:val="left" w:pos="0"/>
          <w:tab w:val="left" w:pos="709"/>
        </w:tabs>
        <w:ind w:firstLine="709"/>
        <w:jc w:val="both"/>
        <w:rPr>
          <w:sz w:val="22"/>
          <w:szCs w:val="22"/>
        </w:rPr>
      </w:pPr>
      <w:r w:rsidRPr="005B0E15">
        <w:rPr>
          <w:sz w:val="22"/>
          <w:szCs w:val="22"/>
        </w:rPr>
        <w:t>Instanţa ia act ca nu sunt probe noi în recurs şi îl reţine spre soluţionare pe fond.</w:t>
      </w:r>
    </w:p>
    <w:p w:rsidRPr="005B0E15" w:rsidR="005B0E15" w:rsidP="005B0E15">
      <w:pPr>
        <w:widowControl w:val="0"/>
        <w:tabs>
          <w:tab w:val="left" w:pos="0"/>
          <w:tab w:val="left" w:pos="709"/>
        </w:tabs>
        <w:ind w:firstLine="709"/>
        <w:jc w:val="both"/>
        <w:rPr>
          <w:sz w:val="22"/>
          <w:szCs w:val="22"/>
        </w:rPr>
      </w:pPr>
    </w:p>
    <w:p w:rsidRPr="005B0E15" w:rsidR="005B0E15" w:rsidP="005B0E15">
      <w:pPr>
        <w:widowControl w:val="0"/>
        <w:ind w:firstLine="709"/>
        <w:jc w:val="center"/>
        <w:rPr>
          <w:rFonts w:eastAsia="Calibri"/>
          <w:b/>
          <w:sz w:val="22"/>
          <w:szCs w:val="22"/>
        </w:rPr>
      </w:pPr>
      <w:r w:rsidRPr="005B0E15">
        <w:rPr>
          <w:rFonts w:eastAsia="Calibri"/>
          <w:b/>
          <w:sz w:val="22"/>
          <w:szCs w:val="22"/>
        </w:rPr>
        <w:t xml:space="preserve">CURTEA, </w:t>
      </w:r>
    </w:p>
    <w:p w:rsidRPr="005B0E15" w:rsidR="005B0E15" w:rsidP="005B0E15">
      <w:pPr>
        <w:widowControl w:val="0"/>
        <w:ind w:firstLine="709"/>
        <w:jc w:val="both"/>
        <w:rPr>
          <w:b/>
          <w:sz w:val="22"/>
          <w:szCs w:val="22"/>
        </w:rPr>
      </w:pPr>
    </w:p>
    <w:p w:rsidRPr="005B0E15" w:rsidR="005B0E15" w:rsidP="005B0E15">
      <w:pPr>
        <w:widowControl w:val="0"/>
        <w:tabs>
          <w:tab w:val="left" w:pos="9072"/>
        </w:tabs>
        <w:ind w:firstLine="709"/>
        <w:jc w:val="both"/>
        <w:rPr>
          <w:sz w:val="22"/>
          <w:szCs w:val="22"/>
        </w:rPr>
      </w:pPr>
      <w:r w:rsidRPr="005B0E15">
        <w:rPr>
          <w:sz w:val="22"/>
          <w:szCs w:val="22"/>
        </w:rPr>
        <w:t>Deliberând asupra recursului de faţă, reţine următoarele:</w:t>
      </w:r>
    </w:p>
    <w:p w:rsidRPr="005B0E15" w:rsidR="005B0E15" w:rsidP="005B0E15">
      <w:pPr>
        <w:widowControl w:val="0"/>
        <w:tabs>
          <w:tab w:val="left" w:pos="-3420"/>
          <w:tab w:val="left" w:pos="9072"/>
        </w:tabs>
        <w:ind w:firstLine="709"/>
        <w:jc w:val="both"/>
        <w:rPr>
          <w:b/>
          <w:iCs/>
          <w:sz w:val="22"/>
          <w:szCs w:val="22"/>
        </w:rPr>
      </w:pPr>
      <w:r w:rsidRPr="005B0E15">
        <w:rPr>
          <w:b/>
          <w:iCs/>
          <w:sz w:val="22"/>
          <w:szCs w:val="22"/>
        </w:rPr>
        <w:t>I. Circumstanţele cauzei</w:t>
      </w:r>
    </w:p>
    <w:p w:rsidRPr="005B0E15" w:rsidR="005B0E15" w:rsidP="005B0E15">
      <w:pPr>
        <w:widowControl w:val="0"/>
        <w:tabs>
          <w:tab w:val="left" w:pos="-3420"/>
          <w:tab w:val="left" w:pos="9072"/>
        </w:tabs>
        <w:ind w:firstLine="709"/>
        <w:jc w:val="both"/>
        <w:rPr>
          <w:b/>
          <w:bCs/>
          <w:sz w:val="22"/>
          <w:szCs w:val="22"/>
        </w:rPr>
      </w:pPr>
      <w:r w:rsidRPr="005B0E15">
        <w:rPr>
          <w:b/>
          <w:bCs/>
          <w:sz w:val="22"/>
          <w:szCs w:val="22"/>
        </w:rPr>
        <w:t>1. Obiectul cererii de chemare în judecată</w:t>
      </w:r>
    </w:p>
    <w:p w:rsidRPr="005B0E15" w:rsidR="005B0E15" w:rsidP="005B0E15">
      <w:pPr>
        <w:widowControl w:val="0"/>
        <w:tabs>
          <w:tab w:val="left" w:pos="3975"/>
          <w:tab w:val="left" w:pos="9072"/>
        </w:tabs>
        <w:ind w:firstLine="709"/>
        <w:jc w:val="both"/>
        <w:rPr>
          <w:sz w:val="22"/>
          <w:szCs w:val="22"/>
        </w:rPr>
      </w:pPr>
      <w:r w:rsidRPr="005B0E15">
        <w:rPr>
          <w:sz w:val="22"/>
          <w:szCs w:val="22"/>
        </w:rPr>
        <w:t xml:space="preserve">Prin cererea înregistrată pe rolul Tribunalului </w:t>
      </w:r>
      <w:r w:rsidR="00DD01C5">
        <w:rPr>
          <w:sz w:val="22"/>
          <w:szCs w:val="22"/>
        </w:rPr>
        <w:t>.......................</w:t>
      </w:r>
      <w:r w:rsidRPr="005B0E15">
        <w:rPr>
          <w:sz w:val="22"/>
          <w:szCs w:val="22"/>
        </w:rPr>
        <w:t xml:space="preserve"> la data de </w:t>
      </w:r>
      <w:r w:rsidR="00DD01C5">
        <w:rPr>
          <w:sz w:val="22"/>
          <w:szCs w:val="22"/>
        </w:rPr>
        <w:t>.......</w:t>
      </w:r>
      <w:r w:rsidRPr="005B0E15">
        <w:rPr>
          <w:sz w:val="22"/>
          <w:szCs w:val="22"/>
        </w:rPr>
        <w:t xml:space="preserve">2023 sub nr. </w:t>
      </w:r>
      <w:r w:rsidR="00DD01C5">
        <w:rPr>
          <w:sz w:val="22"/>
          <w:szCs w:val="22"/>
        </w:rPr>
        <w:t>.......................</w:t>
      </w:r>
      <w:r w:rsidRPr="005B0E15">
        <w:rPr>
          <w:sz w:val="22"/>
          <w:szCs w:val="22"/>
        </w:rPr>
        <w:t xml:space="preserve">, reclamantul </w:t>
      </w:r>
      <w:r w:rsidR="00DD01C5">
        <w:rPr>
          <w:sz w:val="22"/>
          <w:szCs w:val="22"/>
        </w:rPr>
        <w:t>W....</w:t>
      </w:r>
      <w:r w:rsidRPr="005B0E15">
        <w:rPr>
          <w:sz w:val="22"/>
          <w:szCs w:val="22"/>
        </w:rPr>
        <w:t xml:space="preserve"> a solicitat in contradictoriu cu parata Autoritatea Naţională pentru Cetăţenie obligarea la soluţionarea cererii de redobândire a cetăţeniei romane, să emită şi să comunice ordinul de redobândire/respingere a cererii prin scrisoare recomandată cu confirmare de primir</w:t>
      </w:r>
      <w:r w:rsidRPr="005B0E15">
        <w:rPr>
          <w:sz w:val="22"/>
          <w:szCs w:val="22"/>
        </w:rPr>
        <w:t>e la sediul ales, de îndată, cu cheltu</w:t>
      </w:r>
      <w:r w:rsidRPr="005B0E15">
        <w:rPr>
          <w:sz w:val="22"/>
          <w:szCs w:val="22"/>
        </w:rPr>
        <w:t>ieli de judecată.</w:t>
      </w:r>
    </w:p>
    <w:p w:rsidRPr="005B0E15" w:rsidR="005B0E15" w:rsidP="005B0E15">
      <w:pPr>
        <w:widowControl w:val="0"/>
        <w:tabs>
          <w:tab w:val="left" w:pos="3975"/>
          <w:tab w:val="left" w:pos="9072"/>
        </w:tabs>
        <w:ind w:firstLine="709"/>
        <w:jc w:val="both"/>
        <w:rPr>
          <w:sz w:val="22"/>
          <w:szCs w:val="22"/>
        </w:rPr>
      </w:pPr>
      <w:r w:rsidRPr="005B0E15">
        <w:rPr>
          <w:b/>
          <w:bCs/>
          <w:sz w:val="22"/>
          <w:szCs w:val="22"/>
        </w:rPr>
        <w:t>2. Hotărârea instanţei de fond</w:t>
      </w:r>
    </w:p>
    <w:p w:rsidRPr="005B0E15" w:rsidR="005B0E15" w:rsidP="005B0E15">
      <w:pPr>
        <w:widowControl w:val="0"/>
        <w:tabs>
          <w:tab w:val="left" w:pos="-3420"/>
          <w:tab w:val="left" w:pos="9072"/>
        </w:tabs>
        <w:ind w:firstLine="709"/>
        <w:jc w:val="both"/>
        <w:rPr>
          <w:sz w:val="22"/>
          <w:szCs w:val="22"/>
        </w:rPr>
      </w:pPr>
      <w:r w:rsidRPr="005B0E15">
        <w:rPr>
          <w:sz w:val="22"/>
          <w:szCs w:val="22"/>
        </w:rPr>
        <w:t xml:space="preserve">Prin sentinţa civilă nr. </w:t>
      </w:r>
      <w:r w:rsidR="00DD01C5">
        <w:rPr>
          <w:sz w:val="22"/>
          <w:szCs w:val="22"/>
        </w:rPr>
        <w:t>SC1/</w:t>
      </w:r>
      <w:r w:rsidRPr="005B0E15">
        <w:rPr>
          <w:sz w:val="22"/>
          <w:szCs w:val="22"/>
        </w:rPr>
        <w:t xml:space="preserve">2024, </w:t>
      </w:r>
      <w:r w:rsidRPr="005B0E15">
        <w:rPr>
          <w:sz w:val="22"/>
          <w:szCs w:val="22"/>
        </w:rPr>
        <w:t xml:space="preserve">Tribunalul </w:t>
      </w:r>
      <w:r w:rsidR="00DD01C5">
        <w:rPr>
          <w:sz w:val="22"/>
          <w:szCs w:val="22"/>
        </w:rPr>
        <w:t>.......................</w:t>
      </w:r>
      <w:r w:rsidRPr="005B0E15">
        <w:rPr>
          <w:sz w:val="22"/>
          <w:szCs w:val="22"/>
        </w:rPr>
        <w:t xml:space="preserve"> - Secţia a </w:t>
      </w:r>
      <w:r w:rsidR="00DD01C5">
        <w:rPr>
          <w:sz w:val="22"/>
          <w:szCs w:val="22"/>
        </w:rPr>
        <w:t>..........</w:t>
      </w:r>
      <w:r w:rsidRPr="005B0E15">
        <w:rPr>
          <w:sz w:val="22"/>
          <w:szCs w:val="22"/>
        </w:rPr>
        <w:t xml:space="preserve">Contencios Administrativ şi Fiscal a admis în parte cererea formulată de reclamantul </w:t>
      </w:r>
      <w:r w:rsidR="00DD01C5">
        <w:rPr>
          <w:sz w:val="22"/>
          <w:szCs w:val="22"/>
        </w:rPr>
        <w:t>W....</w:t>
      </w:r>
      <w:r w:rsidRPr="005B0E15">
        <w:rPr>
          <w:sz w:val="22"/>
          <w:szCs w:val="22"/>
        </w:rPr>
        <w:t xml:space="preserve"> în contradictoriu cu pârâta Autoritatea  Naţională  pentru  Cetăţenie, a obligat pârâta să soluţioneze cererea de redobândire a cetăţeniei înregistrată de reclamant sub nr.</w:t>
      </w:r>
      <w:r w:rsidR="00DD01C5">
        <w:rPr>
          <w:sz w:val="22"/>
          <w:szCs w:val="22"/>
        </w:rPr>
        <w:t>..........................</w:t>
      </w:r>
      <w:r w:rsidRPr="005B0E15">
        <w:rPr>
          <w:sz w:val="22"/>
          <w:szCs w:val="22"/>
        </w:rPr>
        <w:t>16.08.2022, să emită şi să comunice ordinul de redobândire/respingere a cererii prin scrisoare recomandată cu confirmare de primire la sediul ales, de îndată, şi a respins ca neîntemeiată cererea reclamantului de obligare a pârâtei la plata cheltuielilor de judecată.</w:t>
      </w:r>
    </w:p>
    <w:p w:rsidRPr="005B0E15" w:rsidR="005B0E15" w:rsidP="005B0E15">
      <w:pPr>
        <w:widowControl w:val="0"/>
        <w:tabs>
          <w:tab w:val="left" w:pos="-3420"/>
          <w:tab w:val="left" w:pos="9072"/>
        </w:tabs>
        <w:ind w:firstLine="709"/>
        <w:jc w:val="both"/>
        <w:rPr>
          <w:sz w:val="22"/>
          <w:szCs w:val="22"/>
        </w:rPr>
      </w:pPr>
      <w:r w:rsidRPr="005B0E15">
        <w:rPr>
          <w:b/>
          <w:sz w:val="22"/>
          <w:szCs w:val="22"/>
        </w:rPr>
        <w:t xml:space="preserve">3. Calea de atac exercitată de către pârâta </w:t>
      </w:r>
      <w:bookmarkStart w:name="_Hlk106363850" w:id="9"/>
      <w:r w:rsidRPr="005B0E15">
        <w:rPr>
          <w:b/>
          <w:sz w:val="22"/>
          <w:szCs w:val="22"/>
        </w:rPr>
        <w:t xml:space="preserve">Autoritatea Naţională pentru Cetăţenie </w:t>
      </w:r>
    </w:p>
    <w:p w:rsidRPr="005B0E15" w:rsidR="005B0E15" w:rsidP="005B0E15">
      <w:pPr>
        <w:widowControl w:val="0"/>
        <w:tabs>
          <w:tab w:val="left" w:pos="-3420"/>
          <w:tab w:val="left" w:pos="9072"/>
        </w:tabs>
        <w:ind w:firstLine="709"/>
        <w:jc w:val="both"/>
        <w:rPr>
          <w:bCs/>
          <w:sz w:val="22"/>
          <w:szCs w:val="22"/>
        </w:rPr>
      </w:pPr>
      <w:bookmarkEnd w:id="9"/>
      <w:r w:rsidRPr="005B0E15">
        <w:rPr>
          <w:sz w:val="22"/>
          <w:szCs w:val="22"/>
          <w:shd w:val="clear" w:color="auto" w:fill="FFFFFF"/>
        </w:rPr>
        <w:t xml:space="preserve">Împotriva acestei sentinţe a declarat recurs </w:t>
      </w:r>
      <w:bookmarkStart w:name="_Hlk74562794" w:id="10"/>
      <w:r w:rsidRPr="005B0E15">
        <w:rPr>
          <w:sz w:val="22"/>
          <w:szCs w:val="22"/>
        </w:rPr>
        <w:t>pârâ</w:t>
      </w:r>
      <w:bookmarkEnd w:id="10"/>
      <w:r w:rsidRPr="005B0E15">
        <w:rPr>
          <w:sz w:val="22"/>
          <w:szCs w:val="22"/>
        </w:rPr>
        <w:t xml:space="preserve">ta Autoritatea Naţională pentru Cetăţenie, </w:t>
      </w:r>
      <w:r w:rsidRPr="005B0E15">
        <w:rPr>
          <w:bCs/>
          <w:sz w:val="22"/>
          <w:szCs w:val="22"/>
        </w:rPr>
        <w:t>solicitând admiterea recursului, casarea hotărârii atacate şi, rejud</w:t>
      </w:r>
      <w:r w:rsidRPr="005B0E15">
        <w:rPr>
          <w:bCs/>
          <w:sz w:val="22"/>
          <w:szCs w:val="22"/>
        </w:rPr>
        <w:t>ecând cauza, să se dispună respingerea tuturor capetelor de cerere din acţiunea introductivă formulată de intimatul-reclamant.</w:t>
      </w:r>
    </w:p>
    <w:p w:rsidRPr="005B0E15" w:rsidR="005B0E15" w:rsidP="005B0E15">
      <w:pPr>
        <w:widowControl w:val="0"/>
        <w:tabs>
          <w:tab w:val="left" w:pos="-3420"/>
          <w:tab w:val="left" w:pos="9072"/>
        </w:tabs>
        <w:ind w:firstLine="709"/>
        <w:jc w:val="both"/>
        <w:rPr>
          <w:bCs/>
          <w:sz w:val="22"/>
          <w:szCs w:val="22"/>
        </w:rPr>
      </w:pPr>
      <w:r w:rsidRPr="005B0E15">
        <w:rPr>
          <w:bCs/>
          <w:sz w:val="22"/>
          <w:szCs w:val="22"/>
        </w:rPr>
        <w:t>În motivare, în esenţă, s-a arătat că instanţa de fond</w:t>
      </w:r>
      <w:r w:rsidRPr="005B0E15">
        <w:rPr>
          <w:rFonts w:ascii="Calibri" w:hAnsi="Calibri" w:eastAsia="Calibri"/>
          <w:sz w:val="22"/>
          <w:szCs w:val="22"/>
        </w:rPr>
        <w:t xml:space="preserve"> </w:t>
      </w:r>
      <w:r w:rsidRPr="005B0E15">
        <w:rPr>
          <w:bCs/>
          <w:sz w:val="22"/>
          <w:szCs w:val="22"/>
        </w:rPr>
        <w:t>a interpretat greşit natura termenului de 5 luni de zile, prevăzut de art. 16 alin. 2 lit. c) din Legea cetăţeniei române, considerând că acesta este unul de soluţionare a cererii de cetăţenie, prin motivarea soluţiei reţinând că pârâta avea obligaţia de a lua toate măsurile ca verificarea condiţiilor legale necesare redobândiri</w:t>
      </w:r>
      <w:r w:rsidRPr="005B0E15">
        <w:rPr>
          <w:bCs/>
          <w:sz w:val="22"/>
          <w:szCs w:val="22"/>
        </w:rPr>
        <w:t>i cetăţeniei de către reclamant, să se încadreze în interiorul termenului de 5 luni de la înregistrare şi, pe cale de consecinţă, fundamentându-şi soluţia pe această aplicare greşită a normelor de drept material, judecătorul fondului a constatat refuzul nejustificat de soluţionare a cererii, deşi autoritatea a adus la cunoştinţa ins</w:t>
      </w:r>
      <w:r w:rsidRPr="005B0E15">
        <w:rPr>
          <w:bCs/>
          <w:sz w:val="22"/>
          <w:szCs w:val="22"/>
        </w:rPr>
        <w:t>tanţei demersurile întreprinse în cadrul procedurii administrative, aspecte necontestate de altfel nici de către reclamant.</w:t>
      </w:r>
    </w:p>
    <w:p w:rsidRPr="005B0E15" w:rsidR="005B0E15" w:rsidP="005B0E15">
      <w:pPr>
        <w:widowControl w:val="0"/>
        <w:tabs>
          <w:tab w:val="left" w:pos="-3420"/>
          <w:tab w:val="left" w:pos="9072"/>
        </w:tabs>
        <w:ind w:firstLine="709"/>
        <w:jc w:val="both"/>
        <w:rPr>
          <w:bCs/>
          <w:sz w:val="22"/>
          <w:szCs w:val="22"/>
        </w:rPr>
      </w:pPr>
      <w:r w:rsidRPr="005B0E15">
        <w:rPr>
          <w:bCs/>
          <w:sz w:val="22"/>
          <w:szCs w:val="22"/>
        </w:rPr>
        <w:t>Astfel, contrar susţinerilor primei instanţe, Autorita</w:t>
      </w:r>
      <w:r w:rsidRPr="005B0E15">
        <w:rPr>
          <w:bCs/>
          <w:sz w:val="22"/>
          <w:szCs w:val="22"/>
        </w:rPr>
        <w:t>tea Naţională pentru Cetăţenie a efectuat demersuri pentru soluţionarea cererii, conform procedurii specifice solicitărilor de redobândire a cetăţeniei române, respectiv a înregistrat cererea la secretariatul tehnic al Comisiei, a solicitat relaţii autorităţilor abilitate şi a fixat termenul la care Comisia analizează şi verifică în</w:t>
      </w:r>
      <w:r w:rsidRPr="005B0E15">
        <w:rPr>
          <w:bCs/>
          <w:sz w:val="22"/>
          <w:szCs w:val="22"/>
        </w:rPr>
        <w:t xml:space="preserve">deplinirea condițiilor prevăzute de art. 11 raportat la art. 8 alin. (1) lit. b) si e) din Legea nr. 21/1991. Aşadar, în cauza de faţă, este incident termenul „rezonabil”, având </w:t>
      </w:r>
      <w:r w:rsidRPr="005B0E15">
        <w:rPr>
          <w:bCs/>
          <w:sz w:val="22"/>
          <w:szCs w:val="22"/>
        </w:rPr>
        <w:t>în vedere volumul mare de activitate al autorităţii administrative, nu există un refuz nejustificat de soluţionare a cererii intimatei, în dosarul de cetăţenie fiind dispuse măsurile prevăzute de lege.</w:t>
      </w:r>
    </w:p>
    <w:p w:rsidRPr="005B0E15" w:rsidR="005B0E15" w:rsidP="005B0E15">
      <w:pPr>
        <w:widowControl w:val="0"/>
        <w:tabs>
          <w:tab w:val="left" w:pos="-3420"/>
          <w:tab w:val="left" w:pos="9072"/>
        </w:tabs>
        <w:ind w:firstLine="709"/>
        <w:jc w:val="both"/>
        <w:rPr>
          <w:bCs/>
          <w:sz w:val="22"/>
          <w:szCs w:val="22"/>
        </w:rPr>
      </w:pPr>
      <w:bookmarkStart w:name="_Hlk98932276" w:id="11"/>
      <w:r w:rsidRPr="005B0E15">
        <w:rPr>
          <w:bCs/>
          <w:sz w:val="22"/>
          <w:szCs w:val="22"/>
        </w:rPr>
        <w:t xml:space="preserve">În drept, au fost invocate prevederile </w:t>
      </w:r>
      <w:bookmarkEnd w:id="11"/>
      <w:r w:rsidRPr="005B0E15">
        <w:rPr>
          <w:bCs/>
          <w:sz w:val="22"/>
          <w:szCs w:val="22"/>
        </w:rPr>
        <w:t>art. 483 C.pr.civ., art. 488 alin. 1 pct. 8 C.pr.civ. raportat la art. 20 alin. 1 din Legea contenciosului administrativ</w:t>
      </w:r>
      <w:r w:rsidRPr="005B0E15">
        <w:rPr>
          <w:bCs/>
          <w:sz w:val="22"/>
          <w:szCs w:val="22"/>
        </w:rPr>
        <w:t xml:space="preserve"> nr. 554/2004.</w:t>
      </w:r>
    </w:p>
    <w:p w:rsidRPr="005B0E15" w:rsidR="005B0E15" w:rsidP="005B0E15">
      <w:pPr>
        <w:widowControl w:val="0"/>
        <w:tabs>
          <w:tab w:val="left" w:pos="9072"/>
        </w:tabs>
        <w:ind w:firstLine="709"/>
        <w:jc w:val="both"/>
        <w:rPr>
          <w:b/>
          <w:sz w:val="22"/>
          <w:szCs w:val="22"/>
        </w:rPr>
      </w:pPr>
      <w:r w:rsidRPr="005B0E15">
        <w:rPr>
          <w:b/>
          <w:sz w:val="22"/>
          <w:szCs w:val="22"/>
        </w:rPr>
        <w:t>4. Apărările formulate în recurs</w:t>
      </w:r>
    </w:p>
    <w:p w:rsidRPr="005B0E15" w:rsidR="005B0E15" w:rsidP="005B0E15">
      <w:pPr>
        <w:widowControl w:val="0"/>
        <w:tabs>
          <w:tab w:val="left" w:pos="9072"/>
        </w:tabs>
        <w:ind w:firstLine="709"/>
        <w:jc w:val="both"/>
        <w:rPr>
          <w:sz w:val="22"/>
          <w:szCs w:val="22"/>
        </w:rPr>
      </w:pPr>
      <w:r w:rsidRPr="005B0E15">
        <w:rPr>
          <w:sz w:val="22"/>
          <w:szCs w:val="22"/>
        </w:rPr>
        <w:t>Intimatul-recl</w:t>
      </w:r>
      <w:r w:rsidRPr="005B0E15">
        <w:rPr>
          <w:sz w:val="22"/>
          <w:szCs w:val="22"/>
        </w:rPr>
        <w:t>amant</w:t>
      </w:r>
      <w:r w:rsidRPr="005B0E15">
        <w:rPr>
          <w:rFonts w:eastAsia="Calibri"/>
          <w:sz w:val="22"/>
          <w:szCs w:val="22"/>
        </w:rPr>
        <w:t xml:space="preserve"> </w:t>
      </w:r>
      <w:r w:rsidR="00DD01C5">
        <w:rPr>
          <w:rFonts w:eastAsia="Calibri"/>
          <w:sz w:val="22"/>
          <w:szCs w:val="22"/>
        </w:rPr>
        <w:t>W....</w:t>
      </w:r>
      <w:r w:rsidRPr="005B0E15">
        <w:rPr>
          <w:rFonts w:eastAsia="Calibri"/>
          <w:sz w:val="22"/>
          <w:szCs w:val="22"/>
        </w:rPr>
        <w:t xml:space="preserve"> a formulat întâmpinare,</w:t>
      </w:r>
      <w:r w:rsidRPr="005B0E15">
        <w:rPr>
          <w:sz w:val="22"/>
          <w:szCs w:val="22"/>
        </w:rPr>
        <w:t xml:space="preserve"> prin care a solicitat respingerea recursului ca nefondat şi menţinerea sentinţei civile recurate ca fiind legală şi temeinică, cu  cheltuieli de judecată.</w:t>
      </w:r>
    </w:p>
    <w:p w:rsidRPr="005B0E15" w:rsidR="005B0E15" w:rsidP="005B0E15">
      <w:pPr>
        <w:widowControl w:val="0"/>
        <w:tabs>
          <w:tab w:val="left" w:pos="9072"/>
        </w:tabs>
        <w:ind w:firstLine="709"/>
        <w:jc w:val="both"/>
        <w:rPr>
          <w:sz w:val="22"/>
          <w:szCs w:val="22"/>
        </w:rPr>
      </w:pPr>
      <w:r w:rsidRPr="005B0E15">
        <w:rPr>
          <w:sz w:val="22"/>
          <w:szCs w:val="22"/>
        </w:rPr>
        <w:t>În motivare, în esenţă, s-a arătat că judecătorul de fond a dat o corectă interpretare normelor de drept material aplicabile, pron</w:t>
      </w:r>
      <w:r w:rsidRPr="005B0E15">
        <w:rPr>
          <w:sz w:val="22"/>
          <w:szCs w:val="22"/>
        </w:rPr>
        <w:t>unţând o hotărâre temeinică şi legală, neexistând motive de casare a acesteia.</w:t>
      </w:r>
    </w:p>
    <w:p w:rsidRPr="005B0E15" w:rsidR="005B0E15" w:rsidP="005B0E15">
      <w:pPr>
        <w:widowControl w:val="0"/>
        <w:tabs>
          <w:tab w:val="left" w:pos="9072"/>
        </w:tabs>
        <w:ind w:firstLine="709"/>
        <w:jc w:val="both"/>
        <w:rPr>
          <w:sz w:val="22"/>
          <w:szCs w:val="22"/>
        </w:rPr>
      </w:pPr>
      <w:r w:rsidRPr="005B0E15">
        <w:rPr>
          <w:sz w:val="22"/>
          <w:szCs w:val="22"/>
        </w:rPr>
        <w:t>În drept, a invocat dispoziţiile art. 490 alin. 2 C.pr.civ.</w:t>
      </w:r>
    </w:p>
    <w:p w:rsidRPr="005B0E15" w:rsidR="005B0E15" w:rsidP="005B0E15">
      <w:pPr>
        <w:widowControl w:val="0"/>
        <w:tabs>
          <w:tab w:val="left" w:pos="9072"/>
        </w:tabs>
        <w:ind w:firstLine="709"/>
        <w:jc w:val="both"/>
        <w:rPr>
          <w:b/>
          <w:sz w:val="22"/>
          <w:szCs w:val="22"/>
        </w:rPr>
      </w:pPr>
      <w:r w:rsidRPr="005B0E15">
        <w:rPr>
          <w:b/>
          <w:sz w:val="22"/>
          <w:szCs w:val="22"/>
        </w:rPr>
        <w:t xml:space="preserve">5. Aspecte procesuale </w:t>
      </w:r>
    </w:p>
    <w:p w:rsidRPr="005B0E15" w:rsidR="005B0E15" w:rsidP="005B0E15">
      <w:pPr>
        <w:widowControl w:val="0"/>
        <w:tabs>
          <w:tab w:val="left" w:pos="9072"/>
        </w:tabs>
        <w:ind w:firstLine="709"/>
        <w:jc w:val="both"/>
        <w:rPr>
          <w:sz w:val="22"/>
          <w:szCs w:val="22"/>
        </w:rPr>
      </w:pPr>
      <w:r w:rsidRPr="005B0E15">
        <w:rPr>
          <w:sz w:val="22"/>
          <w:szCs w:val="22"/>
        </w:rPr>
        <w:t>În faţa instanţei de recurs nu au fost a</w:t>
      </w:r>
      <w:r w:rsidRPr="005B0E15">
        <w:rPr>
          <w:sz w:val="22"/>
          <w:szCs w:val="22"/>
        </w:rPr>
        <w:t>dministrate probe noi.</w:t>
      </w:r>
    </w:p>
    <w:p w:rsidRPr="005B0E15" w:rsidR="005B0E15" w:rsidP="005B0E15">
      <w:pPr>
        <w:widowControl w:val="0"/>
        <w:tabs>
          <w:tab w:val="left" w:pos="9072"/>
        </w:tabs>
        <w:ind w:firstLine="709"/>
        <w:jc w:val="both"/>
        <w:rPr>
          <w:b/>
          <w:sz w:val="22"/>
          <w:szCs w:val="22"/>
        </w:rPr>
      </w:pPr>
      <w:r w:rsidRPr="005B0E15">
        <w:rPr>
          <w:b/>
          <w:sz w:val="22"/>
          <w:szCs w:val="22"/>
        </w:rPr>
        <w:t xml:space="preserve">II. Soluţia şi considerentele Curţii de Apel </w:t>
      </w:r>
      <w:r w:rsidR="00DD01C5">
        <w:rPr>
          <w:b/>
          <w:sz w:val="22"/>
          <w:szCs w:val="22"/>
        </w:rPr>
        <w:t>.......................</w:t>
      </w:r>
      <w:r w:rsidRPr="005B0E15">
        <w:rPr>
          <w:b/>
          <w:sz w:val="22"/>
          <w:szCs w:val="22"/>
        </w:rPr>
        <w:t xml:space="preserve"> asupra recursului</w:t>
      </w:r>
    </w:p>
    <w:p w:rsidRPr="005B0E15" w:rsidR="005B0E15" w:rsidP="005B0E15">
      <w:pPr>
        <w:widowControl w:val="0"/>
        <w:tabs>
          <w:tab w:val="left" w:pos="9072"/>
        </w:tabs>
        <w:ind w:firstLine="709"/>
        <w:jc w:val="both"/>
        <w:rPr>
          <w:sz w:val="22"/>
          <w:szCs w:val="22"/>
        </w:rPr>
      </w:pPr>
      <w:bookmarkStart w:name="_Hlk145667252" w:id="12"/>
      <w:r w:rsidRPr="005B0E15">
        <w:rPr>
          <w:sz w:val="22"/>
          <w:szCs w:val="22"/>
        </w:rPr>
        <w:t xml:space="preserve">Analizând recursul prin prisma criticilor formulate şi în conformitate cu dispoziţiile art. </w:t>
      </w:r>
      <w:smartTag w:uri="urn:schemas-microsoft-com:office:smarttags" w:element="metricconverter">
        <w:smartTagPr>
          <w:attr w:name="ProductID" w:val="496 C"/>
        </w:smartTagPr>
        <w:r w:rsidRPr="005B0E15">
          <w:rPr>
            <w:sz w:val="22"/>
            <w:szCs w:val="22"/>
          </w:rPr>
          <w:t>496 C</w:t>
        </w:r>
      </w:smartTag>
      <w:r w:rsidRPr="005B0E15">
        <w:rPr>
          <w:sz w:val="22"/>
          <w:szCs w:val="22"/>
        </w:rPr>
        <w:t>.pr.civ., Curtea constată că acesta este nefondat, urmând a fi respins pentru următoarele considerente:</w:t>
      </w:r>
    </w:p>
    <w:p w:rsidRPr="005B0E15" w:rsidR="005B0E15" w:rsidP="005B0E15">
      <w:pPr>
        <w:widowControl w:val="0"/>
        <w:tabs>
          <w:tab w:val="left" w:pos="9072"/>
        </w:tabs>
        <w:ind w:firstLine="709"/>
        <w:jc w:val="both"/>
        <w:rPr>
          <w:b/>
          <w:bCs/>
          <w:sz w:val="22"/>
          <w:szCs w:val="22"/>
        </w:rPr>
      </w:pPr>
      <w:r w:rsidRPr="005B0E15">
        <w:rPr>
          <w:b/>
          <w:bCs/>
          <w:sz w:val="22"/>
          <w:szCs w:val="22"/>
        </w:rPr>
        <w:t>1. Analiza motivelor de casare</w:t>
      </w:r>
    </w:p>
    <w:p w:rsidRPr="005B0E15" w:rsidR="005B0E15" w:rsidP="005B0E15">
      <w:pPr>
        <w:widowControl w:val="0"/>
        <w:tabs>
          <w:tab w:val="left" w:pos="9072"/>
        </w:tabs>
        <w:ind w:firstLine="709"/>
        <w:jc w:val="both"/>
        <w:rPr>
          <w:sz w:val="22"/>
          <w:szCs w:val="22"/>
        </w:rPr>
      </w:pPr>
      <w:bookmarkEnd w:id="12"/>
      <w:r w:rsidRPr="005B0E15">
        <w:rPr>
          <w:sz w:val="22"/>
          <w:szCs w:val="22"/>
        </w:rPr>
        <w:t>Recursul reprezintă o cale de atac nedevolutivă, controlul exercitat fiind doar unul de legalitate, prin prisma motivelor expres şi limitativ prevăzute la art. 488 alin. 1 din Cod, raportat la situația de fapt stabilită de prima instanță, fără a se realiza o no</w:t>
      </w:r>
      <w:r w:rsidRPr="005B0E15">
        <w:rPr>
          <w:sz w:val="22"/>
          <w:szCs w:val="22"/>
        </w:rPr>
        <w:t>uă judecată în fond. Numai în cazul casării pentru unul din motivele limitativ prevăzute de lege, în cazul rejudecării după casare, cu reţinere sau cu trimitere, sunt admisibile orice probe prevăzute de lege, conform art. 501 alin. 4 C.pr.civ., caz în care poate fi reapreciată situația de fapt.</w:t>
      </w:r>
    </w:p>
    <w:p w:rsidRPr="005B0E15" w:rsidR="005B0E15" w:rsidP="005B0E15">
      <w:pPr>
        <w:widowControl w:val="0"/>
        <w:tabs>
          <w:tab w:val="left" w:pos="9072"/>
        </w:tabs>
        <w:ind w:firstLine="709"/>
        <w:jc w:val="both"/>
        <w:rPr>
          <w:bCs/>
          <w:sz w:val="22"/>
          <w:szCs w:val="22"/>
        </w:rPr>
      </w:pPr>
      <w:r w:rsidRPr="005B0E15">
        <w:rPr>
          <w:bCs/>
          <w:sz w:val="22"/>
          <w:szCs w:val="22"/>
        </w:rPr>
        <w:t>Motivul de casare invocat, prevăzut de art. 488 alin. 1 pct. 8 C.pr.civ. („</w:t>
      </w:r>
      <w:r w:rsidRPr="005B0E15">
        <w:rPr>
          <w:i/>
          <w:iCs/>
          <w:sz w:val="22"/>
          <w:szCs w:val="22"/>
        </w:rPr>
        <w:t>când hotărârea a fost dată cu încălcarea sau aplicarea greşită a normelor de d</w:t>
      </w:r>
      <w:r w:rsidRPr="005B0E15">
        <w:rPr>
          <w:i/>
          <w:iCs/>
          <w:sz w:val="22"/>
          <w:szCs w:val="22"/>
        </w:rPr>
        <w:t>rept material</w:t>
      </w:r>
      <w:r w:rsidRPr="005B0E15">
        <w:rPr>
          <w:sz w:val="22"/>
          <w:szCs w:val="22"/>
        </w:rPr>
        <w:t xml:space="preserve">”), </w:t>
      </w:r>
      <w:r w:rsidRPr="005B0E15">
        <w:rPr>
          <w:bCs/>
          <w:sz w:val="22"/>
          <w:szCs w:val="22"/>
        </w:rPr>
        <w:t>este nefondat.</w:t>
      </w:r>
    </w:p>
    <w:p w:rsidRPr="005B0E15" w:rsidR="005B0E15" w:rsidP="005B0E15">
      <w:pPr>
        <w:widowControl w:val="0"/>
        <w:tabs>
          <w:tab w:val="left" w:pos="9072"/>
        </w:tabs>
        <w:ind w:firstLine="709"/>
        <w:jc w:val="both"/>
        <w:rPr>
          <w:sz w:val="22"/>
          <w:szCs w:val="22"/>
        </w:rPr>
      </w:pPr>
      <w:r w:rsidRPr="005B0E15">
        <w:rPr>
          <w:sz w:val="22"/>
          <w:szCs w:val="22"/>
        </w:rPr>
        <w:t>Potrivit dispoziţiilor art. 1 a</w:t>
      </w:r>
      <w:r w:rsidRPr="005B0E15">
        <w:rPr>
          <w:sz w:val="22"/>
          <w:szCs w:val="22"/>
        </w:rPr>
        <w:t>lin. 1 şi art. 8 alin. 1 teza a doua din Legea nr. 554/2004, orice persoană care se consideră vătămată într-un drept al său ori</w:t>
      </w:r>
      <w:r w:rsidRPr="005B0E15">
        <w:rPr>
          <w:sz w:val="22"/>
          <w:szCs w:val="22"/>
        </w:rPr>
        <w:t xml:space="preserve"> într-un interes legitim, de către o autoritate publică, printr-un act administrativ sau prin nesoluționarea în termenul legal a unei cereri, se poate adresa instanţei de contencios administrativ competente, pentru anularea actului, recunoaşterea dreptului pretins sau a interesului legitim şi repararea pagubei ce i-a fost cauzată. În înţelesul prezentei legi refuzul nejustificat de a soluţiona o cerere  semnifică exprimarea explicită, cu exces de putere, a voinţei de a nu rezolva cererea unei persoane (art.</w:t>
      </w:r>
      <w:r w:rsidRPr="005B0E15">
        <w:rPr>
          <w:sz w:val="22"/>
          <w:szCs w:val="22"/>
        </w:rPr>
        <w:t xml:space="preserve"> 2 alin. 1 lit. i din aceeaşi lege).</w:t>
      </w:r>
    </w:p>
    <w:p w:rsidRPr="005B0E15" w:rsidR="005B0E15" w:rsidP="005B0E15">
      <w:pPr>
        <w:widowControl w:val="0"/>
        <w:tabs>
          <w:tab w:val="left" w:pos="9072"/>
        </w:tabs>
        <w:ind w:firstLine="709"/>
        <w:jc w:val="both"/>
        <w:rPr>
          <w:sz w:val="22"/>
          <w:szCs w:val="22"/>
        </w:rPr>
      </w:pPr>
      <w:r w:rsidRPr="005B0E15">
        <w:rPr>
          <w:sz w:val="22"/>
          <w:szCs w:val="22"/>
        </w:rPr>
        <w:t xml:space="preserve">Reclamantul a formulat cererea de redobândire a cetățeniei române la data de 16.08.2022, la data de </w:t>
      </w:r>
      <w:r w:rsidR="00DD01C5">
        <w:rPr>
          <w:sz w:val="22"/>
          <w:szCs w:val="22"/>
        </w:rPr>
        <w:t>.......</w:t>
      </w:r>
      <w:r w:rsidRPr="005B0E15">
        <w:rPr>
          <w:sz w:val="22"/>
          <w:szCs w:val="22"/>
        </w:rPr>
        <w:t>2023 a exercitat acțiunea în contencios administrativ, iar cererea sa nu a fost soluționată nici la data soluționării prezentului recurs.</w:t>
      </w:r>
    </w:p>
    <w:p w:rsidRPr="005B0E15" w:rsidR="005B0E15" w:rsidP="005B0E15">
      <w:pPr>
        <w:widowControl w:val="0"/>
        <w:tabs>
          <w:tab w:val="left" w:pos="9072"/>
        </w:tabs>
        <w:ind w:firstLine="709"/>
        <w:jc w:val="both"/>
        <w:rPr>
          <w:sz w:val="22"/>
          <w:szCs w:val="22"/>
        </w:rPr>
      </w:pPr>
      <w:r w:rsidRPr="005B0E15">
        <w:rPr>
          <w:sz w:val="22"/>
          <w:szCs w:val="22"/>
        </w:rPr>
        <w:t xml:space="preserve">Potrivit dispozițiilor art. 16 alin. 2 din Legea nr. 21/1991, „Preşedintele Comisiei pentru cetăţenie, prin rezoluţie, dispune: </w:t>
      </w:r>
    </w:p>
    <w:p w:rsidRPr="005B0E15" w:rsidR="005B0E15" w:rsidP="005B0E15">
      <w:pPr>
        <w:widowControl w:val="0"/>
        <w:tabs>
          <w:tab w:val="left" w:pos="9072"/>
        </w:tabs>
        <w:ind w:firstLine="709"/>
        <w:jc w:val="both"/>
        <w:rPr>
          <w:sz w:val="22"/>
          <w:szCs w:val="22"/>
        </w:rPr>
      </w:pPr>
      <w:r w:rsidRPr="005B0E15">
        <w:rPr>
          <w:sz w:val="22"/>
          <w:szCs w:val="22"/>
        </w:rPr>
        <w:t xml:space="preserve">a) solicitarea de relaţii de la orice autorităţi cu privire la îndeplinirea condiţiilor prevăzute la art. 8 alin. (1) lit. b) şi e), ce urmează a fi comunicate Comisiei </w:t>
      </w:r>
      <w:r w:rsidRPr="005B0E15">
        <w:rPr>
          <w:i/>
          <w:sz w:val="22"/>
          <w:szCs w:val="22"/>
        </w:rPr>
        <w:t xml:space="preserve">într-un termen ce nu va depăşi 60 de zile, iar în situaţii excepţionale, în </w:t>
      </w:r>
      <w:r w:rsidRPr="005B0E15">
        <w:rPr>
          <w:i/>
          <w:sz w:val="22"/>
          <w:szCs w:val="22"/>
        </w:rPr>
        <w:t>limitele termenului prevăzut la lit. c</w:t>
      </w:r>
      <w:r w:rsidRPr="005B0E15">
        <w:rPr>
          <w:sz w:val="22"/>
          <w:szCs w:val="22"/>
        </w:rPr>
        <w:t>);</w:t>
      </w:r>
    </w:p>
    <w:p w:rsidRPr="005B0E15" w:rsidR="005B0E15" w:rsidP="005B0E15">
      <w:pPr>
        <w:widowControl w:val="0"/>
        <w:tabs>
          <w:tab w:val="left" w:pos="9072"/>
        </w:tabs>
        <w:ind w:firstLine="709"/>
        <w:jc w:val="both"/>
        <w:rPr>
          <w:sz w:val="22"/>
          <w:szCs w:val="22"/>
        </w:rPr>
      </w:pPr>
      <w:r w:rsidRPr="005B0E15">
        <w:rPr>
          <w:sz w:val="22"/>
          <w:szCs w:val="22"/>
        </w:rPr>
        <w:t xml:space="preserve">b) completarea dosarului, </w:t>
      </w:r>
      <w:r w:rsidRPr="005B0E15">
        <w:rPr>
          <w:i/>
          <w:sz w:val="22"/>
          <w:szCs w:val="22"/>
        </w:rPr>
        <w:t>în termen de cel mult 4 luni de la primirea solicitării secretariatului tehnic al Comisiei de către petent</w:t>
      </w:r>
      <w:r w:rsidRPr="005B0E15">
        <w:rPr>
          <w:sz w:val="22"/>
          <w:szCs w:val="22"/>
        </w:rPr>
        <w:t>, în cazul în care se constată lipsa unor documente necesare soluţionării cererii, sub sancţiunea respingerii cererii ca nesusţinută;</w:t>
      </w:r>
    </w:p>
    <w:p w:rsidRPr="005B0E15" w:rsidR="005B0E15" w:rsidP="005B0E15">
      <w:pPr>
        <w:widowControl w:val="0"/>
        <w:tabs>
          <w:tab w:val="left" w:pos="9072"/>
        </w:tabs>
        <w:ind w:firstLine="709"/>
        <w:jc w:val="both"/>
        <w:rPr>
          <w:i/>
          <w:sz w:val="22"/>
          <w:szCs w:val="22"/>
        </w:rPr>
      </w:pPr>
      <w:r w:rsidRPr="005B0E15">
        <w:rPr>
          <w:sz w:val="22"/>
          <w:szCs w:val="22"/>
        </w:rPr>
        <w:t xml:space="preserve">c) fixarea primului termen, la care Comisia va verifica îndeplinirea condiţiilor necesare acordării sau redobândirii cetăţeniei române potrivit art. 11, </w:t>
      </w:r>
      <w:r w:rsidRPr="005B0E15">
        <w:rPr>
          <w:i/>
          <w:sz w:val="22"/>
          <w:szCs w:val="22"/>
        </w:rPr>
        <w:t>la cel mult 5 luni de la data înregistrării cererii”</w:t>
      </w:r>
      <w:r w:rsidRPr="005B0E15">
        <w:rPr>
          <w:i/>
          <w:sz w:val="22"/>
          <w:szCs w:val="22"/>
        </w:rPr>
        <w:t>.</w:t>
      </w:r>
    </w:p>
    <w:p w:rsidRPr="005B0E15" w:rsidR="005B0E15" w:rsidP="005B0E15">
      <w:pPr>
        <w:widowControl w:val="0"/>
        <w:tabs>
          <w:tab w:val="left" w:pos="9072"/>
        </w:tabs>
        <w:ind w:firstLine="709"/>
        <w:jc w:val="both"/>
        <w:rPr>
          <w:sz w:val="22"/>
          <w:szCs w:val="22"/>
        </w:rPr>
      </w:pPr>
      <w:r w:rsidRPr="005B0E15">
        <w:rPr>
          <w:sz w:val="22"/>
          <w:szCs w:val="22"/>
        </w:rPr>
        <w:t>Din analiza dispozițiilor art. 16 alin. 2 din Legea nr. 21/1991, anterior citate, raportat la situația de fapt, rezultă că nu a existat vreo culpă a reclamantului cu privire la nesoluționarea cererii sale. Nu i s-a solicitat completarea dosarului până la data pronunțării sentinței atacate, singura explicație fiind cea privind lipsa relațiilor de la o parte dintre autorităţi cu privire la îndeplinirea condiţiilor prevăzute la art. 8 alin. (1) lit. b) şi e), însă, într-un astfel de caz, legea prevede în mod</w:t>
      </w:r>
      <w:r w:rsidRPr="005B0E15">
        <w:rPr>
          <w:sz w:val="22"/>
          <w:szCs w:val="22"/>
        </w:rPr>
        <w:t xml:space="preserve"> expres că trebuie respectat un termen ce nu va depăşi 60 de zile, iar în situaţii excepţionale, în limitele termenului de 5 luni de la data înregistrării cererii. </w:t>
      </w:r>
    </w:p>
    <w:p w:rsidRPr="005B0E15" w:rsidR="005B0E15" w:rsidP="005B0E15">
      <w:pPr>
        <w:widowControl w:val="0"/>
        <w:tabs>
          <w:tab w:val="left" w:pos="9072"/>
        </w:tabs>
        <w:ind w:firstLine="709"/>
        <w:jc w:val="both"/>
        <w:rPr>
          <w:sz w:val="22"/>
          <w:szCs w:val="22"/>
        </w:rPr>
      </w:pPr>
      <w:r w:rsidRPr="005B0E15">
        <w:rPr>
          <w:sz w:val="22"/>
          <w:szCs w:val="22"/>
        </w:rPr>
        <w:t>Autoritatea pârâtă nu poate fi exonerată de răspunderea obiectivă invocând omisiunea altor autorități de a răspunde solicitărilor sale, astfel încât prejudiciul cauzat petentului să rămână în sarcina acestuia. Nu s-au invocat sau dovedit circumstanțele excepţionale la care face referire art. 16 alin. 2 lit. a din Legea nr. 21/1991, iar culpa pro</w:t>
      </w:r>
      <w:r w:rsidRPr="005B0E15">
        <w:rPr>
          <w:sz w:val="22"/>
          <w:szCs w:val="22"/>
        </w:rPr>
        <w:t xml:space="preserve">cedurală revine autorității publice căreia legea i-a stabilit competența de soluționare a cererii într-un anumit termen, aceasta fiind în cadrul acțiunii în contencios administrativ entitatea statală care reprezintă pe plan procesual toate autoritățile și instituțiile publice cărora aceeași lege le-a stabilit atribuții punctuale. </w:t>
      </w:r>
    </w:p>
    <w:p w:rsidRPr="005B0E15" w:rsidR="005B0E15" w:rsidP="005B0E15">
      <w:pPr>
        <w:widowControl w:val="0"/>
        <w:tabs>
          <w:tab w:val="left" w:pos="9072"/>
        </w:tabs>
        <w:ind w:firstLine="709"/>
        <w:jc w:val="both"/>
        <w:rPr>
          <w:sz w:val="22"/>
          <w:szCs w:val="22"/>
        </w:rPr>
      </w:pPr>
      <w:r w:rsidRPr="005B0E15">
        <w:rPr>
          <w:sz w:val="22"/>
          <w:szCs w:val="22"/>
        </w:rPr>
        <w:t>De asemenea, nu este suficientă nici simpla fixare a primului termen, la care Comisia să verifice îndeplinirea condiţiilor necesare acordării sau redobândirii cetăţeniei române, c</w:t>
      </w:r>
      <w:r w:rsidRPr="005B0E15">
        <w:rPr>
          <w:sz w:val="22"/>
          <w:szCs w:val="22"/>
        </w:rPr>
        <w:t xml:space="preserve">hiar dacă acesta este în interiorul termenului de 5 luni de la data înregistrării cererii, dacă nu se dovedesc situațiile excepționale pentru care autoritățile solicitate nu au răspuns. Sarcina probei revine celui care face o afirmație. Acordarea unui termen pentru obținerea de informații de la o altă instituție a statului, mai mare de 5 luni, nu poate fi considerată rezonabilă în raport cu perioada scursă până la data soluționării cauzei în fond, cu atât mai mult în recurs. </w:t>
      </w:r>
    </w:p>
    <w:p w:rsidRPr="005B0E15" w:rsidR="005B0E15" w:rsidP="005B0E15">
      <w:pPr>
        <w:widowControl w:val="0"/>
        <w:tabs>
          <w:tab w:val="left" w:pos="9072"/>
        </w:tabs>
        <w:ind w:firstLine="709"/>
        <w:jc w:val="both"/>
        <w:rPr>
          <w:sz w:val="22"/>
          <w:szCs w:val="22"/>
        </w:rPr>
      </w:pPr>
      <w:r w:rsidRPr="005B0E15">
        <w:rPr>
          <w:sz w:val="22"/>
          <w:szCs w:val="22"/>
        </w:rPr>
        <w:t>În privinţa circumstanțelor deo</w:t>
      </w:r>
      <w:r w:rsidRPr="005B0E15">
        <w:rPr>
          <w:sz w:val="22"/>
          <w:szCs w:val="22"/>
        </w:rPr>
        <w:t xml:space="preserve">sebite ale volumului de activitate al autorității pârâte, instanţa reţine că nu îi revine intimatului-reclamant sarcina de a asigura respectarea obligațiilor autorităților publice, în termenele și condițiile prevăzute de lege, ci revine fiecărui stat sarcina de a se dota cu un arsenal juridic adecvat şi suficient pentru a asigura respectarea obligaţiilor sale pozitive (CEDO, cauza </w:t>
      </w:r>
      <w:r w:rsidRPr="005B0E15">
        <w:rPr>
          <w:i/>
          <w:iCs/>
          <w:sz w:val="22"/>
          <w:szCs w:val="22"/>
        </w:rPr>
        <w:t>Ruianu c. României</w:t>
      </w:r>
      <w:r w:rsidRPr="005B0E15">
        <w:rPr>
          <w:sz w:val="22"/>
          <w:szCs w:val="22"/>
        </w:rPr>
        <w:t xml:space="preserve">, 17 iunie 2003, par. 66). </w:t>
      </w:r>
    </w:p>
    <w:p w:rsidRPr="005B0E15" w:rsidR="005B0E15" w:rsidP="005B0E15">
      <w:pPr>
        <w:widowControl w:val="0"/>
        <w:tabs>
          <w:tab w:val="left" w:pos="9072"/>
        </w:tabs>
        <w:ind w:firstLine="709"/>
        <w:jc w:val="both"/>
        <w:rPr>
          <w:sz w:val="22"/>
          <w:szCs w:val="22"/>
        </w:rPr>
      </w:pPr>
      <w:r w:rsidRPr="005B0E15">
        <w:rPr>
          <w:sz w:val="22"/>
          <w:szCs w:val="22"/>
        </w:rPr>
        <w:t>Întreaga procedură de redobândire a cetăţeniei române se subsumează dreptului suve</w:t>
      </w:r>
      <w:r w:rsidRPr="005B0E15">
        <w:rPr>
          <w:sz w:val="22"/>
          <w:szCs w:val="22"/>
        </w:rPr>
        <w:t>ran al statului de a analiza fiecare speţă în ritmul şi potrivit precauţiilor pe care le consideră necesare, însă acest drept suveran nu poate determina o încălcare a drepturilor şi libertăţilor fundamentale prevăzute în ordinea juridică a statului, precum şi în convenţiile internaţionale la care România este parte.</w:t>
      </w:r>
    </w:p>
    <w:p w:rsidRPr="005B0E15" w:rsidR="005B0E15" w:rsidP="005B0E15">
      <w:pPr>
        <w:widowControl w:val="0"/>
        <w:tabs>
          <w:tab w:val="left" w:pos="9072"/>
        </w:tabs>
        <w:ind w:firstLine="709"/>
        <w:jc w:val="both"/>
        <w:rPr>
          <w:b/>
          <w:bCs/>
          <w:iCs/>
          <w:sz w:val="22"/>
          <w:szCs w:val="22"/>
        </w:rPr>
      </w:pPr>
      <w:r w:rsidRPr="005B0E15">
        <w:rPr>
          <w:b/>
          <w:bCs/>
          <w:iCs/>
          <w:sz w:val="22"/>
          <w:szCs w:val="22"/>
        </w:rPr>
        <w:t>2. Soluția instanței de recurs</w:t>
      </w:r>
    </w:p>
    <w:p w:rsidRPr="005B0E15" w:rsidR="005B0E15" w:rsidP="005B0E15">
      <w:pPr>
        <w:widowControl w:val="0"/>
        <w:ind w:firstLine="709"/>
        <w:jc w:val="both"/>
        <w:rPr>
          <w:bCs/>
          <w:sz w:val="22"/>
          <w:szCs w:val="22"/>
        </w:rPr>
      </w:pPr>
      <w:bookmarkStart w:name="_Hlk161756614" w:id="13"/>
      <w:r w:rsidRPr="005B0E15">
        <w:rPr>
          <w:bCs/>
          <w:sz w:val="22"/>
          <w:szCs w:val="22"/>
        </w:rPr>
        <w:t>În raport de toate aceste considerente, în temeiul art. 496 alin. 1 C.pr.civ. şi al art. 20 din Legea contenciosului administrativ nr. 554/2004, se constată că rec</w:t>
      </w:r>
      <w:r w:rsidRPr="005B0E15">
        <w:rPr>
          <w:bCs/>
          <w:sz w:val="22"/>
          <w:szCs w:val="22"/>
        </w:rPr>
        <w:t>ursul este nefondat şi va fi respins ca atare.</w:t>
      </w:r>
      <w:bookmarkEnd w:id="13"/>
    </w:p>
    <w:p w:rsidRPr="005B0E15" w:rsidR="005B0E15" w:rsidP="005B0E15">
      <w:pPr>
        <w:widowControl w:val="0"/>
        <w:ind w:firstLine="709"/>
        <w:jc w:val="both"/>
        <w:rPr>
          <w:bCs/>
          <w:sz w:val="22"/>
          <w:szCs w:val="22"/>
        </w:rPr>
      </w:pPr>
      <w:r w:rsidRPr="005B0E15">
        <w:rPr>
          <w:bCs/>
          <w:sz w:val="22"/>
          <w:szCs w:val="22"/>
        </w:rPr>
        <w:t>Referitor la solicitarea intimatului-reclamant de obligare a recurentei-pârâte la achitarea cheltuielilor de judecată suportate în etapa procesuală a recursului, Curtea reține faptul că, potrivit art. 452 C.pr.civ., „partea care pretinde cheltuieli de judecată trebuie să facă, în condițiile legii, dovada existenței și întinderii lor, cel mai târziu la data închiderii dezbaterilor asupra fondului cauzei”.</w:t>
      </w:r>
    </w:p>
    <w:p w:rsidRPr="005B0E15" w:rsidR="005B0E15" w:rsidP="005B0E15">
      <w:pPr>
        <w:widowControl w:val="0"/>
        <w:ind w:firstLine="709"/>
        <w:jc w:val="both"/>
        <w:rPr>
          <w:bCs/>
          <w:sz w:val="22"/>
          <w:szCs w:val="22"/>
        </w:rPr>
      </w:pPr>
      <w:r w:rsidRPr="005B0E15">
        <w:rPr>
          <w:bCs/>
          <w:sz w:val="22"/>
          <w:szCs w:val="22"/>
        </w:rPr>
        <w:t>În cauză, intimatul-reclamant, contrar dispoziţiilor art.</w:t>
      </w:r>
      <w:r w:rsidRPr="005B0E15">
        <w:rPr>
          <w:bCs/>
          <w:sz w:val="22"/>
          <w:szCs w:val="22"/>
        </w:rPr>
        <w:t xml:space="preserve"> 492 raportat la art. 249 C.pr.civ., nu a depus nicio probă care să facă dovada achitării vreunei sume de bani cu titlul de cheltuieli de judecată aferente etapei procesuale a recursului, motiv pentru care Curtea va respinge, ca nefondată, cererea de acordare a cheltuielilor de judecată formulată de intimatul-reclamant.</w:t>
      </w:r>
    </w:p>
    <w:p w:rsidRPr="005B0E15" w:rsidR="005B0E15" w:rsidP="005B0E15">
      <w:pPr>
        <w:widowControl w:val="0"/>
        <w:ind w:firstLine="709"/>
        <w:jc w:val="both"/>
        <w:rPr>
          <w:sz w:val="22"/>
          <w:szCs w:val="22"/>
        </w:rPr>
      </w:pPr>
    </w:p>
    <w:p w:rsidRPr="005B0E15" w:rsidR="005B0E15" w:rsidP="005B0E15">
      <w:pPr>
        <w:widowControl w:val="0"/>
        <w:ind w:firstLine="709"/>
        <w:jc w:val="center"/>
        <w:rPr>
          <w:rFonts w:eastAsia="Calibri"/>
          <w:b/>
          <w:sz w:val="22"/>
          <w:szCs w:val="22"/>
        </w:rPr>
      </w:pPr>
      <w:r w:rsidRPr="005B0E15">
        <w:rPr>
          <w:rFonts w:eastAsia="Calibri"/>
          <w:b/>
          <w:sz w:val="22"/>
          <w:szCs w:val="22"/>
        </w:rPr>
        <w:t>PENTRU ACESTE MOTIVE,</w:t>
      </w:r>
    </w:p>
    <w:p w:rsidRPr="005B0E15" w:rsidR="005B0E15" w:rsidP="005B0E15">
      <w:pPr>
        <w:widowControl w:val="0"/>
        <w:ind w:firstLine="709"/>
        <w:jc w:val="center"/>
        <w:rPr>
          <w:rFonts w:eastAsia="Calibri"/>
          <w:b/>
          <w:sz w:val="22"/>
          <w:szCs w:val="22"/>
        </w:rPr>
      </w:pPr>
      <w:r w:rsidRPr="005B0E15">
        <w:rPr>
          <w:rFonts w:eastAsia="Calibri"/>
          <w:b/>
          <w:sz w:val="22"/>
          <w:szCs w:val="22"/>
        </w:rPr>
        <w:t>ÎN NUMELE LEGII,</w:t>
      </w:r>
    </w:p>
    <w:p w:rsidRPr="005B0E15" w:rsidR="005B0E15" w:rsidP="005B0E15">
      <w:pPr>
        <w:widowControl w:val="0"/>
        <w:ind w:firstLine="709"/>
        <w:jc w:val="center"/>
        <w:rPr>
          <w:rFonts w:eastAsia="Calibri"/>
          <w:sz w:val="22"/>
          <w:szCs w:val="22"/>
        </w:rPr>
      </w:pPr>
      <w:r w:rsidRPr="005B0E15">
        <w:rPr>
          <w:rFonts w:eastAsia="Calibri"/>
          <w:b/>
          <w:sz w:val="22"/>
          <w:szCs w:val="22"/>
        </w:rPr>
        <w:t>DECIDE</w:t>
      </w:r>
      <w:r w:rsidRPr="005B0E15">
        <w:rPr>
          <w:rFonts w:eastAsia="Calibri"/>
          <w:sz w:val="22"/>
          <w:szCs w:val="22"/>
        </w:rPr>
        <w:t>:</w:t>
      </w:r>
    </w:p>
    <w:p w:rsidRPr="005B0E15" w:rsidR="005B0E15" w:rsidP="005B0E15">
      <w:pPr>
        <w:widowControl w:val="0"/>
        <w:tabs>
          <w:tab w:val="left" w:pos="0"/>
        </w:tabs>
        <w:ind w:firstLine="709"/>
        <w:jc w:val="both"/>
        <w:rPr>
          <w:rFonts w:eastAsia="Calibri" w:cs="Arial"/>
          <w:sz w:val="22"/>
          <w:szCs w:val="22"/>
        </w:rPr>
      </w:pPr>
    </w:p>
    <w:p w:rsidRPr="005B0E15" w:rsidR="005B0E15" w:rsidP="005B0E15">
      <w:pPr>
        <w:widowControl w:val="0"/>
        <w:tabs>
          <w:tab w:val="left" w:pos="0"/>
        </w:tabs>
        <w:ind w:firstLine="709"/>
        <w:jc w:val="both"/>
        <w:rPr>
          <w:rFonts w:eastAsia="Calibri" w:cs="Arial"/>
          <w:sz w:val="22"/>
          <w:szCs w:val="22"/>
        </w:rPr>
      </w:pPr>
      <w:r w:rsidRPr="005B0E15">
        <w:rPr>
          <w:rFonts w:eastAsia="Calibri" w:cs="Arial"/>
          <w:sz w:val="22"/>
          <w:szCs w:val="22"/>
        </w:rPr>
        <w:t xml:space="preserve">Respinge recursul </w:t>
      </w:r>
      <w:r w:rsidRPr="005B0E15">
        <w:rPr>
          <w:sz w:val="22"/>
          <w:szCs w:val="22"/>
        </w:rPr>
        <w:t xml:space="preserve">declarat de recurenta-pârâtă </w:t>
      </w:r>
      <w:r w:rsidRPr="005B0E15">
        <w:rPr>
          <w:b/>
          <w:sz w:val="22"/>
          <w:szCs w:val="22"/>
        </w:rPr>
        <w:t>AUTORITATEA NATIONALA PENTRU CETATENIE,</w:t>
      </w:r>
      <w:r w:rsidRPr="005B0E15">
        <w:rPr>
          <w:bCs/>
          <w:sz w:val="22"/>
          <w:szCs w:val="22"/>
        </w:rPr>
        <w:t xml:space="preserve"> cu sediul </w:t>
      </w:r>
      <w:r w:rsidR="00DD01C5">
        <w:rPr>
          <w:bCs/>
          <w:sz w:val="22"/>
          <w:szCs w:val="22"/>
        </w:rPr>
        <w:t>...</w:t>
      </w:r>
      <w:r w:rsidRPr="005B0E15">
        <w:rPr>
          <w:bCs/>
          <w:sz w:val="22"/>
          <w:szCs w:val="22"/>
        </w:rPr>
        <w:t xml:space="preserve">, </w:t>
      </w:r>
      <w:r w:rsidR="00DD01C5">
        <w:rPr>
          <w:bCs/>
          <w:sz w:val="22"/>
          <w:szCs w:val="22"/>
        </w:rPr>
        <w:t>.......................</w:t>
      </w:r>
      <w:r w:rsidRPr="005B0E15">
        <w:rPr>
          <w:bCs/>
          <w:sz w:val="22"/>
          <w:szCs w:val="22"/>
        </w:rPr>
        <w:t xml:space="preserve">, str. </w:t>
      </w:r>
      <w:r w:rsidR="00DD01C5">
        <w:rPr>
          <w:bCs/>
          <w:sz w:val="22"/>
          <w:szCs w:val="22"/>
        </w:rPr>
        <w:t>.........</w:t>
      </w:r>
      <w:r w:rsidRPr="005B0E15">
        <w:rPr>
          <w:bCs/>
          <w:sz w:val="22"/>
          <w:szCs w:val="22"/>
        </w:rPr>
        <w:t>,</w:t>
      </w:r>
      <w:r w:rsidRPr="005B0E15">
        <w:rPr>
          <w:b/>
          <w:sz w:val="22"/>
          <w:szCs w:val="22"/>
        </w:rPr>
        <w:t xml:space="preserve"> </w:t>
      </w:r>
      <w:r w:rsidRPr="005B0E15">
        <w:rPr>
          <w:sz w:val="22"/>
          <w:szCs w:val="22"/>
        </w:rPr>
        <w:t xml:space="preserve">împotriva sentinţei civile nr. </w:t>
      </w:r>
      <w:r w:rsidR="00DD01C5">
        <w:rPr>
          <w:sz w:val="22"/>
          <w:szCs w:val="22"/>
        </w:rPr>
        <w:t>SC1/</w:t>
      </w:r>
      <w:r w:rsidRPr="005B0E15">
        <w:rPr>
          <w:sz w:val="22"/>
          <w:szCs w:val="22"/>
        </w:rPr>
        <w:t xml:space="preserve">2024 pronunţate de Tribunalul </w:t>
      </w:r>
      <w:r w:rsidR="00DD01C5">
        <w:rPr>
          <w:sz w:val="22"/>
          <w:szCs w:val="22"/>
        </w:rPr>
        <w:t>.......................</w:t>
      </w:r>
      <w:r w:rsidRPr="005B0E15">
        <w:rPr>
          <w:sz w:val="22"/>
          <w:szCs w:val="22"/>
        </w:rPr>
        <w:t xml:space="preserve"> - Secţia a </w:t>
      </w:r>
      <w:r w:rsidR="00DD01C5">
        <w:rPr>
          <w:sz w:val="22"/>
          <w:szCs w:val="22"/>
        </w:rPr>
        <w:t>..........</w:t>
      </w:r>
      <w:r w:rsidRPr="005B0E15">
        <w:rPr>
          <w:sz w:val="22"/>
          <w:szCs w:val="22"/>
        </w:rPr>
        <w:t xml:space="preserve">Contencios Administrativ şi Fiscal în dosarul nr. </w:t>
      </w:r>
      <w:r w:rsidR="00DD01C5">
        <w:rPr>
          <w:sz w:val="22"/>
          <w:szCs w:val="22"/>
        </w:rPr>
        <w:t>.......................</w:t>
      </w:r>
      <w:r w:rsidRPr="005B0E15">
        <w:rPr>
          <w:sz w:val="22"/>
          <w:szCs w:val="22"/>
        </w:rPr>
        <w:t xml:space="preserve">, în contradictoriu cu </w:t>
      </w:r>
      <w:r w:rsidRPr="005B0E15">
        <w:rPr>
          <w:bCs/>
          <w:sz w:val="22"/>
          <w:szCs w:val="22"/>
        </w:rPr>
        <w:t>intimatul-reclamant</w:t>
      </w:r>
      <w:r w:rsidRPr="005B0E15">
        <w:rPr>
          <w:b/>
          <w:sz w:val="22"/>
          <w:szCs w:val="22"/>
        </w:rPr>
        <w:t xml:space="preserve"> </w:t>
      </w:r>
      <w:r w:rsidR="00DD01C5">
        <w:rPr>
          <w:b/>
          <w:sz w:val="22"/>
          <w:szCs w:val="22"/>
        </w:rPr>
        <w:t>W....</w:t>
      </w:r>
      <w:r w:rsidRPr="005B0E15">
        <w:rPr>
          <w:rFonts w:eastAsia="Calibri" w:cs="Arial"/>
          <w:sz w:val="22"/>
          <w:szCs w:val="22"/>
        </w:rPr>
        <w:t xml:space="preserve">, cu dom. ales la </w:t>
      </w:r>
      <w:r w:rsidR="00DD01C5">
        <w:rPr>
          <w:rFonts w:eastAsia="Calibri" w:cs="Arial"/>
          <w:sz w:val="22"/>
          <w:szCs w:val="22"/>
        </w:rPr>
        <w:t>............</w:t>
      </w:r>
      <w:r w:rsidRPr="005B0E15">
        <w:rPr>
          <w:rFonts w:eastAsia="Calibri" w:cs="Arial"/>
          <w:sz w:val="22"/>
          <w:szCs w:val="22"/>
        </w:rPr>
        <w:t xml:space="preserve"> -</w:t>
      </w:r>
      <w:r w:rsidRPr="005B0E15">
        <w:rPr>
          <w:sz w:val="22"/>
          <w:szCs w:val="22"/>
        </w:rPr>
        <w:t xml:space="preserve"> </w:t>
      </w:r>
      <w:r w:rsidR="00DD01C5">
        <w:rPr>
          <w:rFonts w:eastAsia="Calibri" w:cs="Arial"/>
          <w:sz w:val="22"/>
          <w:szCs w:val="22"/>
        </w:rPr>
        <w:t>.......................</w:t>
      </w:r>
      <w:r w:rsidRPr="005B0E15">
        <w:rPr>
          <w:rFonts w:eastAsia="Calibri" w:cs="Arial"/>
          <w:sz w:val="22"/>
          <w:szCs w:val="22"/>
        </w:rPr>
        <w:t xml:space="preserve">,  </w:t>
      </w:r>
      <w:r w:rsidR="00DD01C5">
        <w:rPr>
          <w:rFonts w:eastAsia="Calibri" w:cs="Arial"/>
          <w:sz w:val="22"/>
          <w:szCs w:val="22"/>
        </w:rPr>
        <w:t>..................</w:t>
      </w:r>
      <w:r w:rsidRPr="005B0E15">
        <w:rPr>
          <w:rFonts w:eastAsia="Calibri" w:cs="Arial"/>
          <w:sz w:val="22"/>
          <w:szCs w:val="22"/>
        </w:rPr>
        <w:t>, ca nefondat.</w:t>
      </w:r>
    </w:p>
    <w:p w:rsidRPr="005B0E15" w:rsidR="005B0E15" w:rsidP="005B0E15">
      <w:pPr>
        <w:widowControl w:val="0"/>
        <w:tabs>
          <w:tab w:val="left" w:pos="0"/>
        </w:tabs>
        <w:ind w:firstLine="709"/>
        <w:jc w:val="both"/>
        <w:rPr>
          <w:rFonts w:eastAsia="Calibri" w:cs="Arial"/>
          <w:sz w:val="22"/>
          <w:szCs w:val="22"/>
        </w:rPr>
      </w:pPr>
      <w:r w:rsidRPr="005B0E15">
        <w:rPr>
          <w:rFonts w:eastAsia="Calibri" w:cs="Arial"/>
          <w:sz w:val="22"/>
          <w:szCs w:val="22"/>
        </w:rPr>
        <w:t>Respinge cererea intimatului-reclamant de acordare a cheltuielilor de judecată, ca nefondată.</w:t>
      </w:r>
    </w:p>
    <w:p w:rsidRPr="005B0E15" w:rsidR="005B0E15" w:rsidP="005B0E15">
      <w:pPr>
        <w:widowControl w:val="0"/>
        <w:tabs>
          <w:tab w:val="left" w:pos="0"/>
        </w:tabs>
        <w:ind w:firstLine="709"/>
        <w:jc w:val="both"/>
        <w:rPr>
          <w:rFonts w:eastAsia="Calibri" w:cs="Arial"/>
          <w:sz w:val="22"/>
          <w:szCs w:val="22"/>
        </w:rPr>
      </w:pPr>
      <w:r w:rsidRPr="005B0E15">
        <w:rPr>
          <w:rFonts w:eastAsia="Calibri" w:cs="Arial"/>
          <w:sz w:val="22"/>
          <w:szCs w:val="22"/>
        </w:rPr>
        <w:t>Definitivă.</w:t>
      </w:r>
    </w:p>
    <w:p w:rsidRPr="005B0E15" w:rsidR="005B0E15" w:rsidP="005B0E15">
      <w:pPr>
        <w:widowControl w:val="0"/>
        <w:tabs>
          <w:tab w:val="left" w:pos="0"/>
        </w:tabs>
        <w:ind w:firstLine="709"/>
        <w:jc w:val="both"/>
        <w:rPr>
          <w:rFonts w:eastAsia="Calibri" w:cs="Arial"/>
          <w:sz w:val="22"/>
          <w:szCs w:val="22"/>
        </w:rPr>
      </w:pPr>
      <w:r w:rsidRPr="005B0E15">
        <w:rPr>
          <w:rFonts w:eastAsia="Calibri" w:cs="Arial"/>
          <w:sz w:val="22"/>
          <w:szCs w:val="22"/>
        </w:rPr>
        <w:t xml:space="preserve">Pronunţată prin punerea soluţiei la dispoziţia părţilor de către grefa instanţei, azi, </w:t>
      </w:r>
      <w:r w:rsidR="00DD01C5">
        <w:rPr>
          <w:rFonts w:eastAsia="Calibri" w:cs="Arial"/>
          <w:sz w:val="22"/>
          <w:szCs w:val="22"/>
        </w:rPr>
        <w:t>............</w:t>
      </w:r>
      <w:r w:rsidRPr="005B0E15">
        <w:rPr>
          <w:rFonts w:eastAsia="Calibri" w:cs="Arial"/>
          <w:sz w:val="22"/>
          <w:szCs w:val="22"/>
        </w:rPr>
        <w:t>2025.</w:t>
      </w:r>
    </w:p>
    <w:p w:rsidRPr="005B0E15" w:rsidR="005B0E15" w:rsidP="005B0E15">
      <w:pPr>
        <w:widowControl w:val="0"/>
        <w:tabs>
          <w:tab w:val="left" w:pos="0"/>
        </w:tabs>
        <w:jc w:val="both"/>
        <w:rPr>
          <w:rFonts w:eastAsia="Calibri" w:cs="Arial"/>
          <w:sz w:val="22"/>
          <w:szCs w:val="22"/>
        </w:rPr>
      </w:pPr>
    </w:p>
    <w:p w:rsidRPr="005B0E15" w:rsidR="005B0E15" w:rsidP="005B0E15">
      <w:pPr>
        <w:widowControl w:val="0"/>
        <w:tabs>
          <w:tab w:val="left" w:pos="0"/>
        </w:tabs>
        <w:ind w:firstLine="709"/>
        <w:rPr>
          <w:sz w:val="22"/>
          <w:szCs w:val="22"/>
        </w:rPr>
      </w:pPr>
      <w:r w:rsidRPr="005B0E15">
        <w:rPr>
          <w:b/>
          <w:sz w:val="22"/>
          <w:szCs w:val="22"/>
        </w:rPr>
        <w:t>PREŞEDINTE,                              JUDECĂTOR,                                    JUDECĂTOR</w:t>
      </w:r>
      <w:r w:rsidRPr="005B0E15">
        <w:rPr>
          <w:sz w:val="22"/>
          <w:szCs w:val="22"/>
        </w:rPr>
        <w:t>,</w:t>
      </w:r>
    </w:p>
    <w:p w:rsidRPr="005B0E15" w:rsidR="005B0E15" w:rsidP="005B0E15">
      <w:pPr>
        <w:widowControl w:val="0"/>
        <w:ind w:firstLine="709"/>
        <w:rPr>
          <w:rFonts w:eastAsia="Calibri"/>
          <w:bCs/>
          <w:sz w:val="22"/>
          <w:szCs w:val="22"/>
        </w:rPr>
      </w:pPr>
      <w:r w:rsidR="00DD01C5">
        <w:rPr>
          <w:sz w:val="22"/>
          <w:szCs w:val="22"/>
        </w:rPr>
        <w:t>A0016</w:t>
      </w:r>
      <w:r w:rsidRPr="005B0E15">
        <w:rPr>
          <w:sz w:val="22"/>
          <w:szCs w:val="22"/>
        </w:rPr>
        <w:t xml:space="preserve">                             </w:t>
      </w:r>
      <w:r w:rsidR="00DD01C5">
        <w:rPr>
          <w:sz w:val="22"/>
          <w:szCs w:val="22"/>
        </w:rPr>
        <w:t>...............................................</w:t>
      </w:r>
      <w:r w:rsidRPr="005B0E15">
        <w:rPr>
          <w:sz w:val="22"/>
          <w:szCs w:val="22"/>
        </w:rPr>
        <w:t xml:space="preserve">                    </w:t>
      </w:r>
      <w:r w:rsidR="00DD01C5">
        <w:rPr>
          <w:rFonts w:eastAsia="Calibri"/>
          <w:sz w:val="22"/>
          <w:szCs w:val="22"/>
        </w:rPr>
        <w:t>..................................</w:t>
      </w:r>
    </w:p>
    <w:p w:rsidRPr="005B0E15" w:rsidR="005B0E15" w:rsidP="005B0E15">
      <w:pPr>
        <w:widowControl w:val="0"/>
        <w:ind w:firstLine="709"/>
        <w:jc w:val="both"/>
        <w:rPr>
          <w:rFonts w:eastAsia="Calibri"/>
          <w:sz w:val="22"/>
          <w:szCs w:val="22"/>
        </w:rPr>
      </w:pPr>
    </w:p>
    <w:p w:rsidRPr="005B0E15" w:rsidR="005B0E15" w:rsidP="005B0E15">
      <w:pPr>
        <w:widowControl w:val="0"/>
        <w:jc w:val="both"/>
        <w:rPr>
          <w:rFonts w:eastAsia="Calibri"/>
          <w:sz w:val="22"/>
          <w:szCs w:val="22"/>
        </w:rPr>
      </w:pPr>
    </w:p>
    <w:p w:rsidRPr="005B0E15" w:rsidR="005B0E15" w:rsidP="005B0E15">
      <w:pPr>
        <w:widowControl w:val="0"/>
        <w:jc w:val="both"/>
        <w:rPr>
          <w:rFonts w:eastAsia="Calibri"/>
          <w:sz w:val="22"/>
          <w:szCs w:val="22"/>
        </w:rPr>
      </w:pPr>
    </w:p>
    <w:p w:rsidRPr="005B0E15" w:rsidR="005B0E15" w:rsidP="005B0E15">
      <w:pPr>
        <w:widowControl w:val="0"/>
        <w:ind w:firstLine="709"/>
        <w:jc w:val="both"/>
        <w:rPr>
          <w:rFonts w:eastAsia="Calibri"/>
          <w:b/>
          <w:sz w:val="22"/>
          <w:szCs w:val="22"/>
        </w:rPr>
      </w:pPr>
      <w:r w:rsidRPr="005B0E15">
        <w:rPr>
          <w:rFonts w:eastAsia="Calibri"/>
          <w:sz w:val="22"/>
          <w:szCs w:val="22"/>
        </w:rPr>
        <w:tab/>
        <w:tab/>
        <w:tab/>
        <w:tab/>
        <w:tab/>
        <w:tab/>
        <w:tab/>
        <w:tab/>
      </w:r>
      <w:r w:rsidRPr="005B0E15">
        <w:rPr>
          <w:rFonts w:eastAsia="Calibri"/>
          <w:b/>
          <w:sz w:val="22"/>
          <w:szCs w:val="22"/>
        </w:rPr>
        <w:t xml:space="preserve">                         GREFIER,</w:t>
      </w:r>
    </w:p>
    <w:p w:rsidRPr="005B0E15" w:rsidR="005B0E15" w:rsidP="005B0E15">
      <w:pPr>
        <w:widowControl w:val="0"/>
        <w:ind w:firstLine="709"/>
        <w:jc w:val="both"/>
        <w:rPr>
          <w:rFonts w:eastAsia="Calibri"/>
          <w:sz w:val="22"/>
          <w:szCs w:val="22"/>
        </w:rPr>
      </w:pPr>
      <w:r w:rsidRPr="005B0E15">
        <w:rPr>
          <w:rFonts w:eastAsia="Calibri"/>
          <w:sz w:val="22"/>
          <w:szCs w:val="22"/>
        </w:rPr>
        <w:tab/>
        <w:tab/>
        <w:tab/>
        <w:tab/>
        <w:tab/>
        <w:tab/>
        <w:tab/>
        <w:t xml:space="preserve">                                   </w:t>
      </w:r>
      <w:r w:rsidR="00DD01C5">
        <w:rPr>
          <w:rFonts w:eastAsia="Calibri"/>
          <w:sz w:val="22"/>
          <w:szCs w:val="22"/>
        </w:rPr>
        <w:t>..................................</w:t>
      </w: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p>
    <w:p w:rsidRPr="005B0E15" w:rsidR="005B0E15" w:rsidP="005B0E15">
      <w:pPr>
        <w:widowControl w:val="0"/>
        <w:ind w:firstLine="709"/>
        <w:jc w:val="both"/>
        <w:rPr>
          <w:rFonts w:eastAsia="Calibri"/>
          <w:sz w:val="22"/>
          <w:szCs w:val="22"/>
        </w:rPr>
      </w:pPr>
      <w:r w:rsidRPr="005B0E15">
        <w:rPr>
          <w:rFonts w:eastAsia="Calibri"/>
          <w:sz w:val="22"/>
          <w:szCs w:val="22"/>
        </w:rPr>
        <w:t xml:space="preserve">Tribunalul </w:t>
      </w:r>
      <w:r w:rsidR="00DD01C5">
        <w:rPr>
          <w:rFonts w:eastAsia="Calibri"/>
          <w:sz w:val="22"/>
          <w:szCs w:val="22"/>
        </w:rPr>
        <w:t>.......................</w:t>
      </w:r>
      <w:r w:rsidRPr="005B0E15">
        <w:rPr>
          <w:rFonts w:eastAsia="Calibri"/>
          <w:sz w:val="22"/>
          <w:szCs w:val="22"/>
        </w:rPr>
        <w:t xml:space="preserve"> - Secţia a </w:t>
      </w:r>
      <w:r w:rsidR="00DD01C5">
        <w:rPr>
          <w:rFonts w:eastAsia="Calibri"/>
          <w:sz w:val="22"/>
          <w:szCs w:val="22"/>
        </w:rPr>
        <w:t>..........</w:t>
      </w:r>
      <w:r w:rsidRPr="005B0E15">
        <w:rPr>
          <w:rFonts w:eastAsia="Calibri"/>
          <w:sz w:val="22"/>
          <w:szCs w:val="22"/>
        </w:rPr>
        <w:t>Contencios administrativ şi fiscal</w:t>
      </w:r>
    </w:p>
    <w:p w:rsidRPr="005B0E15" w:rsidR="005B0E15" w:rsidP="005B0E15">
      <w:pPr>
        <w:widowControl w:val="0"/>
        <w:ind w:firstLine="709"/>
        <w:jc w:val="both"/>
        <w:rPr>
          <w:rFonts w:eastAsia="Calibri"/>
          <w:sz w:val="22"/>
          <w:szCs w:val="22"/>
        </w:rPr>
      </w:pPr>
      <w:r w:rsidRPr="005B0E15">
        <w:rPr>
          <w:rFonts w:eastAsia="Calibri"/>
          <w:sz w:val="22"/>
          <w:szCs w:val="22"/>
        </w:rPr>
        <w:t xml:space="preserve">Jud. fond – </w:t>
      </w:r>
      <w:r w:rsidR="00DD01C5">
        <w:rPr>
          <w:rFonts w:eastAsia="Calibri"/>
          <w:sz w:val="22"/>
          <w:szCs w:val="22"/>
        </w:rPr>
        <w:t>..........................</w:t>
      </w:r>
    </w:p>
    <w:p w:rsidRPr="005B0E15" w:rsidR="005B0E15" w:rsidP="005B0E15">
      <w:pPr>
        <w:widowControl w:val="0"/>
        <w:ind w:firstLine="709"/>
        <w:jc w:val="both"/>
        <w:rPr>
          <w:rFonts w:eastAsia="Calibri"/>
          <w:sz w:val="22"/>
          <w:szCs w:val="22"/>
        </w:rPr>
      </w:pPr>
      <w:r w:rsidRPr="005B0E15">
        <w:rPr>
          <w:rFonts w:eastAsia="Calibri"/>
          <w:sz w:val="22"/>
          <w:szCs w:val="22"/>
        </w:rPr>
        <w:t xml:space="preserve">Red. </w:t>
      </w:r>
      <w:r w:rsidR="00DD01C5">
        <w:rPr>
          <w:rFonts w:eastAsia="Calibri"/>
          <w:sz w:val="22"/>
          <w:szCs w:val="22"/>
        </w:rPr>
        <w:t>A0016</w:t>
      </w:r>
      <w:r w:rsidR="00DD01C5">
        <w:rPr>
          <w:rFonts w:eastAsia="Calibri"/>
          <w:sz w:val="22"/>
          <w:szCs w:val="22"/>
        </w:rPr>
        <w:t xml:space="preserve">   </w:t>
      </w:r>
      <w:r w:rsidRPr="005B0E15">
        <w:rPr>
          <w:rFonts w:eastAsia="Calibri"/>
          <w:sz w:val="22"/>
          <w:szCs w:val="22"/>
        </w:rPr>
        <w:t>4 ex.</w:t>
      </w:r>
      <w:bookmarkEnd w:id="0"/>
    </w:p>
    <w:p w:rsidRPr="005B0E15" w:rsidR="00090D1C" w:rsidP="005B0E15">
      <w:pPr>
        <w:rPr>
          <w:sz w:val="22"/>
          <w:szCs w:val="22"/>
        </w:rPr>
      </w:pPr>
    </w:p>
    <w:sectPr w:rsidSect="0024072C">
      <w:footerReference w:type="default" r:id="rId4"/>
      <w:pgSz w:w="11906" w:h="16838" w:code="9"/>
      <w:pgMar w:top="567" w:right="851"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Pr="00566B12" w:rsidR="0024072C" w:rsidP="0024072C">
    <w:pPr>
      <w:pStyle w:val="Footer"/>
      <w:spacing w:after="0" w:line="240" w:lineRule="auto"/>
      <w:jc w:val="center"/>
      <w:rPr>
        <w:rFonts w:ascii="Times New Roman" w:hAnsi="Times New Roman"/>
        <w:sz w:val="16"/>
        <w:szCs w:val="16"/>
      </w:rPr>
    </w:pPr>
    <w:r w:rsidRPr="00DA07F3">
      <w:rPr>
        <w:rFonts w:ascii="Times New Roman" w:hAnsi="Times New Roman"/>
        <w:sz w:val="16"/>
        <w:szCs w:val="16"/>
      </w:rPr>
      <w:fldChar w:fldCharType="begin"/>
    </w:r>
    <w:r w:rsidRPr="00DA07F3">
      <w:rPr>
        <w:rFonts w:ascii="Times New Roman" w:hAnsi="Times New Roman"/>
        <w:sz w:val="16"/>
        <w:szCs w:val="16"/>
      </w:rPr>
      <w:instrText>PAGE   \* MERGEFORMAT</w:instrText>
    </w:r>
    <w:r w:rsidRPr="00DA07F3">
      <w:rPr>
        <w:rFonts w:ascii="Times New Roman" w:hAnsi="Times New Roman"/>
        <w:sz w:val="16"/>
        <w:szCs w:val="16"/>
      </w:rPr>
      <w:fldChar w:fldCharType="separate"/>
    </w:r>
    <w:r w:rsidRPr="00DA07F3">
      <w:rPr>
        <w:rFonts w:ascii="Times New Roman" w:hAnsi="Times New Roman"/>
        <w:sz w:val="16"/>
        <w:szCs w:val="16"/>
      </w:rPr>
      <w:t>2</w:t>
    </w:r>
    <w:r w:rsidRPr="00DA07F3">
      <w:rPr>
        <w:rFonts w:ascii="Times New Roman" w:hAnsi="Times New Roman"/>
        <w:sz w:val="16"/>
        <w:szCs w:val="16"/>
      </w:rPr>
      <w:fldChar w:fldCharType="end"/>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grammar="clean"/>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654FD"/>
    <w:rsid w:val="00074F1D"/>
    <w:rsid w:val="00084103"/>
    <w:rsid w:val="00090D1C"/>
    <w:rsid w:val="00190DF5"/>
    <w:rsid w:val="00230098"/>
    <w:rsid w:val="00236F8B"/>
    <w:rsid w:val="0024072C"/>
    <w:rsid w:val="00310770"/>
    <w:rsid w:val="003676FC"/>
    <w:rsid w:val="00434264"/>
    <w:rsid w:val="004362D5"/>
    <w:rsid w:val="00444EB7"/>
    <w:rsid w:val="00483536"/>
    <w:rsid w:val="00566B12"/>
    <w:rsid w:val="005B0E15"/>
    <w:rsid w:val="005E0080"/>
    <w:rsid w:val="008D6F98"/>
    <w:rsid w:val="00902C7A"/>
    <w:rsid w:val="00982CB8"/>
    <w:rsid w:val="009847E9"/>
    <w:rsid w:val="009876B0"/>
    <w:rsid w:val="009B7961"/>
    <w:rsid w:val="00A56F73"/>
    <w:rsid w:val="00A74B82"/>
    <w:rsid w:val="00BC4A1A"/>
    <w:rsid w:val="00BC5260"/>
    <w:rsid w:val="00BF0E6F"/>
    <w:rsid w:val="00CD71E8"/>
    <w:rsid w:val="00DA07F3"/>
    <w:rsid w:val="00DD01C5"/>
    <w:rsid w:val="00F035C2"/>
    <w:rsid w:val="00FE5634"/>
  </w:rsids>
  <w:docVars>
    <w:docVar w:name="url" w:val="https://cabuc.just.ro/ecris_cdms/document_upload.aspx?id_document=200000005284514&amp;id_departament=58&amp;id_sesiune=5990718&amp;id_user=1429&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Footer">
    <w:name w:val="footer"/>
    <w:basedOn w:val="Normal"/>
    <w:link w:val="FooterChar"/>
    <w:uiPriority w:val="99"/>
    <w:unhideWhenUsed/>
    <w:rsid w:val="005B0E15"/>
    <w:pPr>
      <w:tabs>
        <w:tab w:val="center" w:pos="4536"/>
        <w:tab w:val="right" w:pos="9072"/>
      </w:tabs>
      <w:spacing w:after="200" w:line="276" w:lineRule="auto"/>
    </w:pPr>
    <w:rPr>
      <w:rFonts w:ascii="Calibri" w:eastAsia="Calibri" w:hAnsi="Calibri"/>
      <w:sz w:val="22"/>
      <w:szCs w:val="22"/>
      <w:lang w:eastAsia="en-US"/>
    </w:rPr>
  </w:style>
  <w:style w:type="character" w:customStyle="1" w:styleId="FooterChar">
    <w:name w:val="Footer Char"/>
    <w:link w:val="Footer"/>
    <w:uiPriority w:val="99"/>
    <w:rsid w:val="005B0E15"/>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13</ap:TotalTime>
  <ap:Pages>4</ap:Pages>
  <ap:Words>2014</ap:Words>
  <ap:Characters>11482</ap:Characters>
  <ap:Application>Microsoft Office Word</ap:Application>
  <ap:DocSecurity>0</ap:DocSecurity>
  <ap:Lines>95</ap:Lines>
  <ap:Paragraphs>26</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13470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