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AA011F">
      <w:pPr>
        <w:rPr>
          <w:b/>
        </w:rPr>
      </w:pPr>
      <w:r w:rsidR="00D166E2">
        <w:rPr>
          <w:b/>
        </w:rPr>
        <w:t>HOTĂRÂREA NR. 5</w:t>
      </w:r>
      <w:r>
        <w:rPr>
          <w:b/>
        </w:rPr>
        <w:t xml:space="preserve">                                                           CANDIDAT  A0009</w:t>
      </w:r>
    </w:p>
    <w:p w:rsidRPr="000654FD" w:rsidR="000654FD">
      <w:pPr>
        <w:rPr>
          <w:rFonts w:ascii="Garamond" w:hAnsi="Garamond"/>
          <w:color w:val="BFBFBF"/>
          <w:sz w:val="20"/>
          <w:szCs w:val="20"/>
        </w:rPr>
      </w:pPr>
      <w:r w:rsidR="00E31EE2">
        <w:rPr>
          <w:rFonts w:ascii="Garamond" w:hAnsi="Garamond"/>
          <w:color w:val="BFBFBF"/>
          <w:sz w:val="20"/>
          <w:szCs w:val="20"/>
        </w:rPr>
        <w:t>Acesta nu este document finalizat</w:t>
      </w:r>
    </w:p>
    <w:p w:rsidR="000654FD">
      <w:pPr>
        <w:rPr>
          <w:rFonts w:ascii="Garamond" w:hAnsi="Garamond"/>
        </w:rPr>
      </w:pPr>
      <w:r w:rsidRPr="00236F8B" w:rsidR="00236F8B">
        <w:rPr>
          <w:rFonts w:ascii="Garamond" w:hAnsi="Garamond"/>
        </w:rPr>
        <w:t xml:space="preserve">Cod ECLI    </w:t>
      </w:r>
      <w:r w:rsidR="00E31EE2">
        <w:rPr>
          <w:rFonts w:ascii="Garamond" w:hAnsi="Garamond"/>
        </w:rPr>
        <w:t>ECLI:RO:</w:t>
      </w:r>
      <w:r w:rsidR="00AA011F">
        <w:rPr>
          <w:rFonts w:ascii="Garamond" w:hAnsi="Garamond"/>
        </w:rPr>
        <w:t>.................</w:t>
      </w:r>
    </w:p>
    <w:p w:rsidR="00090D1C">
      <w:pPr>
        <w:rPr>
          <w:rFonts w:ascii="Garamond" w:hAnsi="Garamond"/>
        </w:rPr>
      </w:pPr>
      <w:r>
        <w:rPr>
          <w:rFonts w:ascii="Garamond" w:hAnsi="Garamond"/>
        </w:rPr>
        <w:t xml:space="preserve">Dosar nr. </w:t>
      </w:r>
      <w:r w:rsidR="00AA011F">
        <w:rPr>
          <w:rFonts w:ascii="Garamond" w:hAnsi="Garamond"/>
        </w:rPr>
        <w:t>............</w:t>
      </w:r>
    </w:p>
    <w:p w:rsidRPr="00C17D3D" w:rsidR="00C17D3D" w:rsidP="00C17D3D">
      <w:pPr>
        <w:rPr>
          <w:b/>
          <w:lang w:eastAsia="en-US"/>
        </w:rPr>
      </w:pPr>
      <w:r w:rsidRPr="00C17D3D">
        <w:rPr>
          <w:b/>
          <w:lang w:eastAsia="en-US"/>
        </w:rPr>
        <w:t xml:space="preserve">Dosar nr. </w:t>
      </w:r>
      <w:r w:rsidR="00AA011F">
        <w:rPr>
          <w:b/>
          <w:lang w:eastAsia="en-US"/>
        </w:rPr>
        <w:t>............</w:t>
      </w:r>
    </w:p>
    <w:p w:rsidRPr="00C17D3D" w:rsidR="00C17D3D" w:rsidP="00C17D3D">
      <w:pPr>
        <w:spacing w:after="200" w:line="276" w:lineRule="auto"/>
        <w:jc w:val="center"/>
        <w:rPr>
          <w:rFonts w:eastAsia="Calibri"/>
          <w:color w:val="0B3857"/>
          <w:lang w:eastAsia="en-US"/>
        </w:rPr>
      </w:pPr>
      <w:r w:rsidRPr="00C17D3D">
        <w:rPr>
          <w:lang w:eastAsia="en-US"/>
        </w:rPr>
        <w:t>R O M Â N I A</w:t>
      </w:r>
    </w:p>
    <w:p w:rsidRPr="00C17D3D" w:rsidR="00C17D3D" w:rsidP="00C17D3D">
      <w:pPr>
        <w:spacing w:after="200" w:line="276" w:lineRule="auto"/>
        <w:jc w:val="center"/>
        <w:rPr>
          <w:rFonts w:eastAsia="Calibri"/>
          <w:color w:val="0B3857"/>
          <w:lang w:eastAsia="en-US"/>
        </w:rPr>
      </w:pPr>
      <w:r w:rsidRPr="00C17D3D">
        <w:rPr>
          <w:lang w:eastAsia="en-US"/>
        </w:rPr>
        <w:t xml:space="preserve">CURTEA DE APEL </w:t>
      </w:r>
      <w:r w:rsidR="00AA011F">
        <w:rPr>
          <w:lang w:eastAsia="en-US"/>
        </w:rPr>
        <w:t>............</w:t>
      </w:r>
    </w:p>
    <w:p w:rsidRPr="00C17D3D" w:rsidR="00C17D3D" w:rsidP="00C17D3D">
      <w:pPr>
        <w:spacing w:after="200" w:line="276" w:lineRule="auto"/>
        <w:jc w:val="center"/>
        <w:rPr>
          <w:rFonts w:eastAsia="Calibri"/>
          <w:color w:val="0B3857"/>
          <w:lang w:eastAsia="en-US"/>
        </w:rPr>
      </w:pPr>
      <w:r w:rsidRPr="00C17D3D">
        <w:rPr>
          <w:lang w:eastAsia="en-US"/>
        </w:rPr>
        <w:t>SECŢI</w:t>
      </w:r>
      <w:r w:rsidRPr="00C17D3D">
        <w:rPr>
          <w:lang w:eastAsia="en-US"/>
        </w:rPr>
        <w:t xml:space="preserve">A </w:t>
      </w:r>
      <w:r w:rsidR="00AA011F">
        <w:rPr>
          <w:lang w:eastAsia="en-US"/>
        </w:rPr>
        <w:t xml:space="preserve">............ </w:t>
      </w:r>
      <w:r w:rsidRPr="00C17D3D">
        <w:rPr>
          <w:lang w:eastAsia="en-US"/>
        </w:rPr>
        <w:t>CONTENCIOS ADMINISTRATIV ŞI FISCAL</w:t>
      </w:r>
    </w:p>
    <w:p w:rsidRPr="00C17D3D" w:rsidR="00C17D3D" w:rsidP="00C17D3D">
      <w:pPr>
        <w:spacing w:after="200" w:line="276" w:lineRule="auto"/>
        <w:jc w:val="center"/>
        <w:rPr>
          <w:rFonts w:eastAsia="Calibri"/>
          <w:color w:val="0B3857"/>
          <w:lang w:eastAsia="en-US"/>
        </w:rPr>
      </w:pPr>
      <w:r w:rsidRPr="00C17D3D">
        <w:rPr>
          <w:b/>
          <w:lang w:eastAsia="en-US"/>
        </w:rPr>
        <w:t>SENTINŢA CIVILĂ NR.</w:t>
      </w:r>
      <w:r w:rsidR="00AA011F">
        <w:rPr>
          <w:b/>
          <w:lang w:eastAsia="en-US"/>
        </w:rPr>
        <w:t>.........</w:t>
      </w:r>
    </w:p>
    <w:p w:rsidRPr="00C17D3D" w:rsidR="00C17D3D" w:rsidP="00C17D3D">
      <w:pPr>
        <w:spacing w:after="200" w:line="276" w:lineRule="auto"/>
        <w:jc w:val="center"/>
        <w:rPr>
          <w:rFonts w:eastAsia="Calibri"/>
          <w:color w:val="0B3857"/>
          <w:lang w:eastAsia="en-US"/>
        </w:rPr>
      </w:pPr>
      <w:r w:rsidRPr="00C17D3D">
        <w:rPr>
          <w:lang w:eastAsia="en-US"/>
        </w:rPr>
        <w:t xml:space="preserve">Şedinţa publică de la </w:t>
      </w:r>
      <w:r w:rsidR="00AA011F">
        <w:rPr>
          <w:lang w:eastAsia="en-US"/>
        </w:rPr>
        <w:t>............</w:t>
      </w:r>
    </w:p>
    <w:p w:rsidRPr="00C17D3D" w:rsidR="00C17D3D" w:rsidP="00C17D3D">
      <w:pPr>
        <w:spacing w:after="200" w:line="276" w:lineRule="auto"/>
        <w:jc w:val="center"/>
        <w:rPr>
          <w:rFonts w:eastAsia="Calibri"/>
          <w:color w:val="0B3857"/>
          <w:lang w:eastAsia="en-US"/>
        </w:rPr>
      </w:pPr>
      <w:r w:rsidRPr="00C17D3D">
        <w:rPr>
          <w:lang w:eastAsia="en-US"/>
        </w:rPr>
        <w:t>Curtea constituită din:</w:t>
      </w:r>
    </w:p>
    <w:p w:rsidRPr="00C17D3D" w:rsidR="00C17D3D" w:rsidP="00C17D3D">
      <w:pPr>
        <w:spacing w:after="200" w:line="276" w:lineRule="auto"/>
        <w:jc w:val="center"/>
        <w:rPr>
          <w:lang w:eastAsia="en-US"/>
        </w:rPr>
      </w:pPr>
      <w:r w:rsidRPr="00C17D3D">
        <w:rPr>
          <w:lang w:eastAsia="en-US"/>
        </w:rPr>
        <w:t xml:space="preserve">PREŞEDINTE: </w:t>
      </w:r>
      <w:r w:rsidR="00AA011F">
        <w:rPr>
          <w:lang w:eastAsia="en-US"/>
        </w:rPr>
        <w:t>CANDIDAT A0009</w:t>
      </w:r>
    </w:p>
    <w:p w:rsidRPr="00C17D3D" w:rsidR="00C17D3D" w:rsidP="00C17D3D">
      <w:pPr>
        <w:spacing w:after="200" w:line="276" w:lineRule="auto"/>
        <w:jc w:val="center"/>
        <w:rPr>
          <w:rFonts w:eastAsia="Calibri"/>
          <w:color w:val="0B3857"/>
          <w:lang w:eastAsia="en-US"/>
        </w:rPr>
      </w:pPr>
      <w:r w:rsidRPr="00C17D3D">
        <w:rPr>
          <w:lang w:eastAsia="en-US"/>
        </w:rPr>
        <w:t xml:space="preserve">GREFIER: </w:t>
      </w:r>
      <w:r w:rsidR="00AA011F">
        <w:rPr>
          <w:lang w:eastAsia="en-US"/>
        </w:rPr>
        <w:t>..............</w:t>
      </w:r>
    </w:p>
    <w:p w:rsidRPr="00C17D3D" w:rsidR="00C17D3D" w:rsidP="00C17D3D">
      <w:pPr>
        <w:spacing w:after="200" w:line="276" w:lineRule="auto"/>
        <w:ind w:firstLine="708"/>
        <w:jc w:val="both"/>
        <w:rPr>
          <w:rFonts w:eastAsia="Calibri"/>
          <w:color w:val="0B3857"/>
          <w:lang w:eastAsia="en-US"/>
        </w:rPr>
      </w:pPr>
      <w:r w:rsidRPr="00C17D3D">
        <w:t xml:space="preserve">Pe rol se află soluţionarea cererii de chemare în judecată formulată de reclamanta </w:t>
      </w:r>
      <w:r w:rsidRPr="00C17D3D">
        <w:rPr>
          <w:b/>
        </w:rPr>
        <w:t xml:space="preserve">ASOCIAŢIA </w:t>
      </w:r>
      <w:r w:rsidR="00AA011F">
        <w:rPr>
          <w:b/>
        </w:rPr>
        <w:t>AB</w:t>
      </w:r>
      <w:r w:rsidRPr="00C17D3D">
        <w:t xml:space="preserve"> în contradictoriu cu pârâta </w:t>
      </w:r>
      <w:r w:rsidRPr="00C17D3D">
        <w:rPr>
          <w:b/>
        </w:rPr>
        <w:t>AUTORITATEA NAVALĂ ROMÂNĂ</w:t>
      </w:r>
      <w:r w:rsidRPr="00C17D3D">
        <w:t xml:space="preserve">, având ca obiect </w:t>
      </w:r>
      <w:r w:rsidRPr="00C17D3D">
        <w:rPr>
          <w:i/>
        </w:rPr>
        <w:t>obligare emitere act</w:t>
      </w:r>
      <w:r w:rsidRPr="00C17D3D">
        <w:t>.</w:t>
      </w:r>
    </w:p>
    <w:p w:rsidRPr="00C17D3D" w:rsidR="00C17D3D" w:rsidP="00C17D3D">
      <w:pPr>
        <w:spacing w:after="200" w:line="276" w:lineRule="auto"/>
        <w:ind w:firstLine="708"/>
        <w:jc w:val="both"/>
        <w:rPr>
          <w:rFonts w:eastAsia="Calibri"/>
          <w:color w:val="0B3857"/>
          <w:lang w:eastAsia="en-US"/>
        </w:rPr>
      </w:pPr>
      <w:r w:rsidRPr="00C17D3D">
        <w:t xml:space="preserve">Cauza a rămas în pronunţare în şedinţa publică </w:t>
      </w:r>
      <w:r w:rsidR="00005955">
        <w:t>din</w:t>
      </w:r>
      <w:r w:rsidR="00AA011F">
        <w:t>...........</w:t>
      </w:r>
      <w:r w:rsidRPr="00C17D3D">
        <w:t xml:space="preserve">, desfăşurarea şedinţei fiind consemnată în încheierea de şedinţă de la acea dată, care face parte integrantă din prezenta hotărâre, dată la care Curtea, având nevoie de timp pentru a delibera, a amânat pronunţarea la </w:t>
      </w:r>
      <w:r w:rsidR="00AA011F">
        <w:t>............</w:t>
      </w:r>
      <w:r w:rsidRPr="00C17D3D">
        <w:t>, când a pronunţat următoarea hotărâre:</w:t>
      </w:r>
    </w:p>
    <w:p w:rsidRPr="00C17D3D" w:rsidR="00C17D3D" w:rsidP="00C17D3D">
      <w:pPr>
        <w:spacing w:after="200" w:line="276" w:lineRule="auto"/>
        <w:jc w:val="center"/>
        <w:rPr>
          <w:rFonts w:eastAsia="Calibri"/>
          <w:color w:val="0B3857"/>
          <w:lang w:eastAsia="en-US"/>
        </w:rPr>
      </w:pPr>
      <w:r w:rsidRPr="00C17D3D">
        <w:t>C U R T E A,</w:t>
      </w:r>
    </w:p>
    <w:p w:rsidRPr="00C17D3D" w:rsidR="00C17D3D" w:rsidP="00C17D3D">
      <w:pPr>
        <w:spacing w:after="200" w:line="276" w:lineRule="auto"/>
        <w:jc w:val="both"/>
        <w:rPr>
          <w:rFonts w:eastAsia="Calibri"/>
          <w:color w:val="0B3857"/>
          <w:lang w:eastAsia="en-US"/>
        </w:rPr>
      </w:pPr>
      <w:r w:rsidRPr="00C17D3D">
        <w:rPr>
          <w:rFonts w:eastAsia="Calibri"/>
          <w:color w:val="0B3857"/>
          <w:lang w:eastAsia="en-US"/>
        </w:rPr>
        <w:tab/>
        <w:t xml:space="preserve">Prin cererea de chemare în judecată înregistrată pe rolul acestei instanțe sub nr.  </w:t>
      </w:r>
      <w:r w:rsidR="00AA011F">
        <w:rPr>
          <w:rFonts w:eastAsia="Calibri"/>
          <w:color w:val="0B3857"/>
          <w:lang w:eastAsia="en-US"/>
        </w:rPr>
        <w:t>............</w:t>
      </w:r>
      <w:r w:rsidRPr="00C17D3D">
        <w:rPr>
          <w:rFonts w:eastAsia="Calibri"/>
          <w:color w:val="0B3857"/>
          <w:lang w:eastAsia="en-US"/>
        </w:rPr>
        <w:t xml:space="preserve">, reclamanta Asociația </w:t>
      </w:r>
      <w:r w:rsidR="00AA011F">
        <w:rPr>
          <w:rFonts w:eastAsia="Calibri"/>
          <w:color w:val="0B3857"/>
          <w:lang w:eastAsia="en-US"/>
        </w:rPr>
        <w:t>AB</w:t>
      </w:r>
      <w:r w:rsidRPr="00C17D3D">
        <w:rPr>
          <w:rFonts w:eastAsia="Calibri"/>
          <w:color w:val="0B3857"/>
          <w:lang w:eastAsia="en-US"/>
        </w:rPr>
        <w:t xml:space="preserve"> a solicitat instanței obligarea pârâtei Autoritatea Navală Română să elibereze documentul de autorizare aferent cursului „Siguranța și mentenanța sistemelor navale de înaltă tens</w:t>
      </w:r>
      <w:r w:rsidRPr="00C17D3D">
        <w:rPr>
          <w:rFonts w:eastAsia="Calibri"/>
          <w:color w:val="0B3857"/>
          <w:lang w:eastAsia="en-US"/>
        </w:rPr>
        <w:t>iune – High Voltage Safety and Maitenance”.</w:t>
      </w:r>
    </w:p>
    <w:p w:rsidRPr="00C17D3D" w:rsidR="00C17D3D" w:rsidP="00C17D3D">
      <w:pPr>
        <w:spacing w:after="200" w:line="276" w:lineRule="auto"/>
        <w:ind w:firstLine="708"/>
        <w:jc w:val="both"/>
        <w:rPr>
          <w:rFonts w:eastAsia="Calibri"/>
          <w:color w:val="0B3857"/>
          <w:lang w:eastAsia="en-US"/>
        </w:rPr>
      </w:pPr>
      <w:r w:rsidRPr="00C17D3D">
        <w:rPr>
          <w:rFonts w:eastAsia="Calibri"/>
          <w:color w:val="0B3857"/>
          <w:lang w:eastAsia="en-US"/>
        </w:rPr>
        <w:t xml:space="preserve">În motivarea cererii de chemare în judecată, reclamanta a arătat că la data de 23.12.2014 s-a adresat pârâtei cu cerera înregistrată sub nr. </w:t>
      </w:r>
      <w:r w:rsidR="00AA011F">
        <w:rPr>
          <w:rFonts w:eastAsia="Calibri"/>
          <w:color w:val="0B3857"/>
          <w:lang w:eastAsia="en-US"/>
        </w:rPr>
        <w:t>..........</w:t>
      </w:r>
      <w:r w:rsidRPr="00C17D3D">
        <w:rPr>
          <w:rFonts w:eastAsia="Calibri"/>
          <w:color w:val="0B3857"/>
          <w:lang w:eastAsia="en-US"/>
        </w:rPr>
        <w:t xml:space="preserve">/23.12.2014 prin care a solicitat să fie autorizată să desfășoare cursul „Siguranța și mentenanța sistemelor navale de înaltă tensiune – High Voltage Safety and Maitenance” care, în urma Conferinței STCW de la Manila din anul 2010, a devenit obligatoriu </w:t>
      </w:r>
      <w:r w:rsidRPr="00C17D3D">
        <w:rPr>
          <w:rFonts w:eastAsia="Calibri"/>
          <w:lang w:eastAsia="en-US"/>
        </w:rPr>
        <w:t xml:space="preserve">în activitatea de pregătire </w:t>
      </w:r>
      <w:r w:rsidRPr="00C17D3D">
        <w:rPr>
          <w:rFonts w:eastAsia="Calibri"/>
          <w:color w:val="0B3857"/>
          <w:lang w:eastAsia="en-US"/>
        </w:rPr>
        <w:t>a personalului navigant.</w:t>
      </w:r>
    </w:p>
    <w:p w:rsidRPr="00C17D3D" w:rsidR="00C17D3D" w:rsidP="00C17D3D">
      <w:pPr>
        <w:spacing w:after="200" w:line="276" w:lineRule="auto"/>
        <w:jc w:val="both"/>
        <w:rPr>
          <w:rFonts w:eastAsia="Calibri"/>
          <w:color w:val="0B3857"/>
          <w:lang w:eastAsia="en-US"/>
        </w:rPr>
      </w:pPr>
      <w:r w:rsidRPr="00C17D3D">
        <w:rPr>
          <w:rFonts w:eastAsia="Calibri"/>
          <w:color w:val="0B3857"/>
          <w:lang w:eastAsia="en-US"/>
        </w:rPr>
        <w:tab/>
        <w:t xml:space="preserve">Întrucât Autoritatea Navală Română nu a răspuns cererii de autorizare, reclamanta a transmis pârâtei notificara înregistrată sub nr. </w:t>
      </w:r>
      <w:r w:rsidR="00751333">
        <w:rPr>
          <w:rFonts w:eastAsia="Calibri"/>
          <w:color w:val="0B3857"/>
          <w:lang w:eastAsia="en-US"/>
        </w:rPr>
        <w:t>.......</w:t>
      </w:r>
      <w:r w:rsidRPr="00C17D3D">
        <w:rPr>
          <w:rFonts w:eastAsia="Calibri"/>
          <w:color w:val="0B3857"/>
          <w:lang w:eastAsia="en-US"/>
        </w:rPr>
        <w:t>/09.02.2016 prin care i-a adus la cunoștință că, în potrivit dispozițiilor art. 6 din O.U.G. nr. 27/2003, consideră că i-a fost acordată autorizarea pentru desfășurarea cursului „Siguranța și mentenanța sistemelor navale de înaltă tensiune – High Voltage Safety and Maitenance”.</w:t>
      </w:r>
    </w:p>
    <w:p w:rsidRPr="00C17D3D" w:rsidR="00C17D3D" w:rsidP="00C17D3D">
      <w:pPr>
        <w:spacing w:after="200" w:line="276" w:lineRule="auto"/>
        <w:jc w:val="both"/>
        <w:rPr>
          <w:rFonts w:eastAsia="Calibri"/>
          <w:color w:val="0B3857"/>
          <w:lang w:eastAsia="en-US"/>
        </w:rPr>
      </w:pPr>
      <w:r w:rsidRPr="00C17D3D">
        <w:rPr>
          <w:rFonts w:eastAsia="Calibri"/>
          <w:color w:val="0B3857"/>
          <w:lang w:eastAsia="en-US"/>
        </w:rPr>
        <w:tab/>
        <w:t xml:space="preserve">Urmare a acestui ultim demers, pârâta i-a comunicat reclamantei adresa nr. </w:t>
      </w:r>
      <w:r w:rsidR="00751333">
        <w:rPr>
          <w:rFonts w:eastAsia="Calibri"/>
          <w:color w:val="0B3857"/>
          <w:lang w:eastAsia="en-US"/>
        </w:rPr>
        <w:t>..........</w:t>
      </w:r>
      <w:r w:rsidRPr="00C17D3D">
        <w:rPr>
          <w:rFonts w:eastAsia="Calibri"/>
          <w:color w:val="0B3857"/>
          <w:lang w:eastAsia="en-US"/>
        </w:rPr>
        <w:t>/12.02.2016 prin care i-a adus la cunoștință că nu este autorizată să desfășoare acest curs.</w:t>
      </w:r>
    </w:p>
    <w:p w:rsidRPr="00C17D3D" w:rsidR="00C17D3D" w:rsidP="00C17D3D">
      <w:pPr>
        <w:spacing w:after="200" w:line="276" w:lineRule="auto"/>
        <w:jc w:val="both"/>
        <w:rPr>
          <w:rFonts w:eastAsia="Calibri"/>
          <w:color w:val="0B3857"/>
          <w:lang w:eastAsia="en-US"/>
        </w:rPr>
      </w:pPr>
      <w:r w:rsidRPr="00C17D3D">
        <w:rPr>
          <w:rFonts w:eastAsia="Calibri"/>
          <w:color w:val="0B3857"/>
          <w:lang w:eastAsia="en-US"/>
        </w:rPr>
        <w:tab/>
        <w:t>Reclamanta și–a întemeiat în drept acțiunea pe dispozițiile O.U.G. nr. 27/2003 și pe cele ale Ordinului Ministrului Transportului nr. 1354/2007.</w:t>
      </w:r>
    </w:p>
    <w:p w:rsidRPr="00C17D3D" w:rsidR="00C17D3D" w:rsidP="00C17D3D">
      <w:pPr>
        <w:spacing w:after="200" w:line="276" w:lineRule="auto"/>
        <w:jc w:val="both"/>
        <w:rPr>
          <w:rFonts w:eastAsia="Calibri"/>
          <w:color w:val="0B3857"/>
          <w:lang w:eastAsia="en-US"/>
        </w:rPr>
      </w:pPr>
      <w:r w:rsidRPr="00C17D3D">
        <w:rPr>
          <w:rFonts w:eastAsia="Calibri"/>
          <w:color w:val="0B3857"/>
          <w:lang w:eastAsia="en-US"/>
        </w:rPr>
        <w:tab/>
        <w:t>În susținerea cererii de chemare în judecată a depus la dosarul cauzei întreaga documentație atașată cererii de emitere a autorizației ( f. 6-13 și 59-127).</w:t>
      </w:r>
    </w:p>
    <w:p w:rsidRPr="00C17D3D" w:rsidR="00C17D3D" w:rsidP="00C17D3D">
      <w:pPr>
        <w:spacing w:after="200" w:line="276" w:lineRule="auto"/>
        <w:jc w:val="both"/>
        <w:rPr>
          <w:rFonts w:eastAsia="Calibri"/>
          <w:color w:val="0B3857"/>
          <w:lang w:eastAsia="en-US"/>
        </w:rPr>
      </w:pPr>
      <w:r w:rsidRPr="00C17D3D">
        <w:rPr>
          <w:rFonts w:eastAsia="Calibri"/>
          <w:color w:val="0B3857"/>
          <w:lang w:eastAsia="en-US"/>
        </w:rPr>
        <w:tab/>
        <w:t>La data de 22.04.2016, intimata a formulat</w:t>
      </w:r>
      <w:r w:rsidRPr="00C17D3D">
        <w:rPr>
          <w:rFonts w:eastAsia="Calibri"/>
          <w:b/>
          <w:color w:val="0B3857"/>
          <w:lang w:eastAsia="en-US"/>
        </w:rPr>
        <w:t xml:space="preserve"> întâmpinare</w:t>
      </w:r>
      <w:r w:rsidRPr="00C17D3D">
        <w:rPr>
          <w:rFonts w:eastAsia="Calibri"/>
          <w:color w:val="0B3857"/>
          <w:lang w:eastAsia="en-US"/>
        </w:rPr>
        <w:t xml:space="preserve"> prin care  a invocat excepțiile inadmisibilității și tardivității, iar în ceea ce privește fondul cauzei a solicitat respingerea cererii de chemare în judecată ca neîntemeiată. </w:t>
      </w:r>
    </w:p>
    <w:p w:rsidRPr="00C17D3D" w:rsidR="00C17D3D" w:rsidP="00C17D3D">
      <w:pPr>
        <w:spacing w:after="200" w:line="276" w:lineRule="auto"/>
        <w:ind w:firstLine="720"/>
        <w:jc w:val="both"/>
      </w:pPr>
      <w:r w:rsidRPr="00C17D3D">
        <w:rPr>
          <w:rFonts w:eastAsia="Calibri"/>
          <w:color w:val="0B3857"/>
          <w:lang w:eastAsia="en-US"/>
        </w:rPr>
        <w:t xml:space="preserve">În motivarea excepțiilor invocate, pârâta a arătat că, pe de-o parte, acțiunea este inamisibilă deoarece </w:t>
      </w:r>
      <w:r w:rsidRPr="00C17D3D">
        <w:t>O.U.G. nr.  27/2003 nu îi este opozabilă, pârâte neavând calitatea de organ al administraţiei publice, ci pe aceea de autoritate publică de specialitate, cu venituri extrabugetare, aflată în subordinea Ministerului Transporturilor, conform O.U.G. nr.42/1997 şi H.G. nr.1133/2002, iar, pe de altă parte, acțiunea este tardiv formulată deoarece temeiul de drept al acesteia este reprezentat de Legea 554/2004, iar reclamanta nu a făcut dovada respectării termenului procedural, aşa cum stipulează dispozițiile art. 7 alin. 1 din această lege.</w:t>
      </w:r>
    </w:p>
    <w:p w:rsidRPr="00C17D3D" w:rsidR="00C17D3D" w:rsidP="00C17D3D">
      <w:pPr>
        <w:spacing w:after="200" w:line="276" w:lineRule="auto"/>
        <w:ind w:firstLine="720"/>
        <w:jc w:val="both"/>
      </w:pPr>
      <w:r w:rsidRPr="00C17D3D">
        <w:t>Relativ la fondul cererii, pârâta a precizat că pentru cursul High Voltage nu se impune efectuarea unui curs separat care să necesite aprobarea Autorității Navale Române, nefiind vorba de un curs destinat ofițerilor în vederea emiterii sau prelungirii brevetelor, situație în care personalul navigant își actualizează cunoștințele prin cursuri organizate de către Centrul Român pentru Pregătirea și Perfecționarea Personalului din Transporturi Navale (CERONAV).</w:t>
      </w:r>
    </w:p>
    <w:p w:rsidRPr="00C17D3D" w:rsidR="00C17D3D" w:rsidP="00C17D3D">
      <w:pPr>
        <w:spacing w:after="200" w:line="276" w:lineRule="auto"/>
        <w:ind w:firstLine="720"/>
        <w:jc w:val="both"/>
      </w:pPr>
      <w:r w:rsidRPr="00C17D3D">
        <w:t xml:space="preserve">În plus, Asociația </w:t>
      </w:r>
      <w:r w:rsidR="00AA011F">
        <w:t>AB</w:t>
      </w:r>
      <w:r w:rsidRPr="00C17D3D">
        <w:t xml:space="preserve"> nu deține autorizație pentru pregătirea candidaților conform cerințelor regulilor III/2 și III/6 și nici nu est autorizată de către Autoritatea Națională pentru Calificări să efectueze cursuri cu specializarea HIGH Voltage.</w:t>
      </w:r>
    </w:p>
    <w:p w:rsidRPr="00C17D3D" w:rsidR="00C17D3D" w:rsidP="00C17D3D">
      <w:pPr>
        <w:spacing w:after="200" w:line="276" w:lineRule="auto"/>
        <w:ind w:firstLine="720"/>
        <w:jc w:val="both"/>
      </w:pPr>
      <w:r w:rsidRPr="00C17D3D">
        <w:t xml:space="preserve">Potrivit dispozițiilor  O.M.T. nr. 1345/2007 privind stabilirea criteriilor minime pe care trebuie să le îndeplinească furnizorii de educație, de formare profesională sau de perfecționare pentru a organiza și desfășura forme de pregătire și perfecționare  în vederea obținerii și menținerii valabilității brevetelor și certificatelor de capacitate a personalului navigant, Autoritatea Navală Română aprobă organizarea și desfășurarea formelor de pregătire și monitorizează procesul de învățământ în desfășurare.  O astfel de aprobare este dată după verificarea îndeplinirii de către furnizorul de educație a criteriilor prevăzute în capitolele IV-VII din ordinul menționat. </w:t>
      </w:r>
    </w:p>
    <w:p w:rsidRPr="00C17D3D" w:rsidR="00C17D3D" w:rsidP="00C17D3D">
      <w:pPr>
        <w:spacing w:after="200" w:line="276" w:lineRule="auto"/>
        <w:ind w:firstLine="720"/>
        <w:jc w:val="both"/>
      </w:pPr>
      <w:r w:rsidRPr="00C17D3D">
        <w:t xml:space="preserve">Cursurile pe care le desfășoară Asociația </w:t>
      </w:r>
      <w:r w:rsidR="00A115F1">
        <w:t xml:space="preserve">AB </w:t>
      </w:r>
      <w:r w:rsidRPr="00C17D3D">
        <w:t>sunt prevăzute și reglementate de Organizația Maritimă Internațională conform Convenției STCW, astfel cum a fost amendată cu ocazia Conferinței de la Manila.</w:t>
      </w:r>
    </w:p>
    <w:p w:rsidRPr="00C17D3D" w:rsidR="00C17D3D" w:rsidP="00C17D3D">
      <w:pPr>
        <w:spacing w:after="200" w:line="276" w:lineRule="auto"/>
        <w:ind w:firstLine="720"/>
        <w:jc w:val="both"/>
      </w:pPr>
      <w:r w:rsidRPr="00C17D3D">
        <w:t>Autorizarea de către Autoritatea Navală Română a desfășurării acestor cursuri este necesară  tocmai pentru a exista garanții că sistemul educațional dezvoltat asigură obiectivele de pregătire și perfecționare, iar gradul de competență ce trebuie atins este clar definit în programele analitice ale cursurilor organizate.</w:t>
      </w:r>
    </w:p>
    <w:p w:rsidRPr="00C17D3D" w:rsidR="00C17D3D" w:rsidP="00C17D3D">
      <w:pPr>
        <w:spacing w:after="200" w:line="276" w:lineRule="auto"/>
        <w:ind w:firstLine="720"/>
        <w:jc w:val="both"/>
      </w:pPr>
      <w:r w:rsidRPr="00C17D3D">
        <w:t>Pârâta și-a întemeiat în drept întâmpinarea pe dispozițiile art. 205-208 C.p.civ., O.G. nr. 42/1997, Legea nr. 554/2004, O.U.G. nr. 27/2003, H.G. nr. 133/2002 și O.M.T. 1345/2007.</w:t>
      </w:r>
    </w:p>
    <w:p w:rsidRPr="00C17D3D" w:rsidR="00C17D3D" w:rsidP="00C17D3D">
      <w:pPr>
        <w:spacing w:after="200" w:line="276" w:lineRule="auto"/>
        <w:ind w:firstLine="720"/>
        <w:jc w:val="both"/>
      </w:pPr>
      <w:r w:rsidRPr="00C17D3D">
        <w:t xml:space="preserve">În probațiune a solicitat încuviințarea administrării probei cu înscrisuri pe care le atașat întâmpinării ( f.  26-35 ). </w:t>
      </w:r>
    </w:p>
    <w:p w:rsidRPr="00C17D3D" w:rsidR="00C17D3D" w:rsidP="00C17D3D">
      <w:pPr>
        <w:spacing w:after="200" w:line="276" w:lineRule="auto"/>
        <w:ind w:firstLine="720"/>
        <w:jc w:val="both"/>
      </w:pPr>
      <w:r w:rsidRPr="00C17D3D">
        <w:t>Prin încheierea din data de 21.06.2016, Curtea a respins ca neîntemeiate excepțiile inadmisibilității și tardivității cu motivarea din cuprinsul încheierii de la f. 51.</w:t>
      </w:r>
    </w:p>
    <w:p w:rsidRPr="00C17D3D" w:rsidR="00C17D3D" w:rsidP="00C17D3D">
      <w:pPr>
        <w:spacing w:after="200" w:line="276" w:lineRule="auto"/>
        <w:ind w:firstLine="720"/>
        <w:jc w:val="both"/>
      </w:pPr>
      <w:r w:rsidRPr="00C17D3D">
        <w:t>În cauză a fost încuviințată administrarea probei cu înscrisuri.</w:t>
      </w:r>
    </w:p>
    <w:p w:rsidRPr="00C17D3D" w:rsidR="00C17D3D" w:rsidP="00C17D3D">
      <w:pPr>
        <w:spacing w:after="200" w:line="276" w:lineRule="auto"/>
        <w:ind w:firstLine="720"/>
        <w:jc w:val="both"/>
      </w:pPr>
      <w:r w:rsidRPr="00C17D3D">
        <w:t>La termenul de judecată din data de 13.12.2016, Curtea a invocat din oficiu excepția lipsei calității procesuale pasive, rămânând în pronunțare asupra acesteia și asupra fondului cererii de chemare în judecată.</w:t>
      </w:r>
    </w:p>
    <w:p w:rsidRPr="00C17D3D" w:rsidR="00C17D3D" w:rsidP="00C17D3D">
      <w:pPr>
        <w:spacing w:after="200" w:line="276" w:lineRule="auto"/>
        <w:ind w:firstLine="720"/>
        <w:jc w:val="both"/>
      </w:pPr>
      <w:r w:rsidRPr="00C17D3D">
        <w:rPr>
          <w:rFonts w:eastAsia="Calibri"/>
          <w:color w:val="0B3857"/>
          <w:lang w:eastAsia="en-US"/>
        </w:rPr>
        <w:t>Analizând actele și lucrările dosarului, Curtea reține următoarele:</w:t>
      </w:r>
    </w:p>
    <w:p w:rsidRPr="00C17D3D" w:rsidR="00C17D3D" w:rsidP="00C17D3D">
      <w:pPr>
        <w:spacing w:after="200" w:line="276" w:lineRule="auto"/>
        <w:jc w:val="both"/>
        <w:rPr>
          <w:rFonts w:eastAsia="Calibri"/>
          <w:color w:val="0B3857"/>
          <w:lang w:eastAsia="en-US"/>
        </w:rPr>
      </w:pPr>
      <w:r w:rsidRPr="00C17D3D">
        <w:rPr>
          <w:rFonts w:eastAsia="Calibri"/>
          <w:color w:val="0B3857"/>
          <w:lang w:eastAsia="en-US"/>
        </w:rPr>
        <w:tab/>
        <w:t xml:space="preserve">Prin cererea de aprobare înregistrată la Autoritatea Navală Română sub nr. </w:t>
      </w:r>
      <w:r w:rsidR="00AA011F">
        <w:rPr>
          <w:rFonts w:eastAsia="Calibri"/>
          <w:color w:val="0B3857"/>
          <w:lang w:eastAsia="en-US"/>
        </w:rPr>
        <w:t>..........</w:t>
      </w:r>
      <w:r w:rsidRPr="00C17D3D">
        <w:rPr>
          <w:rFonts w:eastAsia="Calibri"/>
          <w:color w:val="0B3857"/>
          <w:lang w:eastAsia="en-US"/>
        </w:rPr>
        <w:t xml:space="preserve">/23.12.2014 ( f. 6 ), reclamanta Asociația </w:t>
      </w:r>
      <w:r w:rsidR="00AA011F">
        <w:rPr>
          <w:rFonts w:eastAsia="Calibri"/>
          <w:color w:val="0B3857"/>
          <w:lang w:eastAsia="en-US"/>
        </w:rPr>
        <w:t>AB</w:t>
      </w:r>
      <w:r w:rsidRPr="00C17D3D">
        <w:rPr>
          <w:rFonts w:eastAsia="Calibri"/>
          <w:color w:val="0B3857"/>
          <w:lang w:eastAsia="en-US"/>
        </w:rPr>
        <w:t xml:space="preserve"> a solicitat pârâtei autorizarea desfășurării cursului ”Siguranța și mentenanța sistemelor navale de înaltă tensiune – High Voltage Safety and Maitenance”.</w:t>
      </w:r>
    </w:p>
    <w:p w:rsidRPr="00C17D3D" w:rsidR="00C17D3D" w:rsidP="00C17D3D">
      <w:pPr>
        <w:spacing w:after="200" w:line="276" w:lineRule="auto"/>
        <w:jc w:val="both"/>
        <w:rPr>
          <w:rFonts w:eastAsia="Calibri"/>
          <w:color w:val="0B3857"/>
          <w:lang w:eastAsia="en-US"/>
        </w:rPr>
      </w:pPr>
      <w:r w:rsidRPr="00C17D3D">
        <w:rPr>
          <w:rFonts w:eastAsia="Calibri"/>
          <w:color w:val="0B3857"/>
          <w:lang w:eastAsia="en-US"/>
        </w:rPr>
        <w:tab/>
        <w:t>Ulterior, reclamanta a notificat pârâta ( f. 8 ) în sensul că, întrucât nu a primit nici un răspuns la solicitarea de eliberare a autorizației, potrivit dispozițiilor art. 6 alin. 1 din O.U.G. 27/2003, consideră că autorizația i s-a acordat, solicitând, în baza art. 7 alin. 2 din același act normativ, eliberarea documentului de aprobare (instrumentum) a cursului ”Siguranța și mentenanța sistemelor navale de înaltă tensiune – High Voltage Safety and Maitenance”.</w:t>
      </w:r>
    </w:p>
    <w:p w:rsidR="009F300F" w:rsidP="00C17D3D">
      <w:pPr>
        <w:spacing w:after="200" w:line="276" w:lineRule="auto"/>
        <w:jc w:val="both"/>
        <w:rPr>
          <w:rFonts w:eastAsia="Calibri"/>
          <w:color w:val="0B3857"/>
          <w:lang w:eastAsia="en-US"/>
        </w:rPr>
      </w:pPr>
      <w:r w:rsidRPr="00C17D3D" w:rsidR="00C17D3D">
        <w:rPr>
          <w:rFonts w:eastAsia="Calibri"/>
          <w:color w:val="0B3857"/>
          <w:lang w:eastAsia="en-US"/>
        </w:rPr>
        <w:tab/>
        <w:t>Prin promovarea prezentei cereri de chemare în judecată, reclamanta urmărește, prin utilizarea mecanismului instituit de art. 7 alin. 2 din O.U.G. nr. 27/2003, să se constate că cererea de autorizare a desfășurării cursului ”Siguranța și mentenanța sistemelor navale de înaltă tensiune – High Voltage Safety and Mait</w:t>
      </w:r>
      <w:r>
        <w:rPr>
          <w:rFonts w:eastAsia="Calibri"/>
          <w:color w:val="0B3857"/>
          <w:lang w:eastAsia="en-US"/>
        </w:rPr>
        <w:t>enance” i-a fost aprobată tacit.</w:t>
      </w:r>
    </w:p>
    <w:p w:rsidRPr="009F300F" w:rsidR="00C17D3D" w:rsidP="009F300F">
      <w:pPr>
        <w:spacing w:after="200" w:line="276" w:lineRule="auto"/>
        <w:ind w:firstLine="708"/>
        <w:jc w:val="both"/>
        <w:rPr>
          <w:rFonts w:eastAsia="Calibri"/>
          <w:color w:val="0B3857"/>
          <w:lang w:eastAsia="en-US"/>
        </w:rPr>
      </w:pPr>
      <w:r w:rsidRPr="00C17D3D">
        <w:rPr>
          <w:rFonts w:eastAsia="Calibri"/>
          <w:color w:val="0B3857"/>
          <w:lang w:eastAsia="en-US"/>
        </w:rPr>
        <w:t xml:space="preserve">Relativ la </w:t>
      </w:r>
      <w:r w:rsidRPr="00C17D3D">
        <w:rPr>
          <w:rFonts w:eastAsia="Calibri"/>
          <w:b/>
          <w:color w:val="0B3857"/>
          <w:lang w:eastAsia="en-US"/>
        </w:rPr>
        <w:t>excepția lipsei calității procesuale pasive</w:t>
      </w:r>
      <w:r w:rsidRPr="00C17D3D">
        <w:rPr>
          <w:rFonts w:eastAsia="Calibri"/>
          <w:color w:val="0B3857"/>
          <w:lang w:eastAsia="en-US"/>
        </w:rPr>
        <w:t xml:space="preserve"> invocată din perspectiva atribuțiilor pe care le are directorul general al Autorității Navale Român în cadrul procedurii de obținere a aprobării pentru desfășurarea formelor de pregătire profesională a personalului navigant, Curtea apreciază că aceasta este neîntem</w:t>
      </w:r>
      <w:r w:rsidRPr="00C17D3D">
        <w:rPr>
          <w:rFonts w:eastAsia="Calibri"/>
          <w:color w:val="0B3857"/>
          <w:lang w:eastAsia="en-US"/>
        </w:rPr>
        <w:t xml:space="preserve">eiată întrucât din modul cum este reglementată instituția aprobării în cuprinsul Ordinului 1354/2007 rezultă că abilitarea de a aproba desfășurarea cursurilor revine Autorității Navale Române. Acest aspect de deduce cu precădere din dispozițiile art. 2 alin. 1 din Ordin, care definește Autoritatea Navală Română ca fiind </w:t>
      </w:r>
      <w:r w:rsidRPr="00C17D3D">
        <w:rPr>
          <w:rFonts w:eastAsia="Calibri"/>
          <w:color w:val="000000"/>
          <w:lang w:eastAsia="en-US"/>
        </w:rPr>
        <w:t>organul tehnic de specialitate din subordinea Ministerului Transporturilor, căreia i s-au delegat competenţele privind ducerea la îndeplinire a prevederilor ordinului, deci atribuțiile a supraveghea desfășurarea procedurii de aprobare cu toate etapele pe care le implică aceasta.</w:t>
      </w:r>
    </w:p>
    <w:p w:rsidRPr="00C17D3D" w:rsidR="00C17D3D" w:rsidP="00C17D3D">
      <w:pPr>
        <w:spacing w:after="200" w:line="276" w:lineRule="auto"/>
        <w:ind w:firstLine="708"/>
        <w:jc w:val="both"/>
        <w:rPr>
          <w:rFonts w:eastAsia="Calibri"/>
          <w:color w:val="0B3857"/>
          <w:lang w:eastAsia="en-US"/>
        </w:rPr>
      </w:pPr>
      <w:r w:rsidRPr="00C17D3D">
        <w:rPr>
          <w:rFonts w:eastAsia="Calibri"/>
          <w:color w:val="0B3857"/>
          <w:lang w:eastAsia="en-US"/>
        </w:rPr>
        <w:t>În ceea ce privește fondul cauzei, Curtea apreciază că pretențiile reclamantei sunt întemeiate pentru următoarele motive:</w:t>
      </w:r>
    </w:p>
    <w:p w:rsidRPr="00C17D3D" w:rsidR="00C17D3D" w:rsidP="00C17D3D">
      <w:pPr>
        <w:spacing w:after="200" w:line="276" w:lineRule="auto"/>
        <w:ind w:firstLine="708"/>
        <w:jc w:val="both"/>
        <w:rPr>
          <w:rFonts w:eastAsia="Calibri"/>
          <w:color w:val="0B3857"/>
          <w:lang w:eastAsia="en-US"/>
        </w:rPr>
      </w:pPr>
      <w:r w:rsidRPr="00C17D3D">
        <w:rPr>
          <w:rFonts w:eastAsia="Calibri"/>
          <w:color w:val="0B3857"/>
          <w:lang w:eastAsia="en-US"/>
        </w:rPr>
        <w:t>Prezenta cerere de chemare în judecată este întemeiată pe dispozițiilor art. 8 din O.U.G. nr. 27/2003.</w:t>
      </w:r>
    </w:p>
    <w:p w:rsidRPr="00C17D3D" w:rsidR="00C17D3D" w:rsidP="00C17D3D">
      <w:pPr>
        <w:spacing w:after="200" w:line="276" w:lineRule="auto"/>
        <w:ind w:firstLine="708"/>
        <w:jc w:val="both"/>
        <w:rPr>
          <w:rFonts w:eastAsia="Calibri"/>
          <w:color w:val="0B3857"/>
          <w:lang w:eastAsia="en-US"/>
        </w:rPr>
      </w:pPr>
      <w:r w:rsidRPr="00C17D3D">
        <w:rPr>
          <w:rFonts w:eastAsia="Calibri"/>
          <w:color w:val="0B3857"/>
          <w:lang w:eastAsia="en-US"/>
        </w:rPr>
        <w:t>Din interpretarea coroborată a prevederilor alin. 1 și 4 ale acestui text legal, Curtea reține că în ipoteza în care autoritatea administrației publice nu răspunde sau refuză să elibereze documentul reclamatului care, în prealabil, s-a adresat autorității pârâte, aducându-i la cunoștință existența cazului de aprobare tacită și solicitându-i, totodată eliberarea prin registratură a documentului oficial prin care să se confirme faptul că nu a fost formulat în termenul prevăzut de lege nici un răspuns cu privire la solicitarea sa, poate fi promovată o acțiune prin care să se solicite obligarea pârâtei la eliberarea documentului oficial care prin care se permite solicitantului să desfășoare activitatea respectivă.</w:t>
      </w:r>
    </w:p>
    <w:p w:rsidRPr="00C17D3D" w:rsidR="00C17D3D" w:rsidP="00C17D3D">
      <w:pPr>
        <w:spacing w:after="200" w:line="276" w:lineRule="auto"/>
        <w:ind w:firstLine="708"/>
        <w:jc w:val="both"/>
        <w:rPr>
          <w:rFonts w:eastAsia="Calibri"/>
          <w:color w:val="0B3857"/>
          <w:lang w:eastAsia="en-US"/>
        </w:rPr>
      </w:pPr>
      <w:r w:rsidRPr="00C17D3D">
        <w:rPr>
          <w:rFonts w:eastAsia="Calibri"/>
          <w:color w:val="0B3857"/>
          <w:lang w:eastAsia="en-US"/>
        </w:rPr>
        <w:t>Potrivit prevederilor art. 10 alin. 2   din O.U.G. nr. 23/2007, într-o astfel de acțiune ( cum este cea din prezenta cauză ), autoritatea pârâtă poate invoca în apărarea sa doar existența unui răspuns adresat solicitantului autorizației în termenul prevăzut de lege sau, după caz, a notificării transmise potrivit art. 6 alin. 4 din același act normativ, respectiv dovada notificarea transmisă de către autoritate solicitantului în sensul de a remedia neregularitățile documentației depuse în vederea eliberării autorizației.</w:t>
      </w:r>
    </w:p>
    <w:p w:rsidRPr="00C17D3D" w:rsidR="00C17D3D" w:rsidP="00C17D3D">
      <w:pPr>
        <w:spacing w:after="200" w:line="276" w:lineRule="auto"/>
        <w:ind w:firstLine="708"/>
        <w:jc w:val="both"/>
        <w:rPr>
          <w:rFonts w:eastAsia="Calibri"/>
          <w:color w:val="0B3857"/>
          <w:lang w:eastAsia="en-US"/>
        </w:rPr>
      </w:pPr>
      <w:r w:rsidRPr="00C17D3D">
        <w:rPr>
          <w:rFonts w:eastAsia="Calibri"/>
          <w:color w:val="0B3857"/>
          <w:lang w:eastAsia="en-US"/>
        </w:rPr>
        <w:t xml:space="preserve">În speță, din analiza înscrisurilor depuse de către ambele părți, nu rezultă că autoritatea pârâtă a i-a comunicat reclamantei vreun răspuns sau o cerere de completare a documentației depuse. De altfel, cu ocazia dezbaterilor asupra fondului cauzei, la întrebarea instanței pârâta a precizat că nu a comunicat reclamantei un răspuns la cererea înregistrată sub nr. </w:t>
      </w:r>
      <w:r w:rsidR="00AA011F">
        <w:rPr>
          <w:rFonts w:eastAsia="Calibri"/>
          <w:color w:val="0B3857"/>
          <w:lang w:eastAsia="en-US"/>
        </w:rPr>
        <w:t>..........</w:t>
      </w:r>
      <w:r w:rsidRPr="00C17D3D">
        <w:rPr>
          <w:rFonts w:eastAsia="Calibri"/>
          <w:color w:val="0B3857"/>
          <w:lang w:eastAsia="en-US"/>
        </w:rPr>
        <w:t>/23.12.2014 prin care aceasta a solicitat să fie autorizată să desfășoare cursul „Siguranța și mentenanța sistemelor navale de înaltă tensiune – High Voltage Safety and Maitenance”.</w:t>
      </w:r>
    </w:p>
    <w:p w:rsidRPr="00C17D3D" w:rsidR="00C17D3D" w:rsidP="00C17D3D">
      <w:pPr>
        <w:spacing w:after="200" w:line="276" w:lineRule="auto"/>
        <w:ind w:firstLine="708"/>
        <w:jc w:val="both"/>
        <w:rPr>
          <w:rFonts w:eastAsia="Calibri"/>
          <w:color w:val="0B3857"/>
          <w:lang w:eastAsia="en-US"/>
        </w:rPr>
      </w:pPr>
      <w:r w:rsidRPr="00C17D3D">
        <w:rPr>
          <w:rFonts w:eastAsia="Calibri"/>
          <w:color w:val="0B3857"/>
          <w:lang w:eastAsia="en-US"/>
        </w:rPr>
        <w:t xml:space="preserve">În acest context, Curtea, date fiind dispozițiile art. 10 alin. 2 din O.U.G. nr. 27/2003, găsește lipsite de relevanță apărările formulate de către pârâtă în cuprinsul întâmpinării, în sensul că reclamanta nu este autorizată de Autoritatea Națională pentru Calificări și că pentru  cursul </w:t>
      </w:r>
      <w:r w:rsidRPr="00C17D3D">
        <w:rPr>
          <w:rFonts w:eastAsia="Calibri"/>
          <w:i/>
          <w:color w:val="0B3857"/>
          <w:lang w:eastAsia="en-US"/>
        </w:rPr>
        <w:t>High voltage</w:t>
      </w:r>
      <w:r w:rsidRPr="00C17D3D">
        <w:rPr>
          <w:rFonts w:eastAsia="Calibri"/>
          <w:color w:val="0B3857"/>
          <w:lang w:eastAsia="en-US"/>
        </w:rPr>
        <w:t xml:space="preserve"> nu e nevoie de aprobarea pârâtei întrucât nu suntem în prezența unui curs destinat ofițerilor în vederea emiterii sau prelungirii brevetelor, ci în prezența unui curs de perfecționare care se desfășoară exclusiv de către CERONAV, aceasta fiind singura instituție recunoscută de Ministerul Transporturilor pentru specializarea personalului navigant.</w:t>
      </w:r>
    </w:p>
    <w:p w:rsidRPr="00C17D3D" w:rsidR="00C17D3D" w:rsidP="00C17D3D">
      <w:pPr>
        <w:spacing w:after="200" w:line="276" w:lineRule="auto"/>
        <w:ind w:firstLine="708"/>
        <w:jc w:val="both"/>
        <w:rPr>
          <w:rFonts w:eastAsia="Calibri"/>
          <w:color w:val="0B3857"/>
          <w:lang w:eastAsia="en-US"/>
        </w:rPr>
      </w:pPr>
      <w:r w:rsidRPr="00C17D3D">
        <w:rPr>
          <w:rFonts w:eastAsia="Calibri"/>
          <w:color w:val="0B3857"/>
          <w:lang w:eastAsia="en-US"/>
        </w:rPr>
        <w:t>În plus, deși Curtea nu opinează în sensul că simpla omisiune a autorității de a răspunde solicitării îl îndrituiește pe reclamant la obținerea autorizației, în condițiile în care, potrivit prevederilor legale,  acesta nu ar fi necesară, totuși, în cauză, teza pe care o susține pârâta nu se verifică.</w:t>
      </w:r>
    </w:p>
    <w:p w:rsidRPr="00C17D3D" w:rsidR="00C17D3D" w:rsidP="00C17D3D">
      <w:pPr>
        <w:spacing w:after="200" w:line="276" w:lineRule="auto"/>
        <w:ind w:firstLine="708"/>
        <w:jc w:val="both"/>
        <w:rPr>
          <w:rFonts w:eastAsia="Calibri"/>
          <w:color w:val="0B3857"/>
          <w:lang w:eastAsia="en-US"/>
        </w:rPr>
      </w:pPr>
      <w:r w:rsidRPr="00C17D3D">
        <w:rPr>
          <w:rFonts w:eastAsia="Calibri"/>
          <w:color w:val="0B3857"/>
          <w:lang w:eastAsia="en-US"/>
        </w:rPr>
        <w:t>Astfel, potrivit Convenției STCW cu amendamentele de la Manila, în programele analitice de învățământ ale formatorilor educaționali au fost introduse noi cerințe referitoare la cunoștințele teoretice și practice ale ofițerului electrician, șefului mecanic/ofițerului mecanic secund referitoare la propulsia electrică a navelor, motoarelor electrice și sistemele de comandă, funcționarea în siguranță și întreținerea sistemelor de înaltă tensiune, incluzând cunoștințe ale tipurilor tehnice speciale ale sistemelor de înaltă tensiune și pericol rezultate din tensiuni de funcționare mai mari de 1.000 volți.</w:t>
      </w:r>
    </w:p>
    <w:p w:rsidRPr="00C17D3D" w:rsidR="00C17D3D" w:rsidP="00C17D3D">
      <w:pPr>
        <w:spacing w:after="200" w:line="276" w:lineRule="auto"/>
        <w:ind w:firstLine="708"/>
        <w:jc w:val="both"/>
        <w:rPr>
          <w:rFonts w:eastAsia="Calibri"/>
          <w:color w:val="0B3857"/>
          <w:lang w:eastAsia="en-US"/>
        </w:rPr>
      </w:pPr>
      <w:r w:rsidRPr="00C17D3D">
        <w:rPr>
          <w:rFonts w:eastAsia="Calibri"/>
          <w:color w:val="0B3857"/>
          <w:lang w:eastAsia="en-US"/>
        </w:rPr>
        <w:t>Așa cum afirmă chiar pârâta în cuprinsul întâmpinării ( f. 23, ultimul paragraf ), prin circulara STCW. 7/Circ.17 pct. 6.4 s-a impus tuturor formatorilor educaționali ca, începând cu data de 01.07.2013, programele analitice să cuprindă toate noile competențe.</w:t>
      </w:r>
    </w:p>
    <w:p w:rsidRPr="00C17D3D" w:rsidR="00C17D3D" w:rsidP="00C17D3D">
      <w:pPr>
        <w:spacing w:after="200" w:line="276" w:lineRule="auto"/>
        <w:ind w:firstLine="708"/>
        <w:jc w:val="both"/>
        <w:rPr>
          <w:rFonts w:eastAsia="Calibri"/>
          <w:color w:val="FF0000"/>
          <w:lang w:eastAsia="en-US"/>
        </w:rPr>
      </w:pPr>
      <w:r w:rsidRPr="00C17D3D">
        <w:rPr>
          <w:rFonts w:eastAsia="Calibri"/>
          <w:color w:val="0B3857"/>
          <w:lang w:eastAsia="en-US"/>
        </w:rPr>
        <w:t>Așadar, suntem în prezența unor cunoștințe apreciate ca fiind obligatorii în formarea profesională a categoriilor cărora li se adresează</w:t>
      </w:r>
      <w:r w:rsidRPr="00C17D3D">
        <w:rPr>
          <w:rFonts w:eastAsia="Calibri"/>
          <w:color w:val="FF0000"/>
          <w:lang w:eastAsia="en-US"/>
        </w:rPr>
        <w:t>.</w:t>
      </w:r>
    </w:p>
    <w:p w:rsidRPr="00C17D3D" w:rsidR="00C17D3D" w:rsidP="00C17D3D">
      <w:pPr>
        <w:spacing w:after="200" w:line="276" w:lineRule="auto"/>
        <w:ind w:firstLine="708"/>
        <w:jc w:val="both"/>
        <w:rPr>
          <w:rFonts w:eastAsia="Calibri"/>
          <w:color w:val="FF0000"/>
          <w:lang w:eastAsia="en-US"/>
        </w:rPr>
      </w:pPr>
      <w:r w:rsidRPr="00C17D3D">
        <w:rPr>
          <w:rFonts w:eastAsia="Calibri"/>
          <w:color w:val="0B3857"/>
          <w:lang w:eastAsia="en-US"/>
        </w:rPr>
        <w:t>Curtea constată că, în acord cu prevederile art. 11 din O.U.G. nr. 74/2006 pentru modificarea și completarea O.G. nr. 42/1997, a</w:t>
      </w:r>
      <w:r w:rsidRPr="00C17D3D">
        <w:rPr>
          <w:rFonts w:eastAsia="Calibri"/>
          <w:iCs/>
          <w:lang w:eastAsia="en-US"/>
        </w:rPr>
        <w:t xml:space="preserve">ctivităţile de educare privind pregătirea profesională şi perfecţionarea personalului navigant se desfăşoară prin furnizori de educaţie acreditaţi în condiţiile legii. De asemenea, potrivit alin. 3 din același text doar activitățile de perfecționare obligatorii sunt date în competența exclusivă a Centrul Român pentru Pregătirea şi Perfecţionarea Personalului din Transporturile Navale - CERONAV, instituţie publică aflată în subordinea Ministerului Transporturilor. </w:t>
      </w:r>
    </w:p>
    <w:p w:rsidRPr="00C17D3D" w:rsidR="00C17D3D" w:rsidP="00C17D3D">
      <w:pPr>
        <w:spacing w:after="200" w:line="276" w:lineRule="auto"/>
        <w:ind w:firstLine="708"/>
        <w:jc w:val="both"/>
        <w:rPr>
          <w:rFonts w:eastAsia="Calibri"/>
          <w:color w:val="FF0000"/>
          <w:lang w:eastAsia="en-US"/>
        </w:rPr>
      </w:pPr>
      <w:r w:rsidRPr="00C17D3D">
        <w:rPr>
          <w:rFonts w:eastAsia="Calibri"/>
          <w:iCs/>
          <w:lang w:eastAsia="en-US"/>
        </w:rPr>
        <w:t xml:space="preserve">Or, în cadrul Conferinței de la Manila prin amendamentele adoptate la Convenția și Codul STCW, începând cu data de 01.01.2017 personalul navigant care nu urmează cursul pentru care s-a solicitat aprobarea în prezenta cauză nu mai poate opera pe nave cu voltaj mai mare de 1000 volți, ceea ce duce la concluzia, așa cum s-a reținut și mai sus, că nu suntem în prezența unei forme de perfecționare, fiind vorba de o cerință necesară pentru </w:t>
      </w:r>
      <w:r w:rsidRPr="00C17D3D">
        <w:rPr>
          <w:rFonts w:eastAsia="Calibri"/>
          <w:lang w:eastAsia="en-US"/>
        </w:rPr>
        <w:t>menţinerea  valabilităţii brevetelor şi certificatelor de capacitate a personalului navigant care nu intră în competența exclusivă a CERONAV.</w:t>
      </w:r>
    </w:p>
    <w:p w:rsidRPr="00C17D3D" w:rsidR="00C17D3D" w:rsidP="00C17D3D">
      <w:pPr>
        <w:spacing w:after="200" w:line="276" w:lineRule="auto"/>
        <w:ind w:firstLine="708"/>
        <w:jc w:val="both"/>
        <w:rPr>
          <w:rFonts w:eastAsia="Calibri"/>
          <w:color w:val="FF0000"/>
          <w:lang w:eastAsia="en-US"/>
        </w:rPr>
      </w:pPr>
      <w:r w:rsidRPr="00C17D3D">
        <w:rPr>
          <w:rFonts w:eastAsia="Calibri"/>
          <w:lang w:eastAsia="en-US"/>
        </w:rPr>
        <w:t xml:space="preserve">Curtea nu poate reține nici apărările pârâtei în sensul că  pentru desfășurarea cursului </w:t>
      </w:r>
      <w:r w:rsidRPr="00C17D3D">
        <w:rPr>
          <w:rFonts w:eastAsia="Calibri"/>
          <w:i/>
          <w:lang w:eastAsia="en-US"/>
        </w:rPr>
        <w:t>High voltage</w:t>
      </w:r>
      <w:r w:rsidRPr="00C17D3D">
        <w:rPr>
          <w:rFonts w:eastAsia="Calibri"/>
          <w:lang w:eastAsia="en-US"/>
        </w:rPr>
        <w:t xml:space="preserve"> nu este necesară o aprobare specială întrucât, pe de-o parte nu a dezvoltat în susținerea acestui punct de vedere un argument juridic care să aibă la bază vreun text de lege, iar, pe de altă parte, așa cum rezultă din documentele de aprobare de la filele 139 și 140, o astfel de aprobare a fost dată chiar de către pârâtă CERONAV.</w:t>
      </w:r>
    </w:p>
    <w:p w:rsidRPr="00C17D3D" w:rsidR="00C17D3D" w:rsidP="00C17D3D">
      <w:pPr>
        <w:spacing w:after="200" w:line="276" w:lineRule="auto"/>
        <w:ind w:firstLine="708"/>
        <w:jc w:val="both"/>
        <w:rPr>
          <w:rFonts w:eastAsia="Calibri"/>
          <w:iCs/>
          <w:lang w:eastAsia="en-US"/>
        </w:rPr>
      </w:pPr>
      <w:r w:rsidRPr="00C17D3D">
        <w:rPr>
          <w:rFonts w:eastAsia="Calibri"/>
          <w:lang w:eastAsia="en-US"/>
        </w:rPr>
        <w:t xml:space="preserve">De asemenea, nici apărările care fac referire la </w:t>
      </w:r>
      <w:r w:rsidRPr="00C17D3D">
        <w:rPr>
          <w:rFonts w:eastAsia="Calibri"/>
          <w:color w:val="333333"/>
          <w:lang w:eastAsia="en-US"/>
        </w:rPr>
        <w:t xml:space="preserve">Ordinul nr. 936/448/2016 privind modificarea şi completarea Clasificării ocupaţiilor din România - nivel de ocupaţie, prin care s-au radiat ocupaţiile "ofiţer electrician maritim", cod COR 315105 și </w:t>
      </w:r>
      <w:r w:rsidRPr="00C17D3D">
        <w:rPr>
          <w:color w:val="333333"/>
        </w:rPr>
        <w:t xml:space="preserve">"ofiţer mecanic maritim", cod COR 315106, nu pot fi reținute întrucât, în optica instanței, nu prezintă relevanță dacă ocupația are o denumire sau alta, ci faptul că personalul navigant care își desfășoară activitatea pe </w:t>
      </w:r>
      <w:r w:rsidRPr="00C17D3D">
        <w:rPr>
          <w:rFonts w:eastAsia="Calibri"/>
          <w:iCs/>
          <w:lang w:eastAsia="en-US"/>
        </w:rPr>
        <w:t>nave cu voltaj mai mare de 1000 volți trebuie să aibă un anumit standard de pregătire.</w:t>
      </w:r>
    </w:p>
    <w:p w:rsidRPr="00C17D3D" w:rsidR="00C17D3D" w:rsidP="00C17D3D">
      <w:pPr>
        <w:spacing w:after="200" w:line="276" w:lineRule="auto"/>
        <w:ind w:firstLine="567"/>
        <w:jc w:val="both"/>
      </w:pPr>
      <w:r w:rsidRPr="00C17D3D">
        <w:rPr>
          <w:rFonts w:eastAsia="Calibri"/>
          <w:iCs/>
          <w:lang w:eastAsia="en-US"/>
        </w:rPr>
        <w:t xml:space="preserve">Pentru motivele expuse, Curtea va </w:t>
      </w:r>
      <w:r w:rsidRPr="00C17D3D">
        <w:t xml:space="preserve">admite acţiunea și va obliga pârâta să elibereze documentul oficial prin care se autorizează reclamanta să desfăşoare cursul "Siguranţa şi mentenanţa sistemelor navale de înaltă tensiune - High Voltage Safety and Maintenance". </w:t>
      </w:r>
    </w:p>
    <w:p w:rsidR="005B1C7A" w:rsidP="00C17D3D">
      <w:pPr>
        <w:spacing w:after="200" w:line="276" w:lineRule="auto"/>
        <w:ind w:firstLine="567"/>
        <w:jc w:val="center"/>
      </w:pPr>
    </w:p>
    <w:p w:rsidRPr="00C17D3D" w:rsidR="00C17D3D" w:rsidP="00C17D3D">
      <w:pPr>
        <w:spacing w:after="200" w:line="276" w:lineRule="auto"/>
        <w:ind w:firstLine="567"/>
        <w:jc w:val="center"/>
      </w:pPr>
      <w:r w:rsidRPr="00C17D3D">
        <w:t>PENTRU ACESTE MOTIVE</w:t>
      </w:r>
    </w:p>
    <w:p w:rsidRPr="00C17D3D" w:rsidR="00C17D3D" w:rsidP="00C17D3D">
      <w:pPr>
        <w:spacing w:after="200" w:line="276" w:lineRule="auto"/>
        <w:ind w:firstLine="567"/>
        <w:jc w:val="center"/>
      </w:pPr>
      <w:r w:rsidRPr="00C17D3D">
        <w:t>ÎN NUMELE LEGII</w:t>
      </w:r>
    </w:p>
    <w:p w:rsidRPr="00C17D3D" w:rsidR="00C17D3D" w:rsidP="00C17D3D">
      <w:pPr>
        <w:spacing w:after="200" w:line="276" w:lineRule="auto"/>
        <w:ind w:firstLine="567"/>
        <w:jc w:val="center"/>
      </w:pPr>
      <w:r w:rsidRPr="00C17D3D">
        <w:t>HOTĂRĂŞTE:</w:t>
      </w:r>
    </w:p>
    <w:p w:rsidR="005B1C7A" w:rsidP="00C17D3D">
      <w:pPr>
        <w:spacing w:after="200" w:line="276" w:lineRule="auto"/>
        <w:ind w:firstLine="567"/>
        <w:jc w:val="both"/>
      </w:pPr>
    </w:p>
    <w:p w:rsidRPr="00C17D3D" w:rsidR="00C17D3D" w:rsidP="00C17D3D">
      <w:pPr>
        <w:spacing w:after="200" w:line="276" w:lineRule="auto"/>
        <w:ind w:firstLine="567"/>
        <w:jc w:val="both"/>
      </w:pPr>
      <w:r w:rsidRPr="00C17D3D">
        <w:t xml:space="preserve">Respinge excepţia lipsei calităţii procesuale pasive ca neîntemeiată. </w:t>
      </w:r>
    </w:p>
    <w:p w:rsidRPr="00C17D3D" w:rsidR="00C17D3D" w:rsidP="00C17D3D">
      <w:pPr>
        <w:spacing w:after="200" w:line="276" w:lineRule="auto"/>
        <w:ind w:firstLine="567"/>
        <w:jc w:val="both"/>
      </w:pPr>
      <w:r w:rsidRPr="00C17D3D">
        <w:t xml:space="preserve">Admite acţiunea formulată de reclamanta </w:t>
      </w:r>
      <w:r w:rsidRPr="00C17D3D">
        <w:rPr>
          <w:b/>
        </w:rPr>
        <w:t xml:space="preserve">ASOCIAŢIA </w:t>
      </w:r>
      <w:r w:rsidR="00AA011F">
        <w:rPr>
          <w:b/>
        </w:rPr>
        <w:t>AB</w:t>
      </w:r>
      <w:r w:rsidRPr="00C17D3D">
        <w:t>, cu sediul ales pentru comunicarea actelor la Cabinet de Avocat</w:t>
      </w:r>
      <w:r w:rsidR="00751333">
        <w:t xml:space="preserve"> CD</w:t>
      </w:r>
      <w:r w:rsidRPr="00C17D3D">
        <w:t xml:space="preserve">, </w:t>
      </w:r>
      <w:r w:rsidR="00751333">
        <w:t>...........</w:t>
      </w:r>
      <w:r w:rsidRPr="00C17D3D">
        <w:t>, str.</w:t>
      </w:r>
      <w:r w:rsidR="00751333">
        <w:t>........, nr.........</w:t>
      </w:r>
      <w:r w:rsidRPr="00C17D3D">
        <w:t xml:space="preserve">, </w:t>
      </w:r>
      <w:r w:rsidR="00751333">
        <w:t>...........</w:t>
      </w:r>
      <w:r w:rsidRPr="00C17D3D">
        <w:t xml:space="preserve">, în contradictoriu cu pârâta </w:t>
      </w:r>
      <w:r w:rsidRPr="00C17D3D">
        <w:rPr>
          <w:b/>
        </w:rPr>
        <w:t>AUTORITATEA NAVALĂ ROMÂNĂ</w:t>
      </w:r>
      <w:r w:rsidRPr="00C17D3D">
        <w:t>, cu sediul în</w:t>
      </w:r>
      <w:r w:rsidR="00751333">
        <w:t>...........</w:t>
      </w:r>
      <w:r w:rsidRPr="00C17D3D">
        <w:t>, Incinta</w:t>
      </w:r>
      <w:r w:rsidR="00751333">
        <w:t>......., Clădirea ........, nr.......</w:t>
      </w:r>
      <w:r w:rsidRPr="00C17D3D">
        <w:t xml:space="preserve">, Judeţ </w:t>
      </w:r>
      <w:r w:rsidR="00751333">
        <w:t>........</w:t>
      </w:r>
      <w:r w:rsidRPr="00C17D3D">
        <w:t xml:space="preserve">. </w:t>
      </w:r>
    </w:p>
    <w:p w:rsidRPr="00C17D3D" w:rsidR="00C17D3D" w:rsidP="00C17D3D">
      <w:pPr>
        <w:spacing w:after="200" w:line="276" w:lineRule="auto"/>
        <w:ind w:firstLine="567"/>
        <w:jc w:val="both"/>
      </w:pPr>
      <w:r w:rsidRPr="00C17D3D">
        <w:t xml:space="preserve">Obligă pârâta să elibereze documentul oficial prin care se autorizează reclamanta să desfăşoare cursul "Siguranţa şi mentenanţa sistemelor navale de înaltă tensiune - High Voltage Safety and Maintenance". </w:t>
      </w:r>
    </w:p>
    <w:p w:rsidRPr="00C17D3D" w:rsidR="00C17D3D" w:rsidP="00C17D3D">
      <w:pPr>
        <w:spacing w:after="200" w:line="276" w:lineRule="auto"/>
        <w:ind w:firstLine="567"/>
        <w:jc w:val="both"/>
      </w:pPr>
      <w:r w:rsidRPr="00C17D3D">
        <w:t xml:space="preserve">Definitivă. </w:t>
      </w:r>
    </w:p>
    <w:p w:rsidRPr="00C17D3D" w:rsidR="00C17D3D" w:rsidP="00C17D3D">
      <w:pPr>
        <w:spacing w:after="200" w:line="276" w:lineRule="auto"/>
        <w:ind w:firstLine="567"/>
        <w:jc w:val="both"/>
      </w:pPr>
      <w:r w:rsidRPr="00C17D3D">
        <w:t xml:space="preserve">Pronunţată azi, </w:t>
      </w:r>
      <w:r w:rsidR="00AA011F">
        <w:t>............</w:t>
      </w:r>
      <w:r w:rsidRPr="00C17D3D">
        <w:t>, prin punerea soluţiei la dispoziţia părţilor prin mijlocirea grefei instanţei.</w:t>
      </w:r>
    </w:p>
    <w:p w:rsidRPr="00C17D3D" w:rsidR="00C17D3D" w:rsidP="00C17D3D">
      <w:pPr>
        <w:spacing w:after="200" w:line="276" w:lineRule="auto"/>
        <w:ind w:firstLine="567"/>
        <w:jc w:val="both"/>
      </w:pPr>
      <w:r w:rsidRPr="00C17D3D">
        <w:t>PREŞEDINTE,</w:t>
        <w:tab/>
        <w:t xml:space="preserve">                                         </w:t>
        <w:tab/>
        <w:tab/>
        <w:tab/>
        <w:t xml:space="preserve">            GREFIER,</w:t>
      </w:r>
    </w:p>
    <w:p w:rsidRPr="00C17D3D" w:rsidR="00C17D3D" w:rsidP="00C17D3D">
      <w:pPr>
        <w:jc w:val="both"/>
      </w:pPr>
      <w:r w:rsidRPr="00C17D3D">
        <w:t xml:space="preserve">     </w:t>
      </w:r>
      <w:r w:rsidR="00751333">
        <w:t>CANDIDAT A0009</w:t>
      </w:r>
      <w:r w:rsidRPr="00C17D3D">
        <w:tab/>
        <w:tab/>
        <w:tab/>
        <w:tab/>
        <w:tab/>
        <w:tab/>
        <w:t xml:space="preserve">          </w:t>
      </w:r>
      <w:r w:rsidR="00AA011F">
        <w:t>..............</w:t>
      </w:r>
    </w:p>
    <w:p w:rsidRPr="00C17D3D" w:rsidR="00C17D3D" w:rsidP="00C17D3D">
      <w:pPr>
        <w:jc w:val="both"/>
      </w:pPr>
    </w:p>
    <w:p w:rsidRPr="00C17D3D" w:rsidR="00C17D3D" w:rsidP="00C17D3D"/>
    <w:p w:rsidRPr="00C17D3D" w:rsidR="00C17D3D" w:rsidP="00C17D3D"/>
    <w:p w:rsidRPr="00C17D3D" w:rsidR="00C17D3D" w:rsidP="00C17D3D">
      <w:pPr>
        <w:rPr>
          <w:sz w:val="16"/>
          <w:szCs w:val="16"/>
        </w:rPr>
      </w:pPr>
      <w:r w:rsidR="00751333">
        <w:rPr>
          <w:sz w:val="16"/>
          <w:szCs w:val="16"/>
        </w:rPr>
        <w:t>Red.CANDIDAT A0009</w:t>
      </w:r>
      <w:r w:rsidRPr="00C17D3D">
        <w:rPr>
          <w:sz w:val="16"/>
          <w:szCs w:val="16"/>
        </w:rPr>
        <w:t>/4ex.</w:t>
      </w:r>
    </w:p>
    <w:p w:rsidRPr="00C17D3D" w:rsidR="00C17D3D" w:rsidP="00C17D3D">
      <w:pPr>
        <w:rPr>
          <w:sz w:val="16"/>
          <w:szCs w:val="16"/>
        </w:rPr>
      </w:pPr>
    </w:p>
    <w:p w:rsidRPr="00C17D3D" w:rsidR="00C17D3D" w:rsidP="00C17D3D">
      <w:pPr>
        <w:rPr>
          <w:sz w:val="16"/>
          <w:szCs w:val="16"/>
        </w:rPr>
      </w:pPr>
    </w:p>
    <w:p w:rsidRPr="00C17D3D" w:rsidR="00C17D3D" w:rsidP="00C17D3D">
      <w:pPr>
        <w:rPr>
          <w:sz w:val="20"/>
          <w:szCs w:val="20"/>
        </w:rPr>
      </w:pPr>
    </w:p>
    <w:p w:rsidRPr="00C17D3D" w:rsidR="00C17D3D" w:rsidP="00C17D3D">
      <w:pPr>
        <w:rPr>
          <w:sz w:val="20"/>
          <w:szCs w:val="20"/>
        </w:rPr>
      </w:pPr>
    </w:p>
    <w:p w:rsidR="00090D1C" w:rsidP="00C17D3D">
      <w:pPr>
        <w:jc w:val="center"/>
        <w:rPr>
          <w:rFonts w:ascii="Garamond" w:hAnsi="Garamond"/>
          <w:sz w:val="16"/>
          <w:szCs w:val="15"/>
        </w:rPr>
      </w:pPr>
    </w:p>
    <w:sectPr w:rsidSect="009847E9">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05955"/>
    <w:rsid w:val="000654FD"/>
    <w:rsid w:val="00074F1D"/>
    <w:rsid w:val="00084103"/>
    <w:rsid w:val="00090D1C"/>
    <w:rsid w:val="00190DF5"/>
    <w:rsid w:val="00230098"/>
    <w:rsid w:val="00236F8B"/>
    <w:rsid w:val="0030362A"/>
    <w:rsid w:val="00310770"/>
    <w:rsid w:val="003676FC"/>
    <w:rsid w:val="00434264"/>
    <w:rsid w:val="004362D5"/>
    <w:rsid w:val="00444EB7"/>
    <w:rsid w:val="00483536"/>
    <w:rsid w:val="005B1C7A"/>
    <w:rsid w:val="005E0080"/>
    <w:rsid w:val="00751333"/>
    <w:rsid w:val="008D6F98"/>
    <w:rsid w:val="00902C7A"/>
    <w:rsid w:val="00982CB8"/>
    <w:rsid w:val="009847E9"/>
    <w:rsid w:val="009876B0"/>
    <w:rsid w:val="009B7961"/>
    <w:rsid w:val="009F300F"/>
    <w:rsid w:val="00A115F1"/>
    <w:rsid w:val="00A56F73"/>
    <w:rsid w:val="00A74B82"/>
    <w:rsid w:val="00AA011F"/>
    <w:rsid w:val="00BC4A1A"/>
    <w:rsid w:val="00BC5260"/>
    <w:rsid w:val="00BF0E6F"/>
    <w:rsid w:val="00C17D3D"/>
    <w:rsid w:val="00D166E2"/>
    <w:rsid w:val="00E31EE2"/>
    <w:rsid w:val="00F035C2"/>
  </w:rsids>
  <w:docVars>
    <w:docVar w:name="url" w:val="http://10.1.48.53:80/ecris_cdms/document_upload.aspx?id_document=200000002498954&amp;id_departament=5&amp;id_sesiune=2116512&amp;id_user=92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19</ap:TotalTime>
  <ap:Pages>6</ap:Pages>
  <ap:Words>2302</ap:Words>
  <ap:Characters>13352</ap:Characters>
  <ap:Application>Microsoft Office Word</ap:Application>
  <ap:DocSecurity>0</ap:DocSecurity>
  <ap:Lines>111</ap:Lines>
  <ap:Paragraphs>31</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15623</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2017-01-14T17:50:00.0000000Z</lastPrinted>
  <dc:subject/>
  <dc:description/>
  <keywords/>
  <category/>
  <contentStatus/>
  <dc:identifier/>
  <dc:language/>
  <version/>
</coreProperties>
</file>