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FF7257" w:rsidR="00FF7257" w:rsidRDefault="00FF7257">
      <w:pPr>
        <w:rPr>
          <w:b/>
        </w:rPr>
      </w:pPr>
      <w:bookmarkStart w:name="_GoBack" w:id="0"/>
      <w:r w:rsidRPr="00FF7257">
        <w:rPr>
          <w:b/>
        </w:rPr>
        <w:t>Hot. 29</w:t>
      </w:r>
    </w:p>
    <w:bookmarkEnd w:id="0"/>
    <w:p w:rsidR="00AB64EC" w:rsidRDefault="0020569A">
      <w:r>
        <w:t>Prezentul document este supus reglementărilor aflate sub incidenţa Regulamentului U.E. 2016/679</w:t>
      </w:r>
    </w:p>
    <w:p w:rsidR="00AB64EC" w:rsidRDefault="0020569A">
      <w:r>
        <w:t>Cod ECLI    ECLI:RO:CA</w:t>
      </w:r>
      <w:r w:rsidR="00E737CA">
        <w:t>...</w:t>
      </w:r>
    </w:p>
    <w:p w:rsidR="00AB64EC" w:rsidRDefault="0020569A">
      <w:r>
        <w:t xml:space="preserve">Dosar nr. </w:t>
      </w:r>
      <w:r w:rsidR="00E737CA">
        <w:t>1</w:t>
      </w:r>
    </w:p>
    <w:p w:rsidR="00AB64EC" w:rsidRDefault="0020569A">
      <w:pPr>
        <w:jc w:val="center"/>
      </w:pPr>
      <w:r>
        <w:t>R O M Â N I A</w:t>
      </w:r>
    </w:p>
    <w:p w:rsidR="00AB64EC" w:rsidRDefault="0020569A">
      <w:pPr>
        <w:jc w:val="center"/>
      </w:pPr>
      <w:r>
        <w:t xml:space="preserve">CURTEA DE APEL </w:t>
      </w:r>
      <w:r w:rsidR="00E737CA">
        <w:t>X</w:t>
      </w:r>
    </w:p>
    <w:p w:rsidR="00AB64EC" w:rsidRDefault="0020569A">
      <w:pPr>
        <w:jc w:val="center"/>
        <w:rPr>
          <w:rStyle w:val="Fontdeparagrafimplicit"/>
          <w:lang w:val="en-US"/>
        </w:rPr>
      </w:pPr>
      <w:r>
        <w:t xml:space="preserve">SECŢIA </w:t>
      </w:r>
      <w:r w:rsidR="00E737CA">
        <w:t>...</w:t>
      </w:r>
    </w:p>
    <w:p w:rsidR="00AB64EC" w:rsidRDefault="00AB64EC">
      <w:pPr>
        <w:rPr>
          <w:rStyle w:val="Fontdeparagrafimplicit"/>
        </w:rPr>
      </w:pPr>
    </w:p>
    <w:p w:rsidR="00AB64EC" w:rsidRDefault="0020569A">
      <w:pPr>
        <w:ind w:left="-284" w:right="-426"/>
        <w:jc w:val="center"/>
        <w:rPr>
          <w:rStyle w:val="Fontdeparagrafimplicit"/>
          <w:b/>
        </w:rPr>
      </w:pPr>
      <w:r>
        <w:rPr>
          <w:rStyle w:val="Fontdeparagrafimplicit"/>
          <w:b/>
        </w:rPr>
        <w:t xml:space="preserve">DECIZIA PENALĂ NR. </w:t>
      </w:r>
      <w:r w:rsidR="00E737CA">
        <w:rPr>
          <w:rStyle w:val="Fontdeparagrafimplicit"/>
          <w:b/>
        </w:rPr>
        <w:t>2</w:t>
      </w:r>
    </w:p>
    <w:p w:rsidR="00AB64EC" w:rsidRDefault="0020569A">
      <w:pPr>
        <w:ind w:left="-284" w:right="-426"/>
        <w:jc w:val="center"/>
      </w:pPr>
      <w:r>
        <w:t xml:space="preserve">Şedinţa publică din </w:t>
      </w:r>
      <w:r w:rsidR="00E737CA">
        <w:t>...</w:t>
      </w:r>
    </w:p>
    <w:p w:rsidR="00AB64EC" w:rsidRDefault="0020569A">
      <w:pPr>
        <w:jc w:val="center"/>
      </w:pPr>
      <w:r>
        <w:t>Instanţa constituită din:</w:t>
      </w:r>
    </w:p>
    <w:p w:rsidR="00AB64EC" w:rsidRDefault="0020569A">
      <w:pPr>
        <w:ind w:left="1416" w:firstLine="204"/>
        <w:jc w:val="both"/>
      </w:pPr>
      <w:r>
        <w:t xml:space="preserve">PREŞEDINTE  </w:t>
      </w:r>
      <w:r>
        <w:tab/>
        <w:t xml:space="preserve">: </w:t>
      </w:r>
      <w:r w:rsidR="00E737CA">
        <w:t>A0004</w:t>
      </w:r>
      <w:r>
        <w:t xml:space="preserve">, judecător </w:t>
      </w:r>
    </w:p>
    <w:p w:rsidR="00AB64EC" w:rsidRDefault="0020569A">
      <w:pPr>
        <w:ind w:left="1416" w:firstLine="204"/>
        <w:jc w:val="both"/>
      </w:pPr>
      <w:r>
        <w:t xml:space="preserve">JUDECĂTOR </w:t>
      </w:r>
      <w:r>
        <w:tab/>
        <w:t xml:space="preserve">: </w:t>
      </w:r>
      <w:r w:rsidR="00E737CA">
        <w:t>...</w:t>
      </w:r>
    </w:p>
    <w:p w:rsidR="00AB64EC" w:rsidRDefault="0020569A">
      <w:pPr>
        <w:ind w:left="1416" w:firstLine="204"/>
        <w:jc w:val="both"/>
      </w:pPr>
      <w:r>
        <w:t xml:space="preserve">GREFIER </w:t>
      </w:r>
      <w:r>
        <w:tab/>
      </w:r>
      <w:r>
        <w:tab/>
        <w:t xml:space="preserve">: </w:t>
      </w:r>
      <w:r w:rsidR="00E737CA">
        <w:t>...</w:t>
      </w:r>
    </w:p>
    <w:p w:rsidR="00AB64EC" w:rsidRDefault="00AB64EC">
      <w:pPr>
        <w:ind w:left="1416" w:firstLine="708"/>
        <w:jc w:val="both"/>
      </w:pPr>
    </w:p>
    <w:p w:rsidR="00AB64EC" w:rsidRDefault="0020569A">
      <w:pPr>
        <w:ind w:firstLine="708"/>
        <w:jc w:val="center"/>
      </w:pPr>
      <w:r>
        <w:t xml:space="preserve">Ministerul Public reprezentat prin </w:t>
      </w:r>
      <w:r w:rsidR="00E737CA">
        <w:t>...</w:t>
      </w:r>
      <w:r>
        <w:t xml:space="preserve"> – procuror,</w:t>
      </w:r>
    </w:p>
    <w:p w:rsidR="00AB64EC" w:rsidRDefault="0020569A">
      <w:pPr>
        <w:ind w:firstLine="708"/>
        <w:jc w:val="center"/>
      </w:pPr>
      <w:r>
        <w:t xml:space="preserve">din cadrul Parchetului de pe lângă Curtea de Apel </w:t>
      </w:r>
      <w:r w:rsidR="00E737CA">
        <w:t>X</w:t>
      </w:r>
    </w:p>
    <w:p w:rsidR="00AB64EC" w:rsidRDefault="00AB64EC">
      <w:pPr>
        <w:keepNext/>
        <w:ind w:left="-284" w:right="-426"/>
        <w:outlineLvl w:val="1"/>
      </w:pPr>
    </w:p>
    <w:p w:rsidR="00AB64EC" w:rsidRDefault="0020569A">
      <w:pPr>
        <w:ind w:left="-284" w:right="-426" w:firstLine="708"/>
        <w:jc w:val="both"/>
      </w:pPr>
      <w:r>
        <w:t xml:space="preserve">S-a luat spre examinare soluţionarea contestaţiei în anulare privind pe contestatorul </w:t>
      </w:r>
      <w:r w:rsidR="00E737CA">
        <w:rPr>
          <w:rStyle w:val="Fontdeparagrafimplicit"/>
          <w:b/>
        </w:rPr>
        <w:t>C</w:t>
      </w:r>
      <w:r>
        <w:t xml:space="preserve">, împotriva deciziei penale nr. </w:t>
      </w:r>
      <w:r w:rsidR="00E737CA">
        <w:t>3</w:t>
      </w:r>
      <w:r>
        <w:t xml:space="preserve"> pronunţată de către Curtea de Apel </w:t>
      </w:r>
      <w:r w:rsidR="00E737CA">
        <w:t>X</w:t>
      </w:r>
      <w:r>
        <w:t xml:space="preserve"> în dosarul nr. </w:t>
      </w:r>
      <w:r w:rsidR="00E737CA">
        <w:t>4</w:t>
      </w:r>
      <w:r>
        <w:t>.</w:t>
      </w:r>
    </w:p>
    <w:p w:rsidR="00AB64EC" w:rsidRDefault="0020569A">
      <w:pPr>
        <w:ind w:left="-284" w:right="-426" w:firstLine="708"/>
        <w:jc w:val="both"/>
      </w:pPr>
      <w:r>
        <w:t>La apelul nominal efectuat în şedinţă publică se constată că nu se prezintă participanţii.</w:t>
      </w:r>
    </w:p>
    <w:p w:rsidR="00AB64EC" w:rsidRDefault="0020569A">
      <w:pPr>
        <w:ind w:left="-284" w:right="-426" w:firstLine="708"/>
        <w:jc w:val="both"/>
      </w:pPr>
      <w:r>
        <w:t xml:space="preserve">Derularea, finalizarea dezbaterilor şi cuvântul pe fond al participanţilor s-a consemnat în încheierea de şedinţă din data de </w:t>
      </w:r>
      <w:r w:rsidR="00E737CA">
        <w:t>...</w:t>
      </w:r>
      <w:r>
        <w:t xml:space="preserve">, când participanţii prezenţi au pus concluzii în dezbaterea admisibilităţii contestaţiei în anulare formulate, conform încheierii de şedinţă de la acea dată, încheiere ce face parte integrantă din prezenta hotărâre, deliberarea şi pronunţarea amânându-se pentru data de </w:t>
      </w:r>
      <w:r w:rsidR="00E737CA">
        <w:t>...</w:t>
      </w:r>
      <w:r>
        <w:t xml:space="preserve">, când s-a dispus amânarea pronunţării pentru data de azi, </w:t>
      </w:r>
      <w:r w:rsidR="00E737CA">
        <w:t>...</w:t>
      </w:r>
      <w:r>
        <w:t xml:space="preserve">, hotărându-se următoarele: </w:t>
      </w:r>
    </w:p>
    <w:p w:rsidR="00AB64EC" w:rsidRDefault="00AB64EC">
      <w:pPr>
        <w:tabs>
          <w:tab w:val="left" w:pos="720"/>
        </w:tabs>
        <w:ind w:left="-284" w:right="-426" w:firstLine="708"/>
        <w:jc w:val="center"/>
      </w:pPr>
    </w:p>
    <w:p w:rsidR="00AB64EC" w:rsidRDefault="0020569A">
      <w:pPr>
        <w:tabs>
          <w:tab w:val="left" w:pos="720"/>
        </w:tabs>
        <w:ind w:left="-284" w:right="-426"/>
        <w:jc w:val="center"/>
      </w:pPr>
      <w:r>
        <w:t>C U R T E A:</w:t>
      </w:r>
    </w:p>
    <w:p w:rsidR="00AB64EC" w:rsidRDefault="00AB64EC">
      <w:pPr>
        <w:tabs>
          <w:tab w:val="left" w:pos="720"/>
        </w:tabs>
        <w:ind w:left="-284" w:right="-426"/>
        <w:jc w:val="both"/>
      </w:pPr>
    </w:p>
    <w:p w:rsidR="00AB64EC" w:rsidRDefault="0020569A">
      <w:pPr>
        <w:ind w:left="-284" w:right="-426" w:firstLine="720"/>
        <w:jc w:val="both"/>
        <w:rPr>
          <w:rStyle w:val="Fontdeparagrafimplicit"/>
          <w:b/>
        </w:rPr>
      </w:pPr>
      <w:r>
        <w:rPr>
          <w:rStyle w:val="Fontdeparagrafimplicit"/>
          <w:b/>
        </w:rPr>
        <w:t>Asupra contestaţiei în anulare de faţă,</w:t>
      </w:r>
    </w:p>
    <w:p w:rsidR="00AB64EC" w:rsidRDefault="0020569A">
      <w:pPr>
        <w:ind w:left="-284" w:right="-426" w:firstLine="720"/>
        <w:jc w:val="both"/>
      </w:pPr>
      <w:r>
        <w:rPr>
          <w:rStyle w:val="Fontdeparagrafimplicit"/>
          <w:i/>
        </w:rPr>
        <w:t xml:space="preserve">Prin Decizia penală nr. </w:t>
      </w:r>
      <w:r w:rsidR="00E737CA">
        <w:rPr>
          <w:rStyle w:val="Fontdeparagrafimplicit"/>
          <w:i/>
        </w:rPr>
        <w:t>3</w:t>
      </w:r>
      <w:r>
        <w:rPr>
          <w:rStyle w:val="Fontdeparagrafimplicit"/>
          <w:i/>
        </w:rPr>
        <w:t xml:space="preserve">, pronunţată în dosarul nr. </w:t>
      </w:r>
      <w:r w:rsidR="00E737CA">
        <w:rPr>
          <w:rStyle w:val="Fontdeparagrafimplicit"/>
          <w:i/>
        </w:rPr>
        <w:t>4</w:t>
      </w:r>
      <w:r>
        <w:rPr>
          <w:rStyle w:val="Fontdeparagrafimplicit"/>
          <w:i/>
        </w:rPr>
        <w:t xml:space="preserve"> al Curţii de Apel </w:t>
      </w:r>
      <w:r w:rsidR="00E737CA">
        <w:rPr>
          <w:rStyle w:val="Fontdeparagrafimplicit"/>
          <w:i/>
        </w:rPr>
        <w:t>X</w:t>
      </w:r>
      <w:r>
        <w:rPr>
          <w:rStyle w:val="Fontdeparagrafimplicit"/>
          <w:i/>
        </w:rPr>
        <w:t>,</w:t>
      </w:r>
      <w:r>
        <w:t xml:space="preserve"> s-au respins ca nefondate apelurile declarate de inculpaţii </w:t>
      </w:r>
      <w:r w:rsidR="00E737CA">
        <w:t>I</w:t>
      </w:r>
      <w:r>
        <w:t xml:space="preserve"> şi </w:t>
      </w:r>
      <w:r w:rsidR="00E737CA">
        <w:t>C</w:t>
      </w:r>
      <w:r>
        <w:t xml:space="preserve"> împotriva sentinţei penale nr. </w:t>
      </w:r>
      <w:r w:rsidR="00E737CA">
        <w:t>5</w:t>
      </w:r>
      <w:r>
        <w:t xml:space="preserve"> din data de </w:t>
      </w:r>
      <w:r w:rsidR="00E737CA">
        <w:t>...</w:t>
      </w:r>
      <w:r>
        <w:t xml:space="preserve"> a Judecătoriei </w:t>
      </w:r>
      <w:r w:rsidR="00E737CA">
        <w:t>Y</w:t>
      </w:r>
      <w:r>
        <w:t>.</w:t>
      </w:r>
    </w:p>
    <w:p w:rsidR="00AB64EC" w:rsidRDefault="0020569A">
      <w:pPr>
        <w:ind w:left="-284" w:right="-426" w:firstLine="720"/>
        <w:jc w:val="both"/>
      </w:pPr>
      <w:r>
        <w:t>Au fost obligaţi inculpaţii la plata sumei de câte 300 lei cheltuieli judiciare în apel în favoarea statului.</w:t>
      </w:r>
    </w:p>
    <w:p w:rsidR="00AB64EC" w:rsidRDefault="0020569A">
      <w:pPr>
        <w:ind w:left="-284" w:right="-426" w:firstLine="708"/>
        <w:jc w:val="both"/>
      </w:pPr>
      <w:r>
        <w:t xml:space="preserve">Împotriva acestei sentinţe au formulat apel inculpaţii </w:t>
      </w:r>
      <w:r w:rsidR="00E737CA">
        <w:t>I</w:t>
      </w:r>
      <w:r>
        <w:t xml:space="preserve"> şi </w:t>
      </w:r>
      <w:r w:rsidR="00E737CA">
        <w:t>C</w:t>
      </w:r>
      <w:r>
        <w:t>, ambii solicitând</w:t>
      </w:r>
      <w:r>
        <w:rPr>
          <w:rStyle w:val="Fontdeparagrafimplicit"/>
          <w:b/>
        </w:rPr>
        <w:t xml:space="preserve"> </w:t>
      </w:r>
      <w:r>
        <w:t>pedeapsa amenzii penale, sens în care au cerut să li se acorde o şansă pentru a-şi reface viaţa .</w:t>
      </w:r>
    </w:p>
    <w:p w:rsidR="00AB64EC" w:rsidRDefault="0020569A">
      <w:pPr>
        <w:ind w:left="-284" w:right="-426" w:firstLine="720"/>
        <w:jc w:val="both"/>
      </w:pPr>
      <w:r>
        <w:t>Analizând hotărârea atacată prin prisma motivelor de apel formulate, precum şi sub toate aspectele de fapt şi de drept conform art. 417 alin. 2 Cod procedură penală, Curtea</w:t>
      </w:r>
      <w:r>
        <w:rPr>
          <w:rStyle w:val="Fontdeparagrafimplicit"/>
          <w:b/>
        </w:rPr>
        <w:t xml:space="preserve"> </w:t>
      </w:r>
      <w:r>
        <w:t xml:space="preserve">a reţinut că prima instanţă a stabilit în mod corespunzător starea de fapt pe baza probelor administrate în cauză, precum şi vinovăţia inculpaţilor în sarcina cărora s-a reţinut că la data de 23.10.2018, în jurul orei 23.00, în timp ce se aflau în com. </w:t>
      </w:r>
      <w:r w:rsidR="00E737CA">
        <w:t>C</w:t>
      </w:r>
      <w:r>
        <w:t xml:space="preserve">, jud. </w:t>
      </w:r>
      <w:r w:rsidR="00E737CA">
        <w:t>X</w:t>
      </w:r>
      <w:r>
        <w:t xml:space="preserve">, au exercitat acte de violenţă asupra persoanei vătămate </w:t>
      </w:r>
      <w:r w:rsidR="00E737CA">
        <w:t>V1</w:t>
      </w:r>
      <w:r>
        <w:t>, producându-i leziuni care au necesitat pentru vindecare un număr de 24-25 zile de îngrijiri medicale, tulburând ordinea şi liniştea publică.</w:t>
      </w:r>
    </w:p>
    <w:p w:rsidR="00AB64EC" w:rsidRDefault="0020569A">
      <w:pPr>
        <w:ind w:left="-284" w:right="-426" w:firstLine="708"/>
        <w:jc w:val="both"/>
      </w:pPr>
      <w:r>
        <w:t>De altfel, inculpaţii au recunoscut săvârşirea infracţiunilor în exacta formă reţinută în actul de sesizare al instanţei şi au cerut ca judecata să aibă loc în procedură simplificată.</w:t>
      </w:r>
    </w:p>
    <w:p w:rsidR="00AB64EC" w:rsidRDefault="0020569A">
      <w:pPr>
        <w:ind w:left="-284" w:right="-426" w:firstLine="708"/>
        <w:jc w:val="both"/>
      </w:pPr>
      <w:r>
        <w:t xml:space="preserve">Criticile aduse în apelurile inculpaţilor sunt nefondate. </w:t>
      </w:r>
    </w:p>
    <w:p w:rsidR="00AB64EC" w:rsidRDefault="0020569A">
      <w:pPr>
        <w:ind w:left="-284" w:right="-426" w:firstLine="708"/>
        <w:jc w:val="both"/>
      </w:pPr>
      <w:r>
        <w:t xml:space="preserve">Cu privire la individualizarea pedepsei aplicate, Curtea a reţinut că durata pedepselor, precum si modalitatea de executare trebuie privite din perspectiva art. 3 din Legea nr. 254/2013, referitor la pedeapsă şi scopul acesteia. </w:t>
      </w:r>
    </w:p>
    <w:p w:rsidR="00AB64EC" w:rsidRDefault="0020569A">
      <w:pPr>
        <w:ind w:left="-284" w:right="-426" w:firstLine="708"/>
        <w:jc w:val="both"/>
      </w:pPr>
      <w:r>
        <w:t xml:space="preserve">Potrivit textului legal indicat, scopul pedepsei este prevenirea săvârşirii de noi infracţiuni. Prevenirea săvârşirii de noi infracţiuni trebuie să se realizeze nu doar pentru cel căruia i se aplică o pedeapsă care este menită să asigure constrângerea şi reeducarea inculpatului, aşa numita prevenţie specială, ci şi pentru ceilalţi destinatari ai legii penale - care sub ameninţarea cu pedeapsa prevăzută în norma penală îşi conformează conduita socială la exigenţele acesteia, aşa numita prevenţie generală. Scopul imediat al pedepsei se realizează prin funcţia de constrângere a pedepsei (care implică o privaţiune de drepturi la adresa inculpatului), funcţia de reeducare (care implică  înlăturarea deprinderilor antisociale ale inculpatului), dar </w:t>
      </w:r>
      <w:r>
        <w:lastRenderedPageBreak/>
        <w:t>şi prin funcţia de exemplaritate a pedepsei, care are ca scop determinarea altor posibili subiecţi de drept penal să evite săvârşirea de noi infracţiuni, datorită consecinţelor la care se expun.</w:t>
      </w:r>
    </w:p>
    <w:p w:rsidR="00AB64EC" w:rsidRDefault="0020569A">
      <w:pPr>
        <w:tabs>
          <w:tab w:val="left" w:pos="9540"/>
        </w:tabs>
        <w:ind w:left="-284" w:right="-426" w:firstLine="708"/>
        <w:jc w:val="both"/>
      </w:pPr>
      <w:r>
        <w:t>Or, pentru ca pedeapsa să-şi realizeze funcţiile şi scopul definit de legiuitor, aceasta  trebuie să  corespundă sub aspectul duratei şi naturii sale gravităţii faptei comise, potenţialului de pericol social pe care în mod real îl prezintă persoana inculpatului, dar şi aptitudinii acestuia de a se îndrepta sub influenţa sancţiunii.</w:t>
      </w:r>
    </w:p>
    <w:p w:rsidR="00AB64EC" w:rsidRDefault="0020569A">
      <w:pPr>
        <w:tabs>
          <w:tab w:val="left" w:pos="9540"/>
        </w:tabs>
        <w:ind w:left="-284" w:right="-426" w:firstLine="708"/>
        <w:jc w:val="both"/>
      </w:pPr>
      <w:r>
        <w:t xml:space="preserve">Prin urmare este stabilit cu valoare de principiu că atingerea dublului scop - educativ  şi preventiv al pedepsei este esenţial condiţionată de caracterul adecvat al acesteia, revenind instanţei de judecată datoria asigurării unui echilibru real între gravitatea faptei şi periculozitatea infractorului, precum şi durata şi modalitatea de executare a sancţiunii pe de altă  parte. </w:t>
      </w:r>
    </w:p>
    <w:p w:rsidR="00AB64EC" w:rsidRDefault="0020569A">
      <w:pPr>
        <w:ind w:left="-284" w:right="-426" w:firstLine="720"/>
        <w:jc w:val="both"/>
      </w:pPr>
      <w:r>
        <w:t>În procesul de individualizare, Curtea a reţinut că instanţa de fond s-a raportat la toate criteriile prevăzute de art. 74 Cod penal, respectiv împrejurările  şi  modul  de  comitere a  infracţiunii, starea de pericol  creată pentru  valoarea  ocrotită,  natura  şi  gravitatea  rezultatului  produs  ori a altor consecinţe ale infracţiunii,  motivul săvârşirii infracţiunii, conduita după  săvârşirea infracţiunii  şi  în cursul  procesului  penal,  nivelul de educaţie, vârsta, starea de sănătate, situaţia  familială şi  socială, raportându-se la  limitele  speciale  de pedeapsă  prevăzute  de textul incriminator.</w:t>
      </w:r>
    </w:p>
    <w:p w:rsidR="00AB64EC" w:rsidRDefault="0020569A">
      <w:pPr>
        <w:ind w:left="-284" w:right="-426" w:firstLine="720"/>
        <w:jc w:val="both"/>
      </w:pPr>
      <w:r>
        <w:t>Referitor la gradul de pericol social al infracţiunilor reţinute în sarcina inculpaţilor, instanţa a apreciat corect că acesta este unul destul de ridicat în contextul  in care  inculpaţii  au acţionat violent la adresa victimei şi au afectat integritatea corporală a acesteia, producând totodată un scandal public, acţiunile lor fiind deliberate şi fără rezerve, deşi amândoi cunoşteau că se află în perioada de supraveghere după condamnări pentru comiterea altor infracţiuni.</w:t>
      </w:r>
    </w:p>
    <w:p w:rsidR="00AB64EC" w:rsidRDefault="0020569A">
      <w:pPr>
        <w:ind w:left="-284" w:right="-426" w:firstLine="708"/>
        <w:jc w:val="both"/>
      </w:pPr>
      <w:r>
        <w:rPr>
          <w:rStyle w:val="Fontdeparagrafimplicit"/>
          <w:shd w:val="clear" w:color="auto" w:fill="FFFFFF"/>
        </w:rPr>
        <w:t xml:space="preserve">Raportat la aceste argumente Curtea a reţinut că aplicarea pedepsei amenzii este o sancţiune insuficientă şi necorespunzătoare, iar această solicitare </w:t>
      </w:r>
      <w:r>
        <w:t>nu poate fi primită deoarece o asemenea modalitate de individualizare a sancţiunii penale ar conduce la stabilirea unei pedepse vădit disproporţionată în raport cu gravitatea faptelor si urmărilor cauzate si ar echivala cu încurajarea tacită a autorilor acestor infracţiuni cu impact social deosebit, la săvârşirea unor fapte similare.</w:t>
      </w:r>
    </w:p>
    <w:p w:rsidR="00AB64EC" w:rsidRDefault="0020569A">
      <w:pPr>
        <w:ind w:left="-284" w:right="-426" w:firstLine="720"/>
        <w:jc w:val="both"/>
      </w:pPr>
      <w:r>
        <w:t>Curtea a constatat  că inculpaţii au mai fost sancţionaţi în repetate rânduri pentru abateri la normele legale, pedepsele aplicate neconstituind un factor inhibitor al comportamentului infracţional, ceea ce relevă că pentru ei capacitatea de reformare este extrem de scăzută.</w:t>
      </w:r>
    </w:p>
    <w:p w:rsidR="00AB64EC" w:rsidRDefault="0020569A">
      <w:pPr>
        <w:ind w:left="-284" w:right="-426" w:firstLine="720"/>
        <w:jc w:val="both"/>
      </w:pPr>
      <w:r>
        <w:t>Alegaţiile prezentate de inculpaţi vizând situaţia familială şi cea legată de locul de muncă,  nu pot precumpăni în analiza asupra modalităţii de individualizare a sancţiunii penale, nu pot avea un efect ca cel solicitat de inculpaţi în cadrul memoriului de apel, tocmai pentru argumentele prezentate anterior de Curte, ce susţin gravitatea faptelor şi necesitatea unei sancţiuni adecvate.</w:t>
      </w:r>
    </w:p>
    <w:p w:rsidR="00AB64EC" w:rsidRDefault="0020569A">
      <w:pPr>
        <w:ind w:left="-284" w:right="-426" w:firstLine="720"/>
        <w:jc w:val="both"/>
      </w:pPr>
      <w:r>
        <w:t xml:space="preserve">Pentru aceste motive Curtea a considerat că pedeapsa aplicată este o sancţiune proporţională gravităţii faptelor si persoanei inculpaţilor, aptă a le corecta conduita, de natură a stopa lejeritatea raportării acestora la normele legale. Această sancţiune îşi exercită acţiunea de constrângere în limitele necesare, impuse de realizarea finalităţii sale preventive,  nu este în contrast cu gravitatea reală a infracţiunii săvârşite şi cu persoana celor care le-a comis, ci este dozată corect, respectându-se şi cerinţa fermităţii, fiind aptă a contribui la reinserţia socială a inculpaţilor. </w:t>
      </w:r>
    </w:p>
    <w:p w:rsidR="00AB64EC" w:rsidRDefault="0020569A">
      <w:pPr>
        <w:ind w:left="-284" w:right="-426" w:firstLine="720"/>
        <w:jc w:val="both"/>
      </w:pPr>
      <w:r>
        <w:t>Totodată, răspunde întru totul exigenţelor legii penale, găsindu-şi corespondentul în coordonatele expuse în art. 74 Cod penal, în conduita procesuală a inculpaţilor, în atingerea adusă unor valori ocrotite de legea penală.</w:t>
      </w:r>
    </w:p>
    <w:p w:rsidR="00AB64EC" w:rsidRDefault="0020569A">
      <w:pPr>
        <w:ind w:left="-284" w:right="-426" w:firstLine="720"/>
        <w:jc w:val="both"/>
        <w:rPr>
          <w:rStyle w:val="Fontdeparagrafimplicit"/>
        </w:rPr>
      </w:pPr>
      <w:r>
        <w:rPr>
          <w:rStyle w:val="Fontdeparagrafimplicit"/>
          <w:b/>
        </w:rPr>
        <w:t xml:space="preserve">Împotriva acestei hotărâri a formulat contestaţie în anulare </w:t>
      </w:r>
      <w:r w:rsidR="00E737CA">
        <w:rPr>
          <w:rStyle w:val="Fontdeparagrafimplicit"/>
          <w:b/>
        </w:rPr>
        <w:t>C</w:t>
      </w:r>
      <w:r>
        <w:rPr>
          <w:rStyle w:val="Fontdeparagrafimplicit"/>
          <w:b/>
        </w:rPr>
        <w:t xml:space="preserve">, invocându-se existenţa unei cauze de încetare a procesului penal – prescripţia răspunderii penale la momentul pronunţării Deciziei penale nr. </w:t>
      </w:r>
      <w:r w:rsidR="00E737CA">
        <w:rPr>
          <w:rStyle w:val="Fontdeparagrafimplicit"/>
          <w:b/>
        </w:rPr>
        <w:t>3</w:t>
      </w:r>
      <w:r>
        <w:rPr>
          <w:rStyle w:val="Fontdeparagrafimplicit"/>
          <w:b/>
        </w:rPr>
        <w:t xml:space="preserve"> a Curţii de Apel </w:t>
      </w:r>
      <w:r w:rsidR="00E737CA">
        <w:rPr>
          <w:rStyle w:val="Fontdeparagrafimplicit"/>
          <w:b/>
        </w:rPr>
        <w:t>X</w:t>
      </w:r>
      <w:r>
        <w:rPr>
          <w:rStyle w:val="Fontdeparagrafimplicit"/>
          <w:b/>
        </w:rPr>
        <w:t xml:space="preserve"> în dosarul nr. </w:t>
      </w:r>
      <w:r w:rsidR="00E737CA">
        <w:rPr>
          <w:rStyle w:val="Fontdeparagrafimplicit"/>
          <w:b/>
        </w:rPr>
        <w:t>4</w:t>
      </w:r>
      <w:r>
        <w:rPr>
          <w:rStyle w:val="Fontdeparagrafimplicit"/>
          <w:b/>
        </w:rPr>
        <w:t>.</w:t>
      </w:r>
    </w:p>
    <w:p w:rsidR="00AB64EC" w:rsidRDefault="00AB64EC">
      <w:pPr>
        <w:ind w:left="-284" w:right="-426" w:firstLine="851"/>
        <w:jc w:val="both"/>
        <w:rPr>
          <w:rStyle w:val="Fontdeparagrafimplicit"/>
          <w:b/>
        </w:rPr>
      </w:pPr>
    </w:p>
    <w:p w:rsidR="00AB64EC" w:rsidRDefault="0020569A">
      <w:pPr>
        <w:ind w:left="-284" w:right="-426" w:firstLine="851"/>
        <w:jc w:val="both"/>
        <w:rPr>
          <w:rStyle w:val="Fontdeparagrafimplicit"/>
          <w:b/>
        </w:rPr>
      </w:pPr>
      <w:r>
        <w:rPr>
          <w:rStyle w:val="Fontdeparagrafimplicit"/>
          <w:b/>
        </w:rPr>
        <w:t xml:space="preserve">Examinând admisibilitatea în principiu a contestaţiei în anulare declarate de persoana condamnată </w:t>
      </w:r>
      <w:r w:rsidR="00E737CA">
        <w:rPr>
          <w:rStyle w:val="Fontdeparagrafimplicit"/>
          <w:b/>
        </w:rPr>
        <w:t>C</w:t>
      </w:r>
      <w:r>
        <w:rPr>
          <w:rStyle w:val="Fontdeparagrafimplicit"/>
          <w:b/>
        </w:rPr>
        <w:t xml:space="preserve"> împotriva</w:t>
      </w:r>
      <w:r>
        <w:t xml:space="preserve"> </w:t>
      </w:r>
      <w:r>
        <w:rPr>
          <w:rStyle w:val="Fontdeparagrafimplicit"/>
          <w:b/>
        </w:rPr>
        <w:t xml:space="preserve">Deciziei penale nr. </w:t>
      </w:r>
      <w:r w:rsidR="00E737CA">
        <w:rPr>
          <w:rStyle w:val="Fontdeparagrafimplicit"/>
          <w:b/>
        </w:rPr>
        <w:t>3</w:t>
      </w:r>
      <w:r>
        <w:rPr>
          <w:rStyle w:val="Fontdeparagrafimplicit"/>
          <w:b/>
        </w:rPr>
        <w:t xml:space="preserve"> a Curţii de Apel </w:t>
      </w:r>
      <w:r w:rsidR="00E737CA">
        <w:rPr>
          <w:rStyle w:val="Fontdeparagrafimplicit"/>
          <w:b/>
        </w:rPr>
        <w:t>X</w:t>
      </w:r>
      <w:r>
        <w:rPr>
          <w:rStyle w:val="Fontdeparagrafimplicit"/>
          <w:b/>
        </w:rPr>
        <w:t xml:space="preserve">, pronunţată la data de </w:t>
      </w:r>
      <w:r w:rsidR="00E737CA">
        <w:rPr>
          <w:rStyle w:val="Fontdeparagrafimplicit"/>
          <w:b/>
        </w:rPr>
        <w:t>...</w:t>
      </w:r>
      <w:r>
        <w:rPr>
          <w:rStyle w:val="Fontdeparagrafimplicit"/>
          <w:b/>
        </w:rPr>
        <w:t xml:space="preserve"> în dosar nr. </w:t>
      </w:r>
      <w:r w:rsidR="00E737CA">
        <w:rPr>
          <w:rStyle w:val="Fontdeparagrafimplicit"/>
          <w:b/>
        </w:rPr>
        <w:t>4</w:t>
      </w:r>
      <w:r>
        <w:rPr>
          <w:rStyle w:val="Fontdeparagrafimplicit"/>
          <w:b/>
        </w:rPr>
        <w:t>, potrivit art. 431 din Codul de procedură penală, Curtea reţine următoarele:</w:t>
      </w:r>
    </w:p>
    <w:p w:rsidR="00AB64EC" w:rsidRDefault="0020569A">
      <w:pPr>
        <w:ind w:left="-284" w:right="-426" w:firstLine="851"/>
        <w:jc w:val="both"/>
      </w:pPr>
      <w:r>
        <w:t xml:space="preserve">În motivarea contestaţiei s-au invocat dispoziţiile art. 426 al. 1 lit. b din C.proc.pen., respectiv că inculpatul a fost condamnat deşi existau probe cu privire la încetarea procesului penal, respectiv ar fi fost împlinit termenul prescripţiei răspunderii penale în raport de Decizia CCR nr. 297/2018 şi Decizia CCR nr. 358/2022. </w:t>
      </w:r>
    </w:p>
    <w:p w:rsidR="00AB64EC" w:rsidRDefault="0020569A">
      <w:pPr>
        <w:ind w:left="-284" w:right="-426" w:firstLine="851"/>
        <w:jc w:val="both"/>
      </w:pPr>
      <w:r>
        <w:lastRenderedPageBreak/>
        <w:t xml:space="preserve">Prin Decizia CCR nr. 358/2022 s-a decis că dispoziţiile </w:t>
      </w:r>
      <w:r>
        <w:rPr>
          <w:rStyle w:val="Fontdeparagrafimplicit"/>
          <w:vanish/>
        </w:rPr>
        <w:t>&lt;LLNK 12017     0902 2@2 155 34&gt;</w:t>
      </w:r>
      <w:r>
        <w:t xml:space="preserve">art. 155 alin. (1) din Codul penal sunt neconstituţionale, iar în paragraful 73 din decizie s-a reţinut că: </w:t>
      </w:r>
      <w:r>
        <w:rPr>
          <w:rStyle w:val="Fontdeparagrafimplicit"/>
          <w:i/>
        </w:rPr>
        <w:t xml:space="preserve">În consecinţă, Curtea constată că, în condiţiile stabilirii naturii juridice a </w:t>
      </w:r>
      <w:r>
        <w:rPr>
          <w:rStyle w:val="Fontdeparagrafimplicit"/>
          <w:i/>
          <w:vanish/>
        </w:rPr>
        <w:t>&lt;LLNK 12018   2971701701   0 36&gt;</w:t>
      </w:r>
      <w:r>
        <w:rPr>
          <w:rStyle w:val="Fontdeparagrafimplicit"/>
          <w:i/>
        </w:rPr>
        <w:t xml:space="preserve">Deciziei nr. 297 din 26 aprilie 2018 ca decizie simplă/extremă, în absenţa intervenţiei active a legiuitorului, obligatorie potrivit </w:t>
      </w:r>
      <w:r>
        <w:rPr>
          <w:rStyle w:val="Fontdeparagrafimplicit"/>
          <w:i/>
          <w:vanish/>
        </w:rPr>
        <w:t>&lt;LLNK 11991     0221 202 147 24&gt;</w:t>
      </w:r>
      <w:r>
        <w:rPr>
          <w:rStyle w:val="Fontdeparagrafimplicit"/>
          <w:i/>
        </w:rPr>
        <w:t>art. 147 din Constituţie, pe perioada cuprinsă între data publicării respectivei decizii şi până la intrarea în vigoare a unui act normativ care să clarifice norma, prin reglementarea expresă a cazurilor apte să întrerupă cursul termenului prescripţiei răspunderii penale, fondul activ al legislaţiei nu conţine vreun caz care să permită întreruperea cursului prescripţiei răspunderii penale</w:t>
      </w:r>
      <w:r>
        <w:t xml:space="preserve">. Decizia nr. 358/2022 este în acelaşi timp o decizie de interpretare originară a Deciziei nr. 297/2018 prin care s-a </w:t>
      </w:r>
      <w:r>
        <w:rPr>
          <w:rStyle w:val="Fontdeparagrafimplicit"/>
          <w:i/>
        </w:rPr>
        <w:t xml:space="preserve">constatat că soluţia legislativă care prevede întreruperea cursului termenului prescripţiei răspunderii penale prin îndeplinirea „oricărui act de procedură în cauză“, din cuprinsul dispoziţiilor </w:t>
      </w:r>
      <w:r>
        <w:rPr>
          <w:rStyle w:val="Fontdeparagrafimplicit"/>
          <w:i/>
          <w:vanish/>
        </w:rPr>
        <w:t>&lt;LLNK 12017     0902 282 155 18&gt;</w:t>
      </w:r>
      <w:r>
        <w:rPr>
          <w:rStyle w:val="Fontdeparagrafimplicit"/>
          <w:i/>
        </w:rPr>
        <w:t xml:space="preserve">art. 155 alin. (1) din </w:t>
      </w:r>
      <w:r>
        <w:rPr>
          <w:rStyle w:val="Fontdeparagrafimplicit"/>
          <w:i/>
          <w:vanish/>
        </w:rPr>
        <w:t>&lt;LLNK 12017     0902 281   0 11&gt;</w:t>
      </w:r>
      <w:r>
        <w:rPr>
          <w:rStyle w:val="Fontdeparagrafimplicit"/>
          <w:i/>
        </w:rPr>
        <w:t>Codul penal, este neconstituţională</w:t>
      </w:r>
      <w:r>
        <w:t xml:space="preserve">. </w:t>
      </w:r>
    </w:p>
    <w:p w:rsidR="00AB64EC" w:rsidRDefault="0020569A">
      <w:pPr>
        <w:ind w:left="-284" w:right="-426" w:firstLine="851"/>
        <w:jc w:val="both"/>
      </w:pPr>
      <w:r>
        <w:t>În considerentele acestei decizii (358/2022), Curtea Constituţională a explicitat consecinţele pronunţării</w:t>
      </w:r>
      <w:r w:rsidR="00E737CA">
        <w:t>...</w:t>
      </w:r>
      <w:r>
        <w:t xml:space="preserve">, precum şi efectul declarării ca neconstituţionale a prevederilor art. 155 alin. (1) din Codul penal, cu privire la lipsa oricărui caz întreruptiv al termenului de prescripţie generală a răspunderii penale. </w:t>
      </w:r>
    </w:p>
    <w:p w:rsidR="00AB64EC" w:rsidRDefault="0020569A">
      <w:pPr>
        <w:ind w:left="-284" w:right="-426" w:firstLine="851"/>
        <w:jc w:val="both"/>
      </w:pPr>
      <w:r>
        <w:t>În lipsa intervenţiei active a legiuitorului ulterioară momentului pronunţării deciziei Curţii Constituţionale nr. 297/2018, care să pună în acord legislaţia cu prevederile constituţionale, absenţa din fondul activ al legislaţiei penale a vreunui caz care să permită întreruperea cursului prescripţiei răspunderii penale pe perioada cuprinsă între data publicării respectivei decizii (25.06.2018) şi până la intrarea în vigoare a actului normativ care a clarificat norma (30.05.2022), determină luarea în considerare doar a termenelor generale de prescripţie a răspunderii penale.</w:t>
      </w:r>
    </w:p>
    <w:p w:rsidR="00AB64EC" w:rsidRDefault="0020569A">
      <w:pPr>
        <w:ind w:left="-284" w:right="-426" w:firstLine="851"/>
        <w:jc w:val="both"/>
      </w:pPr>
      <w:r>
        <w:t>Interpretarea originară şi considerentele Deciziei nr. 358/2022</w:t>
      </w:r>
      <w:r>
        <w:rPr>
          <w:rStyle w:val="Fontdeparagrafimplicit"/>
          <w:i/>
        </w:rPr>
        <w:t xml:space="preserve"> </w:t>
      </w:r>
      <w:r>
        <w:t xml:space="preserve">relevă trăsăturile de lege penală mai favorabilă a Deciziei nr. 297/2018, în accepţiunea art. 5 din C.pen., de vreme ce prin efectele deciziei au fost înlăturate cauzele de întrerupere a cursului prescripţiei răspunderii penale; or, aceste efecte juridice se răsfrâng imediat şi pe deplin asupra instituţiei prescripţiei răspunderii penale, instituţie de drept substanţial, şi face ca răspunderea penală să se prescrie în termenul general de prescripţie. </w:t>
      </w:r>
    </w:p>
    <w:p w:rsidR="00AB64EC" w:rsidRDefault="0020569A">
      <w:pPr>
        <w:ind w:left="-284" w:right="-426" w:firstLine="851"/>
        <w:jc w:val="both"/>
      </w:pPr>
      <w:r>
        <w:t>Întrucât Decizia nr. 297/2018 modifică, în favoarea persoanei condamnate, condiţiile generale de tragere la răspundere penală, anterior rămânerii definitive a hotărârii de condamnare, decizia 297/2018 dobândeşte caracterul unei norme penale mai favorabile.</w:t>
      </w:r>
    </w:p>
    <w:p w:rsidR="00AB64EC" w:rsidRDefault="0020569A">
      <w:pPr>
        <w:ind w:left="-284" w:right="-426" w:firstLine="851"/>
        <w:jc w:val="both"/>
      </w:pPr>
      <w:r>
        <w:t>În lipsa intervenţiei active a legiuitorului ulterioară momentului pronunţării deciziei Curţii Constituţionale nr. 297/2018, care să pună în acord legislaţia cu prevederile constituţionale, absenţa din fondul activ al legislaţiei penale a vreunui caz care să permită întreruperea cursului prescripţiei răspunderii penale pe perioada cuprinsă între data publicării respectivei decizii (25.06.2018) şi până la intrarea în vigoare a actului normativ care a clarificat norma (30.05.2022), determină luarea în considerare doar a termenelor generale de prescripţie a răspunderii penale.</w:t>
      </w:r>
    </w:p>
    <w:p w:rsidR="00AB64EC" w:rsidRDefault="0020569A">
      <w:pPr>
        <w:ind w:left="-284" w:right="-426" w:firstLine="851"/>
        <w:jc w:val="both"/>
        <w:rPr>
          <w:rStyle w:val="Accentuat"/>
        </w:rPr>
      </w:pPr>
      <w:r>
        <w:t>De altfel, referitor la natura juridică a normelor care reglementează efectul întreruptiv de prescripţie al actelor de procedură, Curtea are în vedere Decizia nr. 67 din 25 octombrie 2022 a Înaltei Curţi de Casaţie şi Justiţie, pronunţată în procedura dezlegării unor chestiuni de drept în materie penală, obligatorie în condiţiile art.</w:t>
      </w:r>
      <w:r>
        <w:rPr>
          <w:rStyle w:val="Fontdeparagrafimplicit"/>
          <w:shd w:val="clear" w:color="auto" w:fill="FFFFFF"/>
        </w:rPr>
        <w:t xml:space="preserve"> 477 alin. 3 din Codul de procedură penală,</w:t>
      </w:r>
      <w:r>
        <w:t xml:space="preserve"> prin care s-au admis</w:t>
      </w:r>
      <w:r>
        <w:rPr>
          <w:rStyle w:val="Robust"/>
        </w:rPr>
        <w:t xml:space="preserve"> </w:t>
      </w:r>
      <w:r>
        <w:rPr>
          <w:rStyle w:val="Robust"/>
          <w:b w:val="0"/>
        </w:rPr>
        <w:t>sesizările formulate de Curtea de Apel Bucureşti, Secţia a II-a penală şi Curtea de Apel Braşov, Secţia penală,</w:t>
      </w:r>
      <w:r>
        <w:rPr>
          <w:rStyle w:val="Robust"/>
        </w:rPr>
        <w:t xml:space="preserve"> </w:t>
      </w:r>
      <w:r>
        <w:t xml:space="preserve">stabilindu-se următoarele: </w:t>
      </w:r>
      <w:r>
        <w:rPr>
          <w:rStyle w:val="Fontdeparagrafimplicit"/>
          <w:i/>
        </w:rPr>
        <w:t>„</w:t>
      </w:r>
      <w:r>
        <w:rPr>
          <w:rStyle w:val="Accentuat"/>
        </w:rPr>
        <w:t>Normele referitoare la întreruperea cursului prescripţiei sunt norme de drept penal material (substanţial) supuse din perspectiva aplicării lor în timp principiului activităţii legii penale prevăzut de art. 3 din Codul penal, cu excepţia dispoziţiilor mai favorabile, potrivit principiului mitior lex prevăzut de art. 15 alin. (2) din Constituţie şi art. 5 din Codul penal.”</w:t>
      </w:r>
    </w:p>
    <w:p w:rsidR="00AB64EC" w:rsidRDefault="0020569A">
      <w:pPr>
        <w:ind w:left="-284" w:right="-426" w:firstLine="851"/>
        <w:jc w:val="both"/>
      </w:pPr>
      <w:r>
        <w:t>Curtea constată că, aşa cum rezultă din prevederile art. 426 din C.p.p. raportat la art. 431 din C.p.p., contestaţia în anulare poate fi formulată pentru cazurile expres şi limitativ prevăzute de dispoziţiile art. 426 lit. a-i din C.p.p.</w:t>
      </w:r>
    </w:p>
    <w:p w:rsidR="00AB64EC" w:rsidRDefault="0020569A">
      <w:pPr>
        <w:ind w:left="-284" w:right="-426" w:firstLine="851"/>
        <w:jc w:val="both"/>
      </w:pPr>
      <w:r>
        <w:t xml:space="preserve">Prevederile art. 431 alin. 2 din C.p.p. se referă la condiţiile care trebuie examinate în etapa admisibilităţii în principiu, respectiv termenul în care cererea a fost formulată, motivele invocate care trebuie să se încadreze în cele prevăzute în art. 426 din C.p.p. şi necesitatea depunerii sau reiterării de dovezi în sprijinul contestaţiei. Totodată, reţinem că, contestaţia în anulare este o cale extraordinară de atac de retractare, ce poate fi urmată exclusiv pentru erori procedurale şi nu pentru a fi verificate susţinerile privind eventuale erori judiciare. De aceea, o condiţie suplimentară pentru admisibilitatea contestaţiei în anulare este aceea ca motivele invocate să nu fi făcut obiectul judecăţii în apel. În acest sens, Înalta Curte de Casaţie şi Justiţie, în completul pentru dezlegarea unor chestiuni de drept în materie penală, prin Decizia nr. 10/2017 a </w:t>
      </w:r>
      <w:r>
        <w:lastRenderedPageBreak/>
        <w:t xml:space="preserve">stabilit cu titlu obligatoriu că </w:t>
      </w:r>
      <w:r>
        <w:rPr>
          <w:rStyle w:val="Fontdeparagrafimplicit"/>
          <w:i/>
        </w:rPr>
        <w:t>în interpretarea dispoziţiilor art. 426 lit. b) din Codul de procedură penală, instanţa care soluţionează contestaţia în anulare nu poate reanaliza o cauză de încetare a procesului penal, în cazul în care instanţa de apel a dezbătut şi a analizat incidenţa cauzei de încetare a procesului penal</w:t>
      </w:r>
      <w:r>
        <w:t>.</w:t>
      </w:r>
    </w:p>
    <w:p w:rsidR="00AB64EC" w:rsidRDefault="0020569A">
      <w:pPr>
        <w:ind w:left="-284" w:right="-426" w:firstLine="851"/>
        <w:jc w:val="both"/>
      </w:pPr>
      <w:r>
        <w:t>Neîndeplinirea oricăreia dintre condiţiile arătate mai sus are drept consecinţă inadmisibilitatea contestaţiei, întrucât admisibilitatea în principiu a cererii de contestaţie în anulare, presupune întrunirea cumulativă a condiţiilor prev de art. 431 alin 2 din C.p.p.</w:t>
      </w:r>
    </w:p>
    <w:p w:rsidR="00AB64EC" w:rsidRDefault="0020569A">
      <w:pPr>
        <w:ind w:left="-284" w:right="-426" w:firstLine="851"/>
        <w:jc w:val="both"/>
      </w:pPr>
      <w:r>
        <w:t xml:space="preserve">Cazul de contestație în anulare prevăzut de articolul 426 lit. b din C.p.p. este incident atunci când inculpatul a fost condamnat, deși existau probe cu privire la o cauză de încetare a procesului penal, inculpatul invocând cazul prev. de art. 16 al. 1 lit. f din C.p.p. privind prescripţia răspunderii penale, având în vedere disp. art. 396 al. 6 din C.p.p., Curtea constată că decizia a cărei anulare se solicită a fost pronunţată în urma soluţionării căii de atac a apelului, persoana condamnată a invocat un caz de contestaţie în anulare prevăzută de lege şi care nu a fost discutat în procedura apelului. </w:t>
      </w:r>
    </w:p>
    <w:p w:rsidR="00AB64EC" w:rsidRDefault="0020569A">
      <w:pPr>
        <w:ind w:left="-284" w:right="-426" w:firstLine="851"/>
        <w:jc w:val="both"/>
      </w:pPr>
      <w:r>
        <w:t>O condiţie suplimentară de admisibilitate este să existe aparenţa cazului invocat, respectiv să nu fi fost invocat doar în mod formal.</w:t>
      </w:r>
    </w:p>
    <w:p w:rsidR="00AB64EC" w:rsidRDefault="0020569A">
      <w:pPr>
        <w:ind w:left="-284" w:right="-426" w:firstLine="851"/>
        <w:jc w:val="both"/>
      </w:pPr>
      <w:r>
        <w:t>În cazul de faţă, din decizia care se contestă rezultă că infracţiunile pentru care s-a pronunţat condamnarea contestatorului sunt următoarele: lovire sau alte violenţe, prev de art. 193 alin. 2 C.pen. (faptă comisă la data de 23.10.2018) şi tulburarea liniştii şi ordinii publice prev. de art. 371 C.pen. (faptă comisă, de asemenea, la data de 23.10.2018), cu aplicarea art. 38 alin. 1 C.pen.</w:t>
      </w:r>
    </w:p>
    <w:p w:rsidR="00AB64EC" w:rsidRDefault="0020569A">
      <w:pPr>
        <w:ind w:left="-284" w:right="-426" w:firstLine="851"/>
        <w:jc w:val="both"/>
      </w:pPr>
      <w:r>
        <w:t>Infracţiunea prev. de art. 193 alin. 2 C.pen. este sancţionată cu pedeapsa închisorii de la 6 luni la 5 ani sau cu amendă, astfel că termenul de prescripţie, conform art. 154 alin. 1 lit. d C.pen., este de 5 ani.</w:t>
      </w:r>
    </w:p>
    <w:p w:rsidR="00AB64EC" w:rsidRDefault="0020569A">
      <w:pPr>
        <w:ind w:left="-284" w:right="-426" w:firstLine="851"/>
        <w:jc w:val="both"/>
      </w:pPr>
      <w:r>
        <w:t>Infracţiunea prev. de art. 371 C.pen. este sancţionată cu pedeapsa închisorii de la 3 luni la 2 ani sau cu amendă, astfel că termenul de prescripţie, conform art. 154 alin. 1 lit. d C.pen., este de 5 ani.</w:t>
      </w:r>
    </w:p>
    <w:p w:rsidR="00AB64EC" w:rsidRDefault="0020569A">
      <w:pPr>
        <w:ind w:left="-284" w:right="-426" w:firstLine="708"/>
        <w:jc w:val="both"/>
      </w:pPr>
      <w:r>
        <w:t>Conform art.154 alin 2 C.pen termenele de prescripție a răspunderii penale încep să curgă de la data săvârșirii infracțiunilor.</w:t>
      </w:r>
    </w:p>
    <w:p w:rsidR="00AB64EC" w:rsidRDefault="0020569A">
      <w:pPr>
        <w:ind w:left="-284" w:right="-426" w:firstLine="708"/>
        <w:jc w:val="both"/>
      </w:pPr>
      <w:r>
        <w:t xml:space="preserve">Astfel, raportat la data săvârşirii faptelor de către contestaorul-condamnat, respectiv la data rămânerii definitive a hotărârii de condamnare pentru aceste fapte, rezultă că termenele de prescripţie generale prevăzute de lege pentru infracţiunile săvârşite de contestatorul </w:t>
      </w:r>
      <w:r w:rsidR="00E737CA">
        <w:t>C</w:t>
      </w:r>
      <w:r>
        <w:t xml:space="preserve">, astfel cum au fost anterior indicate, nu au fost împlinite la data pronunţării deciziei penale contestate (8 iulie 2021), astfel încât orice fel de analiză a unei legi penale mai favorabile este superfluă.  </w:t>
      </w:r>
    </w:p>
    <w:p w:rsidR="00AB64EC" w:rsidRDefault="0020569A">
      <w:pPr>
        <w:ind w:left="-284" w:right="-426" w:firstLine="851"/>
        <w:jc w:val="both"/>
      </w:pPr>
      <w:r>
        <w:t>Prin urmare, constatăm că nu sunt îndeplinite condiţiile prev. de art. 431 alin. 2 din C.p.p., astfel că vom respinge în principiu contestaţia în anulare.</w:t>
      </w:r>
    </w:p>
    <w:p w:rsidR="00AB64EC" w:rsidRDefault="0020569A">
      <w:pPr>
        <w:ind w:left="-284" w:right="-426" w:firstLine="851"/>
        <w:jc w:val="both"/>
      </w:pPr>
      <w:r>
        <w:t>Va fi obligat contestatorul la plata sumei de 800 lei, cheltuieli judiciare în favoarea statului.</w:t>
      </w:r>
    </w:p>
    <w:p w:rsidR="00AB64EC" w:rsidRDefault="0020569A">
      <w:pPr>
        <w:ind w:left="-284" w:right="-426" w:firstLine="851"/>
        <w:jc w:val="both"/>
      </w:pPr>
      <w:r>
        <w:t xml:space="preserve">În temeiul art. 272 Cod procedură penală, va încuviinţa suma de 680 lei, reprezentând onorariul cuvenit doamnei avocat </w:t>
      </w:r>
      <w:r w:rsidR="00E737CA">
        <w:t>A</w:t>
      </w:r>
      <w:r>
        <w:t xml:space="preserve">, în calitate de apărător desemnat din oficiu pentru contestatorul </w:t>
      </w:r>
      <w:r w:rsidR="00E737CA">
        <w:t>C</w:t>
      </w:r>
      <w:r>
        <w:t xml:space="preserve">, sumă ce se avansează din FMJ la dispoziţia Baroului de Avocaţi </w:t>
      </w:r>
      <w:r w:rsidR="00E737CA">
        <w:t>X</w:t>
      </w:r>
      <w:r>
        <w:t xml:space="preserve">. </w:t>
      </w:r>
    </w:p>
    <w:p w:rsidR="00AB64EC" w:rsidRDefault="00AB64EC">
      <w:pPr>
        <w:ind w:left="-284" w:right="-426"/>
        <w:jc w:val="center"/>
        <w:rPr>
          <w:rStyle w:val="Fontdeparagrafimplicit"/>
          <w:color w:val="FF0000"/>
        </w:rPr>
      </w:pPr>
    </w:p>
    <w:p w:rsidR="00AB64EC" w:rsidRDefault="0020569A">
      <w:pPr>
        <w:ind w:left="-284" w:right="-426"/>
        <w:jc w:val="center"/>
      </w:pPr>
      <w:r>
        <w:t>PENTRU ACESTE MOTIVE</w:t>
      </w:r>
    </w:p>
    <w:p w:rsidR="00AB64EC" w:rsidRDefault="0020569A">
      <w:pPr>
        <w:ind w:left="-284" w:right="-426"/>
        <w:jc w:val="center"/>
      </w:pPr>
      <w:r>
        <w:t>ÎN NUMELE LEGII</w:t>
      </w:r>
    </w:p>
    <w:p w:rsidR="00AB64EC" w:rsidRDefault="0020569A">
      <w:pPr>
        <w:ind w:left="-284" w:right="-426"/>
        <w:jc w:val="center"/>
      </w:pPr>
      <w:r>
        <w:t>D E C I  D E:</w:t>
      </w:r>
    </w:p>
    <w:p w:rsidR="00AB64EC" w:rsidRDefault="00AB64EC">
      <w:pPr>
        <w:ind w:left="-284" w:right="-426"/>
        <w:jc w:val="center"/>
        <w:rPr>
          <w:rStyle w:val="Fontdeparagrafimplicit"/>
          <w:color w:val="FF0000"/>
        </w:rPr>
      </w:pPr>
    </w:p>
    <w:p w:rsidR="00AB64EC" w:rsidRDefault="0020569A">
      <w:pPr>
        <w:ind w:left="-284" w:right="-426" w:firstLine="851"/>
        <w:jc w:val="both"/>
      </w:pPr>
      <w:r>
        <w:t xml:space="preserve">În baza art. 431 Cod procedură penală respinge ca inadmisibilă contestaţia în anulare formulată de contestatorul-condamnat </w:t>
      </w:r>
      <w:r w:rsidR="00E737CA">
        <w:t>C</w:t>
      </w:r>
      <w:r>
        <w:t xml:space="preserve"> (</w:t>
      </w:r>
      <w:r w:rsidR="008E2EA5">
        <w:t xml:space="preserve">fiul lui …. şi …, născut la data de ….  domiciliat …str. …., nr. …., …. CNP…., </w:t>
      </w:r>
      <w:r>
        <w:t xml:space="preserve">), împotriva Deciziei penale nr. </w:t>
      </w:r>
      <w:r w:rsidR="00E737CA">
        <w:t>3</w:t>
      </w:r>
      <w:r>
        <w:t xml:space="preserve"> a Curţii de Apel </w:t>
      </w:r>
      <w:r w:rsidR="00E737CA">
        <w:t>X</w:t>
      </w:r>
      <w:r>
        <w:t xml:space="preserve">, pronunţată în dosar nr. </w:t>
      </w:r>
      <w:r w:rsidR="00E737CA">
        <w:t>4</w:t>
      </w:r>
      <w:r>
        <w:t>.</w:t>
      </w:r>
    </w:p>
    <w:p w:rsidR="00AB64EC" w:rsidRDefault="0020569A">
      <w:pPr>
        <w:ind w:left="-284" w:right="-426" w:firstLine="851"/>
        <w:jc w:val="both"/>
      </w:pPr>
      <w:r>
        <w:t>Obligă contestatorul la plata sumei de 800 lei, cheltuieli judiciare în favoarea statului.</w:t>
      </w:r>
    </w:p>
    <w:p w:rsidR="00AB64EC" w:rsidRDefault="0020569A">
      <w:pPr>
        <w:ind w:left="-284" w:right="-426" w:firstLine="851"/>
        <w:jc w:val="both"/>
      </w:pPr>
      <w:r>
        <w:t xml:space="preserve">În temeiul art. 272 Cod procedură penală, încuviinţează suma de 680 lei, reprezentând onorariul cuvenit doamnei avocat </w:t>
      </w:r>
      <w:r w:rsidR="00E737CA">
        <w:t>A</w:t>
      </w:r>
      <w:r>
        <w:t xml:space="preserve">, în calitate de apărător desemnat din oficiu pentru contestatorul </w:t>
      </w:r>
      <w:r w:rsidR="00E737CA">
        <w:t>C</w:t>
      </w:r>
      <w:r>
        <w:t xml:space="preserve">, sumă ce se avansează din FMJ la dispoziţia Baroului de Avocaţi </w:t>
      </w:r>
      <w:r w:rsidR="00E737CA">
        <w:t>X</w:t>
      </w:r>
      <w:r>
        <w:t xml:space="preserve">. </w:t>
      </w:r>
    </w:p>
    <w:p w:rsidR="00AB64EC" w:rsidRDefault="0020569A">
      <w:pPr>
        <w:ind w:left="-284" w:right="-426" w:firstLine="851"/>
        <w:jc w:val="both"/>
      </w:pPr>
      <w:r>
        <w:t>Definitivă.</w:t>
      </w:r>
    </w:p>
    <w:p w:rsidR="00AB64EC" w:rsidRDefault="0020569A">
      <w:pPr>
        <w:ind w:left="-284" w:right="-426" w:firstLine="851"/>
        <w:jc w:val="both"/>
      </w:pPr>
      <w:r>
        <w:t xml:space="preserve">Pronunţată azi, data de </w:t>
      </w:r>
      <w:r w:rsidR="00E737CA">
        <w:t>...</w:t>
      </w:r>
      <w:r>
        <w:t>, prin punerea deciziei la dispoziţia participanţilor prin intermediul Grefei Curţii.</w:t>
      </w:r>
    </w:p>
    <w:p w:rsidR="00AB64EC" w:rsidRDefault="0020569A">
      <w:pPr>
        <w:ind w:left="-284" w:right="-426" w:firstLine="2269"/>
      </w:pPr>
      <w:r>
        <w:t>PREŞEDINTE</w:t>
      </w:r>
      <w:r>
        <w:tab/>
      </w:r>
      <w:r>
        <w:tab/>
      </w:r>
      <w:r>
        <w:tab/>
      </w:r>
      <w:r>
        <w:tab/>
      </w:r>
      <w:r>
        <w:tab/>
        <w:t>JUDECĂTOR</w:t>
      </w:r>
      <w:r>
        <w:tab/>
      </w:r>
      <w:r>
        <w:tab/>
        <w:t xml:space="preserve"> </w:t>
      </w:r>
    </w:p>
    <w:p w:rsidR="00AB64EC" w:rsidP="00E737CA" w:rsidRDefault="00E737CA">
      <w:pPr>
        <w:ind w:left="1156" w:right="-426" w:firstLine="1004"/>
      </w:pPr>
      <w:r>
        <w:t>A0004</w:t>
      </w:r>
      <w:r w:rsidR="0020569A">
        <w:tab/>
      </w:r>
      <w:r w:rsidR="0020569A">
        <w:tab/>
        <w:t xml:space="preserve">    </w:t>
      </w:r>
      <w:r>
        <w:tab/>
      </w:r>
      <w:r>
        <w:tab/>
      </w:r>
      <w:r>
        <w:tab/>
        <w:t xml:space="preserve">                     ...</w:t>
      </w:r>
    </w:p>
    <w:p w:rsidR="00AB64EC" w:rsidRDefault="0020569A">
      <w:pPr>
        <w:ind w:left="-284" w:right="-426" w:firstLine="708"/>
        <w:jc w:val="center"/>
      </w:pPr>
      <w:r>
        <w:t>GREFIER</w:t>
      </w:r>
    </w:p>
    <w:p w:rsidR="00AB64EC" w:rsidRDefault="00E737CA">
      <w:pPr>
        <w:ind w:left="-284" w:right="-426" w:firstLine="708"/>
        <w:jc w:val="center"/>
      </w:pPr>
      <w:r>
        <w:t>...</w:t>
      </w:r>
    </w:p>
    <w:p w:rsidR="00AB64EC" w:rsidRDefault="00AB64EC">
      <w:pPr>
        <w:ind w:left="-284" w:right="-426"/>
      </w:pPr>
    </w:p>
    <w:p w:rsidR="00AB64EC" w:rsidRDefault="00AB64EC">
      <w:pPr>
        <w:ind w:left="-284" w:right="-426"/>
      </w:pPr>
    </w:p>
    <w:p w:rsidR="00AB64EC" w:rsidRDefault="0020569A">
      <w:pPr>
        <w:ind w:left="-284" w:right="-426"/>
        <w:rPr>
          <w:rStyle w:val="Fontdeparagrafimplicit"/>
          <w:sz w:val="20"/>
        </w:rPr>
      </w:pPr>
      <w:r>
        <w:rPr>
          <w:rStyle w:val="Fontdeparagrafimplicit"/>
          <w:sz w:val="20"/>
        </w:rPr>
        <w:t>Red.</w:t>
      </w:r>
      <w:r w:rsidR="00E737CA">
        <w:rPr>
          <w:rStyle w:val="Fontdeparagrafimplicit"/>
          <w:sz w:val="20"/>
        </w:rPr>
        <w:t>A0004/...</w:t>
      </w:r>
    </w:p>
    <w:p w:rsidR="00AB64EC" w:rsidRDefault="0020569A">
      <w:pPr>
        <w:ind w:left="-284" w:right="-426"/>
        <w:rPr>
          <w:rStyle w:val="Fontdeparagrafimplicit"/>
          <w:sz w:val="20"/>
        </w:rPr>
      </w:pPr>
      <w:r>
        <w:rPr>
          <w:rStyle w:val="Fontdeparagrafimplicit"/>
          <w:sz w:val="20"/>
        </w:rPr>
        <w:t>5ex./</w:t>
      </w:r>
      <w:r w:rsidR="00E737CA">
        <w:rPr>
          <w:rStyle w:val="Fontdeparagrafimplicit"/>
          <w:sz w:val="20"/>
        </w:rPr>
        <w:t>...</w:t>
      </w:r>
    </w:p>
    <w:p w:rsidR="00AB64EC" w:rsidRDefault="00AB64EC">
      <w:pPr>
        <w:ind w:left="-284" w:right="-426"/>
        <w:rPr>
          <w:rStyle w:val="Fontdeparagrafimplicit"/>
          <w:color w:val="FF0000"/>
        </w:rPr>
      </w:pPr>
    </w:p>
    <w:p w:rsidR="00AB64EC" w:rsidRDefault="00AB64EC">
      <w:pPr>
        <w:jc w:val="center"/>
        <w:rPr>
          <w:rStyle w:val="Fontdeparagrafimplicit"/>
        </w:rPr>
      </w:pPr>
    </w:p>
    <w:sectPr w:rsidR="00AB64EC">
      <w:footerReference w:type="even" r:id="rId6"/>
      <w:footerReference w:type="default" r:id="rId7"/>
      <w:pgSz w:w="11906" w:h="16838"/>
      <w:pgMar w:top="851"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1025" w:rsidRDefault="0020569A">
      <w:r>
        <w:separator/>
      </w:r>
    </w:p>
  </w:endnote>
  <w:endnote w:type="continuationSeparator" w:id="0">
    <w:p w:rsidR="000B1025" w:rsidRDefault="00205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4EC" w:rsidRDefault="0020569A">
    <w:pPr>
      <w:pStyle w:val="Subsol"/>
      <w:framePr w:wrap="around" w:hAnchor="margin" w:vAnchor="text" w:xAlign="outside"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AB64EC" w:rsidRDefault="00AB64EC">
    <w:pPr>
      <w:pStyle w:val="Subsol"/>
      <w:ind w:right="360" w:firstLine="360"/>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4EC" w:rsidRDefault="0020569A">
    <w:pPr>
      <w:pStyle w:val="Subsol"/>
      <w:framePr w:wrap="around" w:hAnchor="margin" w:vAnchor="text" w:xAlign="outside"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AB64EC" w:rsidRDefault="00AB64EC">
    <w:pPr>
      <w:pStyle w:val="Subsol"/>
      <w:ind w:right="360" w:firstLine="360"/>
      <w:rPr>
        <w:rStyle w:val="Numrdepag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1025" w:rsidRDefault="0020569A">
      <w:r>
        <w:separator/>
      </w:r>
    </w:p>
  </w:footnote>
  <w:footnote w:type="continuationSeparator" w:id="0">
    <w:p w:rsidR="000B1025" w:rsidRDefault="002056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bd-cjca:80/ecris_cdms/document_upload.aspx?id_document=3300000001711166&amp;id_departament=7&amp;id_sesiune=2154000&amp;id_user=185&amp;id_institutie=33&amp;actiune=modifica"/>
  </w:docVars>
  <w:rsids>
    <w:rsidRoot w:val="00AB64EC"/>
    <w:rsid w:val="000B1025"/>
    <w:rsid w:val="0020569A"/>
    <w:rsid w:val="00445BFF"/>
    <w:rsid w:val="008E2EA5"/>
    <w:rsid w:val="00900917"/>
    <w:rsid w:val="00AB64EC"/>
    <w:rsid w:val="00E737CA"/>
    <w:rsid w:val="00FF72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80A14"/>
  <w15:docId w15:val="{5C11C379-C201-4B4E-9D3F-CBE5180D2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ccentuat">
    <w:name w:val="Accentuat"/>
    <w:basedOn w:val="Fontdeparagrafimplicit"/>
    <w:rPr>
      <w:i/>
    </w:rPr>
  </w:style>
  <w:style w:type="character" w:customStyle="1" w:styleId="Robust">
    <w:name w:val="Robust"/>
    <w:basedOn w:val="Fontdeparagrafimplicit"/>
    <w:rPr>
      <w:b/>
    </w:rPr>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11</ap:TotalTime>
  <ap:Pages>5</ap:Pages>
  <ap:Words>2678</ap:Words>
  <ap:Characters>15537</ap:Characters>
  <ap:Application>Microsoft Office Word</ap:Application>
  <ap:DocSecurity>0</ap:DocSecurity>
  <ap:Lines>129</ap:Lines>
  <ap:Paragraphs>36</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18179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