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8FF313" w14:textId="5AE8A5F7" w:rsidR="004B4E21" w:rsidRDefault="00A8394A">
      <w:pPr>
        <w:rPr>
          <w:rStyle w:val="Fontdeparagrafimplicit1"/>
          <w:rFonts w:ascii="Garamond" w:hAnsi="Garamond"/>
        </w:rPr>
      </w:pPr>
      <w:r>
        <w:rPr>
          <w:rStyle w:val="Fontdeparagrafimplicit1"/>
          <w:rFonts w:ascii="Garamond" w:hAnsi="Garamond"/>
        </w:rPr>
        <w:t>Cod ECLI    ECLI:RO:CA</w:t>
      </w:r>
      <w:r w:rsidR="006D60B3">
        <w:rPr>
          <w:rStyle w:val="Fontdeparagrafimplicit1"/>
          <w:rFonts w:ascii="Garamond" w:hAnsi="Garamond"/>
        </w:rPr>
        <w:t>....</w:t>
      </w:r>
    </w:p>
    <w:p w14:paraId="196D1458" w14:textId="77777777" w:rsidR="004B4E21" w:rsidRDefault="00A8394A">
      <w:pPr>
        <w:rPr>
          <w:rStyle w:val="Fontdeparagrafimplicit1"/>
          <w:b/>
          <w:i/>
        </w:rPr>
      </w:pPr>
      <w:r>
        <w:rPr>
          <w:rStyle w:val="Fontdeparagrafimplicit1"/>
          <w:b/>
          <w:i/>
        </w:rPr>
        <w:t>R O M Â N I A</w:t>
      </w:r>
      <w:r>
        <w:rPr>
          <w:rStyle w:val="Fontdeparagrafimplicit1"/>
          <w:b/>
          <w:i/>
        </w:rPr>
        <w:tab/>
      </w:r>
      <w:r>
        <w:rPr>
          <w:rStyle w:val="Fontdeparagrafimplicit1"/>
          <w:b/>
          <w:i/>
        </w:rPr>
        <w:tab/>
      </w:r>
      <w:r>
        <w:rPr>
          <w:rStyle w:val="Fontdeparagrafimplicit1"/>
          <w:b/>
          <w:i/>
        </w:rPr>
        <w:tab/>
      </w:r>
      <w:r>
        <w:rPr>
          <w:rStyle w:val="Fontdeparagrafimplicit1"/>
          <w:b/>
          <w:i/>
        </w:rPr>
        <w:tab/>
      </w:r>
      <w:r>
        <w:rPr>
          <w:rStyle w:val="Fontdeparagrafimplicit1"/>
          <w:b/>
          <w:i/>
        </w:rPr>
        <w:tab/>
      </w:r>
      <w:r>
        <w:rPr>
          <w:rStyle w:val="Fontdeparagrafimplicit1"/>
          <w:b/>
          <w:i/>
        </w:rPr>
        <w:tab/>
      </w:r>
      <w:r>
        <w:rPr>
          <w:rStyle w:val="Fontdeparagrafimplicit1"/>
          <w:b/>
          <w:i/>
        </w:rPr>
        <w:tab/>
      </w:r>
      <w:r>
        <w:rPr>
          <w:rStyle w:val="Fontdeparagrafimplicit1"/>
          <w:b/>
          <w:i/>
        </w:rPr>
        <w:tab/>
      </w:r>
    </w:p>
    <w:p w14:paraId="08B231CA" w14:textId="5D82849A" w:rsidR="004B4E21" w:rsidRDefault="00A8394A">
      <w:pPr>
        <w:rPr>
          <w:rStyle w:val="Fontdeparagrafimplicit1"/>
          <w:b/>
          <w:i/>
        </w:rPr>
      </w:pPr>
      <w:r>
        <w:rPr>
          <w:rStyle w:val="Fontdeparagrafimplicit1"/>
          <w:b/>
          <w:i/>
        </w:rPr>
        <w:t xml:space="preserve">  CURTEA DE APEL </w:t>
      </w:r>
      <w:r w:rsidR="006D60B3">
        <w:rPr>
          <w:rStyle w:val="Fontdeparagrafimplicit1"/>
          <w:b/>
          <w:i/>
        </w:rPr>
        <w:t>X</w:t>
      </w:r>
    </w:p>
    <w:p w14:paraId="372CC03D" w14:textId="11F14E2E" w:rsidR="004B4E21" w:rsidRDefault="00A8394A">
      <w:pPr>
        <w:rPr>
          <w:rStyle w:val="Fontdeparagrafimplicit1"/>
          <w:b/>
          <w:i/>
        </w:rPr>
      </w:pPr>
      <w:r>
        <w:rPr>
          <w:rStyle w:val="Fontdeparagrafimplicit1"/>
          <w:b/>
          <w:i/>
        </w:rPr>
        <w:t xml:space="preserve">    SECŢIA  </w:t>
      </w:r>
      <w:r w:rsidR="006D60B3">
        <w:rPr>
          <w:rStyle w:val="Fontdeparagrafimplicit1"/>
          <w:b/>
          <w:i/>
        </w:rPr>
        <w:t>....</w:t>
      </w:r>
    </w:p>
    <w:p w14:paraId="4AD7C44B" w14:textId="3D91F37B" w:rsidR="004B4E21" w:rsidRDefault="00A8394A">
      <w:pPr>
        <w:rPr>
          <w:rStyle w:val="Fontdeparagrafimplicit1"/>
          <w:b/>
          <w:i/>
        </w:rPr>
      </w:pPr>
      <w:r>
        <w:rPr>
          <w:rStyle w:val="Fontdeparagrafimplicit1"/>
          <w:b/>
          <w:i/>
        </w:rPr>
        <w:t xml:space="preserve"> Număr operator de date cu caracter personal </w:t>
      </w:r>
      <w:r w:rsidR="006D60B3">
        <w:rPr>
          <w:rStyle w:val="Fontdeparagrafimplicit1"/>
          <w:b/>
          <w:i/>
        </w:rPr>
        <w:t>....</w:t>
      </w:r>
    </w:p>
    <w:p w14:paraId="52924CCF" w14:textId="14F8FBB3" w:rsidR="004B4E21" w:rsidRDefault="00A8394A">
      <w:pPr>
        <w:rPr>
          <w:rStyle w:val="Fontdeparagrafimplicit1"/>
          <w:b/>
          <w:i/>
        </w:rPr>
      </w:pPr>
      <w:r>
        <w:rPr>
          <w:rStyle w:val="Fontdeparagrafimplicit1"/>
          <w:b/>
          <w:i/>
        </w:rPr>
        <w:t xml:space="preserve">  DOSAR NR. </w:t>
      </w:r>
      <w:r w:rsidR="006D60B3">
        <w:rPr>
          <w:rStyle w:val="Fontdeparagrafimplicit1"/>
          <w:b/>
          <w:i/>
        </w:rPr>
        <w:t>...</w:t>
      </w:r>
      <w:r>
        <w:rPr>
          <w:rStyle w:val="Fontdeparagrafimplicit1"/>
          <w:b/>
          <w:i/>
        </w:rPr>
        <w:t>18</w:t>
      </w:r>
    </w:p>
    <w:p w14:paraId="519979B0" w14:textId="77777777" w:rsidR="004B4E21" w:rsidRDefault="00A8394A">
      <w:pPr>
        <w:rPr>
          <w:rStyle w:val="Fontdeparagrafimplicit1"/>
          <w:i/>
        </w:rPr>
      </w:pPr>
      <w:r>
        <w:rPr>
          <w:rStyle w:val="Fontdeparagrafimplicit1"/>
          <w:i/>
        </w:rPr>
        <w:t xml:space="preserve">          </w:t>
      </w:r>
    </w:p>
    <w:p w14:paraId="07DE42A3" w14:textId="77777777" w:rsidR="004B4E21" w:rsidRDefault="004B4E21">
      <w:pPr>
        <w:rPr>
          <w:rStyle w:val="Fontdeparagrafimplicit1"/>
          <w:i/>
        </w:rPr>
      </w:pPr>
    </w:p>
    <w:p w14:paraId="74AF17B1" w14:textId="7C031604" w:rsidR="004B4E21" w:rsidRDefault="00A8394A">
      <w:pPr>
        <w:keepNext/>
        <w:tabs>
          <w:tab w:val="left" w:pos="142"/>
        </w:tabs>
        <w:jc w:val="center"/>
        <w:outlineLvl w:val="0"/>
        <w:rPr>
          <w:rStyle w:val="Fontdeparagrafimplicit1"/>
          <w:b/>
          <w:i/>
          <w:u w:val="single"/>
        </w:rPr>
      </w:pPr>
      <w:r>
        <w:rPr>
          <w:rStyle w:val="Fontdeparagrafimplicit1"/>
          <w:b/>
          <w:i/>
          <w:u w:val="single"/>
        </w:rPr>
        <w:t xml:space="preserve">DECIZIA CIVILĂ NR. </w:t>
      </w:r>
      <w:r w:rsidR="006D60B3">
        <w:rPr>
          <w:rStyle w:val="Fontdeparagrafimplicit1"/>
          <w:b/>
          <w:i/>
          <w:u w:val="single"/>
        </w:rPr>
        <w:t>.....</w:t>
      </w:r>
      <w:r>
        <w:rPr>
          <w:rStyle w:val="Fontdeparagrafimplicit1"/>
          <w:b/>
          <w:i/>
          <w:u w:val="single"/>
        </w:rPr>
        <w:t xml:space="preserve">  </w:t>
      </w:r>
    </w:p>
    <w:p w14:paraId="7C2CCF24" w14:textId="77777777" w:rsidR="004B4E21" w:rsidRDefault="004B4E21">
      <w:pPr>
        <w:keepNext/>
        <w:jc w:val="center"/>
        <w:outlineLvl w:val="0"/>
        <w:rPr>
          <w:rStyle w:val="Fontdeparagrafimplicit1"/>
          <w:b/>
          <w:i/>
          <w:u w:val="single"/>
        </w:rPr>
      </w:pPr>
    </w:p>
    <w:p w14:paraId="5E13A35E" w14:textId="79F641B0" w:rsidR="004B4E21" w:rsidRDefault="00A8394A">
      <w:pPr>
        <w:jc w:val="center"/>
        <w:rPr>
          <w:rStyle w:val="Fontdeparagrafimplicit1"/>
          <w:b/>
          <w:i/>
        </w:rPr>
      </w:pPr>
      <w:r>
        <w:rPr>
          <w:rStyle w:val="Fontdeparagrafimplicit1"/>
          <w:b/>
          <w:i/>
        </w:rPr>
        <w:t xml:space="preserve">Şedinţa publică din </w:t>
      </w:r>
      <w:r w:rsidR="006D60B3">
        <w:rPr>
          <w:rStyle w:val="Fontdeparagrafimplicit1"/>
          <w:b/>
          <w:i/>
        </w:rPr>
        <w:t>....</w:t>
      </w:r>
      <w:r>
        <w:rPr>
          <w:rStyle w:val="Fontdeparagrafimplicit1"/>
          <w:b/>
          <w:i/>
        </w:rPr>
        <w:t xml:space="preserve">   </w:t>
      </w:r>
    </w:p>
    <w:p w14:paraId="326F40C4" w14:textId="77777777" w:rsidR="004B4E21" w:rsidRDefault="004B4E21">
      <w:pPr>
        <w:jc w:val="center"/>
        <w:rPr>
          <w:rStyle w:val="Fontdeparagrafimplicit1"/>
          <w:b/>
          <w:i/>
        </w:rPr>
      </w:pPr>
    </w:p>
    <w:p w14:paraId="71145D17" w14:textId="684879DD" w:rsidR="004B4E21" w:rsidRDefault="00A8394A">
      <w:pPr>
        <w:ind w:left="2124" w:firstLine="708"/>
        <w:rPr>
          <w:rStyle w:val="Fontdeparagrafimplicit1"/>
          <w:b/>
          <w:i/>
        </w:rPr>
      </w:pPr>
      <w:r>
        <w:rPr>
          <w:rStyle w:val="Fontdeparagrafimplicit1"/>
          <w:b/>
          <w:i/>
        </w:rPr>
        <w:t xml:space="preserve">PREŞEDINTE: </w:t>
      </w:r>
      <w:r w:rsidR="006D60B3">
        <w:rPr>
          <w:rStyle w:val="Fontdeparagrafimplicit1"/>
          <w:i/>
        </w:rPr>
        <w:t>A0011</w:t>
      </w:r>
      <w:r>
        <w:rPr>
          <w:rStyle w:val="Fontdeparagrafimplicit1"/>
          <w:b/>
          <w:i/>
        </w:rPr>
        <w:t xml:space="preserve"> </w:t>
      </w:r>
    </w:p>
    <w:p w14:paraId="35443CE8" w14:textId="2689CD39" w:rsidR="004B4E21" w:rsidRDefault="00A8394A">
      <w:pPr>
        <w:ind w:left="2124" w:firstLine="708"/>
        <w:rPr>
          <w:rStyle w:val="Fontdeparagrafimplicit1"/>
          <w:b/>
          <w:i/>
        </w:rPr>
      </w:pPr>
      <w:r>
        <w:rPr>
          <w:rStyle w:val="Fontdeparagrafimplicit1"/>
          <w:b/>
          <w:i/>
        </w:rPr>
        <w:t xml:space="preserve">JUDECĂTOR: </w:t>
      </w:r>
      <w:r w:rsidR="006D60B3">
        <w:rPr>
          <w:rStyle w:val="Fontdeparagrafimplicit1"/>
          <w:i/>
        </w:rPr>
        <w:t>....</w:t>
      </w:r>
    </w:p>
    <w:p w14:paraId="15E16C5F" w14:textId="546AE0C7" w:rsidR="004B4E21" w:rsidRDefault="00A8394A">
      <w:pPr>
        <w:ind w:left="2124" w:firstLine="708"/>
        <w:rPr>
          <w:rStyle w:val="Fontdeparagrafimplicit1"/>
          <w:b/>
          <w:i/>
        </w:rPr>
      </w:pPr>
      <w:r>
        <w:rPr>
          <w:rStyle w:val="Fontdeparagrafimplicit1"/>
          <w:b/>
          <w:i/>
        </w:rPr>
        <w:t xml:space="preserve">GREFIER: </w:t>
      </w:r>
      <w:r w:rsidR="006D60B3">
        <w:rPr>
          <w:rStyle w:val="Fontdeparagrafimplicit1"/>
          <w:i/>
        </w:rPr>
        <w:t>....</w:t>
      </w:r>
      <w:r>
        <w:rPr>
          <w:rStyle w:val="Fontdeparagrafimplicit1"/>
          <w:i/>
        </w:rPr>
        <w:t xml:space="preserve"> </w:t>
      </w:r>
    </w:p>
    <w:p w14:paraId="0407350F" w14:textId="77777777" w:rsidR="004B4E21" w:rsidRDefault="004B4E21">
      <w:pPr>
        <w:ind w:firstLine="708"/>
        <w:jc w:val="both"/>
        <w:rPr>
          <w:rStyle w:val="Fontdeparagrafimplicit1"/>
        </w:rPr>
      </w:pPr>
    </w:p>
    <w:p w14:paraId="238B2AF0" w14:textId="76226C79" w:rsidR="004B4E21" w:rsidRDefault="00A8394A">
      <w:pPr>
        <w:ind w:firstLine="708"/>
        <w:jc w:val="both"/>
      </w:pPr>
      <w:r>
        <w:t xml:space="preserve">Pe rol fiind soluţionarea apelului civil declarat de apelanta </w:t>
      </w:r>
      <w:r>
        <w:rPr>
          <w:rStyle w:val="Fontdeparagrafimplicit1"/>
          <w:b/>
        </w:rPr>
        <w:t xml:space="preserve">CASA JUDEŢEANĂ DE PENSII </w:t>
      </w:r>
      <w:r w:rsidR="006D60B3">
        <w:rPr>
          <w:rStyle w:val="Fontdeparagrafimplicit1"/>
          <w:b/>
        </w:rPr>
        <w:t>Z</w:t>
      </w:r>
      <w:r>
        <w:t>,</w:t>
      </w:r>
      <w:r>
        <w:rPr>
          <w:rStyle w:val="Fontdeparagrafimplicit1"/>
          <w:b/>
        </w:rPr>
        <w:t xml:space="preserve"> </w:t>
      </w:r>
      <w:r>
        <w:t xml:space="preserve">cu sediul în </w:t>
      </w:r>
      <w:r w:rsidR="006D60B3">
        <w:t>X</w:t>
      </w:r>
      <w:r>
        <w:t xml:space="preserve">, str. </w:t>
      </w:r>
      <w:r w:rsidR="006D60B3">
        <w:t>...</w:t>
      </w:r>
      <w:r>
        <w:t xml:space="preserve">, nr. </w:t>
      </w:r>
      <w:r w:rsidR="006D60B3">
        <w:t>...</w:t>
      </w:r>
      <w:r>
        <w:t xml:space="preserve">, jud. </w:t>
      </w:r>
      <w:r w:rsidR="006D60B3">
        <w:t>Z</w:t>
      </w:r>
      <w:r>
        <w:t xml:space="preserve">, în contradictoriu cu intimatul </w:t>
      </w:r>
      <w:r w:rsidR="006D60B3">
        <w:rPr>
          <w:rStyle w:val="Fontdeparagrafimplicit1"/>
          <w:b/>
        </w:rPr>
        <w:t>FA</w:t>
      </w:r>
      <w:r>
        <w:t xml:space="preserve">, identificat prin CNP </w:t>
      </w:r>
      <w:r w:rsidR="006D60B3">
        <w:t>...</w:t>
      </w:r>
      <w:r>
        <w:t xml:space="preserve">, cu domiciliul în comuna </w:t>
      </w:r>
      <w:r w:rsidR="006D60B3">
        <w:t>S</w:t>
      </w:r>
      <w:r>
        <w:t xml:space="preserve">, sat </w:t>
      </w:r>
      <w:r w:rsidR="006D60B3">
        <w:t>C</w:t>
      </w:r>
      <w:r>
        <w:t xml:space="preserve">, str. </w:t>
      </w:r>
      <w:r w:rsidR="006D60B3">
        <w:t>...</w:t>
      </w:r>
      <w:r>
        <w:t xml:space="preserve"> nr.</w:t>
      </w:r>
      <w:r w:rsidR="006D60B3">
        <w:t>...</w:t>
      </w:r>
      <w:r>
        <w:t xml:space="preserve">, judeţul </w:t>
      </w:r>
      <w:r w:rsidR="006D60B3">
        <w:t>Z</w:t>
      </w:r>
      <w:r>
        <w:t>, împotriva Sentinţei civile nr.</w:t>
      </w:r>
      <w:r w:rsidR="006D60B3">
        <w:t>...</w:t>
      </w:r>
      <w:r>
        <w:t xml:space="preserve">din data de </w:t>
      </w:r>
      <w:r w:rsidR="006D60B3">
        <w:t>...</w:t>
      </w:r>
      <w:r>
        <w:t xml:space="preserve"> 2024, pronunţată de Tribunalul </w:t>
      </w:r>
      <w:r w:rsidR="006D60B3">
        <w:t>Z</w:t>
      </w:r>
      <w:r>
        <w:t xml:space="preserve">, având ca obiect obligaţie de a face.  </w:t>
      </w:r>
    </w:p>
    <w:p w14:paraId="2CFAEC4A" w14:textId="77777777" w:rsidR="004B4E21" w:rsidRDefault="00A8394A">
      <w:pPr>
        <w:ind w:firstLine="708"/>
        <w:jc w:val="both"/>
      </w:pPr>
      <w:r>
        <w:t xml:space="preserve">La apelul nominal făcut în şedinţa publică de azi se constată lipsa părţilor. </w:t>
      </w:r>
    </w:p>
    <w:p w14:paraId="3147A814" w14:textId="77777777" w:rsidR="004B4E21" w:rsidRDefault="00A8394A">
      <w:pPr>
        <w:ind w:right="-5" w:firstLine="720"/>
        <w:jc w:val="both"/>
      </w:pPr>
      <w:r>
        <w:t>Procedura de citare a părţilor este legal îndeplinită.</w:t>
      </w:r>
    </w:p>
    <w:p w14:paraId="2507CEE6" w14:textId="77777777" w:rsidR="004B4E21" w:rsidRDefault="00A8394A">
      <w:pPr>
        <w:ind w:firstLine="709"/>
        <w:jc w:val="both"/>
      </w:pPr>
      <w:r>
        <w:t>S-a făcut referatul cauzei învederându-se instanței faptul că prezentul apel este scutit de plata taxei judiciare de timbru, precum și că în cauză s-a solicitat judecarea în lipsă, după care:</w:t>
      </w:r>
    </w:p>
    <w:p w14:paraId="379919E8" w14:textId="77777777" w:rsidR="004B4E21" w:rsidRDefault="00A8394A">
      <w:pPr>
        <w:ind w:firstLine="709"/>
        <w:jc w:val="both"/>
      </w:pPr>
      <w:r>
        <w:t xml:space="preserve">Curtea, în baza art. 482 cu referire la art. 394 alin. 1 din Cod procedură civilă, consideră că au fost lămurite toate împrejurările de fapt şi temeiurile de drept ale cauzei şi declară închise dezbaterile, reținând cauza pentru deliberare şi pronunțare. </w:t>
      </w:r>
    </w:p>
    <w:p w14:paraId="0783B6A5" w14:textId="77777777" w:rsidR="004B4E21" w:rsidRDefault="004B4E21">
      <w:pPr>
        <w:jc w:val="both"/>
      </w:pPr>
    </w:p>
    <w:p w14:paraId="630297DA" w14:textId="77777777" w:rsidR="004B4E21" w:rsidRDefault="00A8394A">
      <w:pPr>
        <w:jc w:val="center"/>
        <w:rPr>
          <w:rStyle w:val="Fontdeparagrafimplicit1"/>
          <w:b/>
          <w:i/>
        </w:rPr>
      </w:pPr>
      <w:r>
        <w:rPr>
          <w:rStyle w:val="Fontdeparagrafimplicit1"/>
          <w:b/>
          <w:i/>
        </w:rPr>
        <w:t xml:space="preserve">CURTEA DE APEL </w:t>
      </w:r>
    </w:p>
    <w:p w14:paraId="75888412" w14:textId="77777777" w:rsidR="004B4E21" w:rsidRDefault="00A8394A">
      <w:pPr>
        <w:jc w:val="center"/>
        <w:rPr>
          <w:rStyle w:val="Fontdeparagrafimplicit1"/>
          <w:b/>
          <w:i/>
        </w:rPr>
      </w:pPr>
      <w:r>
        <w:rPr>
          <w:rStyle w:val="Fontdeparagrafimplicit1"/>
          <w:b/>
          <w:i/>
        </w:rPr>
        <w:t xml:space="preserve">D E L I B E R Â N D : </w:t>
      </w:r>
    </w:p>
    <w:p w14:paraId="113FACBD" w14:textId="77777777" w:rsidR="004B4E21" w:rsidRDefault="004B4E21">
      <w:pPr>
        <w:jc w:val="both"/>
        <w:rPr>
          <w:rStyle w:val="Fontdeparagrafimplicit1"/>
        </w:rPr>
      </w:pPr>
    </w:p>
    <w:p w14:paraId="52D28E6C" w14:textId="77777777" w:rsidR="004B4E21" w:rsidRDefault="00A8394A">
      <w:pPr>
        <w:jc w:val="both"/>
        <w:rPr>
          <w:rStyle w:val="Fontdeparagrafimplicit1"/>
          <w:b/>
        </w:rPr>
      </w:pPr>
      <w:r>
        <w:tab/>
      </w:r>
      <w:r>
        <w:rPr>
          <w:rStyle w:val="Fontdeparagrafimplicit1"/>
          <w:b/>
        </w:rPr>
        <w:t>Asupra apelului de față, instanța constată următoarele :</w:t>
      </w:r>
    </w:p>
    <w:p w14:paraId="72AEB52D" w14:textId="54872D53" w:rsidR="004B4E21" w:rsidRDefault="00A8394A">
      <w:pPr>
        <w:jc w:val="both"/>
      </w:pPr>
      <w:r>
        <w:rPr>
          <w:rStyle w:val="Fontdeparagrafimplicit1"/>
          <w:b/>
        </w:rPr>
        <w:tab/>
      </w:r>
      <w:r>
        <w:t>Prin Sentinţa civilă nr.</w:t>
      </w:r>
      <w:r w:rsidR="006D60B3">
        <w:t>...</w:t>
      </w:r>
      <w:r>
        <w:t xml:space="preserve">din data de </w:t>
      </w:r>
      <w:r w:rsidR="006D60B3">
        <w:t>...</w:t>
      </w:r>
      <w:r>
        <w:t xml:space="preserve"> 2024, pronunţată de Tribunalul </w:t>
      </w:r>
      <w:r w:rsidR="006D60B3">
        <w:t>Z</w:t>
      </w:r>
      <w:r>
        <w:t xml:space="preserve">, a fost admisă contestaţia formulată de contestatorul </w:t>
      </w:r>
      <w:r w:rsidR="006D60B3">
        <w:t>FA</w:t>
      </w:r>
      <w:r>
        <w:t xml:space="preserve">, în contradictoriu cu intimata Casa Judeţeană de Pensii </w:t>
      </w:r>
      <w:r w:rsidR="006D60B3">
        <w:t>Z</w:t>
      </w:r>
      <w:r>
        <w:t>.</w:t>
      </w:r>
    </w:p>
    <w:p w14:paraId="3369676D" w14:textId="3CA57EDE" w:rsidR="004B4E21" w:rsidRDefault="00A8394A">
      <w:pPr>
        <w:jc w:val="both"/>
      </w:pPr>
      <w:r>
        <w:tab/>
        <w:t xml:space="preserve">S-a dispus anularea deciziei nr. </w:t>
      </w:r>
      <w:r w:rsidR="006D60B3">
        <w:t>...</w:t>
      </w:r>
      <w:r>
        <w:t>/26.06.2023 privind acordarea pensiei anticipate parţiale şi a deciziei nr.</w:t>
      </w:r>
      <w:r w:rsidR="006D60B3">
        <w:t>...</w:t>
      </w:r>
      <w:r>
        <w:t xml:space="preserve">/08.08.2023 privind revizuirea pensiei anticipate parţiale, ambele emise de Casa Judeţeană de Pensii </w:t>
      </w:r>
      <w:r w:rsidR="006D60B3">
        <w:t>Z</w:t>
      </w:r>
      <w:r>
        <w:t>.</w:t>
      </w:r>
    </w:p>
    <w:p w14:paraId="6DB17F9C" w14:textId="24988BEB" w:rsidR="004B4E21" w:rsidRDefault="00A8394A">
      <w:pPr>
        <w:ind w:firstLine="709"/>
        <w:jc w:val="both"/>
      </w:pPr>
      <w:r>
        <w:t xml:space="preserve">A fost obligată intimata Casa Judeţeană de Pensii </w:t>
      </w:r>
      <w:r w:rsidR="006D60B3">
        <w:t>Z</w:t>
      </w:r>
      <w:r>
        <w:t xml:space="preserve"> să emită o nouă decizie de pensie pe numele contestatorului cu valorificarea în grupa II de muncă în procent de 100 % a perioadei 20.03.1985-31.07.1991, cuprinse în adeverinţa nr.</w:t>
      </w:r>
      <w:r w:rsidR="006D60B3">
        <w:t>...</w:t>
      </w:r>
      <w:r>
        <w:t xml:space="preserve">/22.11.2012 emisă de SC </w:t>
      </w:r>
      <w:r w:rsidR="006D60B3">
        <w:t>ENJ</w:t>
      </w:r>
      <w:r>
        <w:t xml:space="preserve"> SA.</w:t>
      </w:r>
    </w:p>
    <w:p w14:paraId="4D797AA8" w14:textId="6C76957B" w:rsidR="004B4E21" w:rsidRDefault="00A8394A">
      <w:pPr>
        <w:ind w:firstLine="709"/>
        <w:jc w:val="both"/>
      </w:pPr>
      <w:r>
        <w:t xml:space="preserve">A fost obligată intimata Casa Judeţeană de Pensii </w:t>
      </w:r>
      <w:r w:rsidR="006D60B3">
        <w:t>Z</w:t>
      </w:r>
      <w:r>
        <w:t xml:space="preserve"> să emită o nouă decizie de pensie pe numele contestatorului cu valorificarea veniturilor cu titlu de primă realizări deosebite, primă de vacanţă, prima de Paşte, prima de Crăciun, Prima ziua CEC, menţionate în adeverinţa nr. </w:t>
      </w:r>
      <w:r w:rsidR="006D60B3">
        <w:t>...</w:t>
      </w:r>
      <w:r>
        <w:t xml:space="preserve">/10.03.2022 emisă de CEC </w:t>
      </w:r>
      <w:r w:rsidR="0070657E">
        <w:t>B</w:t>
      </w:r>
      <w:r>
        <w:t xml:space="preserve"> aferente perioadei noiembrie 1991 - decembrie 2000, precum şi veniturile cu titlu de ore suplimentare cuprinse în adeverinţa nr. </w:t>
      </w:r>
      <w:r w:rsidR="006D60B3">
        <w:t>...</w:t>
      </w:r>
      <w:r>
        <w:t xml:space="preserve">/17.03.2022 emisă de CEC </w:t>
      </w:r>
      <w:r w:rsidR="0070657E">
        <w:t>B</w:t>
      </w:r>
      <w:r>
        <w:t xml:space="preserve"> aferente perioadei noiembrie 1991-iunie 2000, şi să-i achite acestuia diferenţele de pensie rezultate ca urmare a recalculării pensiei, începând cu data de 16.05.2023, sume ce vor fi actualizate cu indicele de inflaţie la data efectivă a plăţii.</w:t>
      </w:r>
    </w:p>
    <w:p w14:paraId="486369F4" w14:textId="77777777" w:rsidR="004B4E21" w:rsidRDefault="00A8394A">
      <w:pPr>
        <w:ind w:firstLine="709"/>
        <w:jc w:val="both"/>
      </w:pPr>
      <w:r>
        <w:t>A fost obligată intimata la plata către contestator a sumei de 1250 lei cu titlu de cheltuieli de judecată reprezentând onorariu avocat.</w:t>
      </w:r>
    </w:p>
    <w:p w14:paraId="28E49733" w14:textId="77777777" w:rsidR="004B4E21" w:rsidRDefault="00A8394A">
      <w:pPr>
        <w:ind w:firstLine="709"/>
        <w:jc w:val="both"/>
      </w:pPr>
      <w:r>
        <w:t xml:space="preserve">Pentru a pronunţa astfel, tribunalul a reţinut următoarele : </w:t>
      </w:r>
    </w:p>
    <w:p w14:paraId="64894608" w14:textId="1DD2290C" w:rsidR="004B4E21" w:rsidRDefault="00A8394A">
      <w:pPr>
        <w:ind w:firstLine="709"/>
        <w:jc w:val="both"/>
      </w:pPr>
      <w:r>
        <w:lastRenderedPageBreak/>
        <w:t>În fapt, prin decizia nr.</w:t>
      </w:r>
      <w:r w:rsidR="006D60B3">
        <w:t>...</w:t>
      </w:r>
      <w:r>
        <w:t>/26.06.2023 a fost admisă cererea contestatorului de acordare a pensiei anticipate parţiale în baza prevederilor Legii nr.263/2010.</w:t>
      </w:r>
    </w:p>
    <w:p w14:paraId="01509E31" w14:textId="77777777" w:rsidR="004B4E21" w:rsidRDefault="00A8394A">
      <w:pPr>
        <w:ind w:firstLine="709"/>
        <w:jc w:val="both"/>
      </w:pPr>
      <w:r>
        <w:t>În cuprinsul acestei decizii, intimata a făcut menţiunea potrivit căreia la stabilirea drepturilor de pensie nu au fost valorificate perioadele 20.03.1985-01.11.1987, 01.04.1988-01.05.1988, 01.11.1987-01.04.1988 si 01.10.1989-01.08.1991 ca fiind desfăşurate în grupa a II a de munca, ele fiind valorificate în condiţii normale de munca deoarece în acea perioada, contestatorul si-a desfăşurat activitate în funcţia de tractorist si şofer funcţie care nu sunt prevăzute in dispoziţiile H.G.nr.1223/1990 respectiv art.2 anexa 2 art.117 din Ordinul 50/1990 ca fiind încadrate in grupa II de munca.</w:t>
      </w:r>
    </w:p>
    <w:p w14:paraId="0CD165E4" w14:textId="7FE74AC3" w:rsidR="004B4E21" w:rsidRDefault="00A8394A">
      <w:pPr>
        <w:ind w:firstLine="709"/>
        <w:jc w:val="both"/>
      </w:pPr>
      <w:r>
        <w:t xml:space="preserve">Ulterior, la data de 11.07.2023, contestatorul a înregistrat o cerere de recalculare a drepturilor de pensie cu valorificarea înscrierilor din adeverinţele nr. </w:t>
      </w:r>
      <w:r w:rsidR="006D60B3">
        <w:t>...</w:t>
      </w:r>
      <w:r>
        <w:t xml:space="preserve">/16.03.2022 si </w:t>
      </w:r>
      <w:r w:rsidR="006D60B3">
        <w:t>...</w:t>
      </w:r>
      <w:r>
        <w:t xml:space="preserve">/10.03.2022 eliberate de CEC </w:t>
      </w:r>
      <w:r w:rsidR="0070657E">
        <w:t>B</w:t>
      </w:r>
      <w:r>
        <w:t xml:space="preserve"> </w:t>
      </w:r>
      <w:r w:rsidR="006D60B3">
        <w:t>X</w:t>
      </w:r>
      <w:r>
        <w:t>. Cererea a fost soluţionată cu emiterea deciziei de recalculare cu nr.</w:t>
      </w:r>
      <w:r w:rsidR="006D60B3">
        <w:t>...</w:t>
      </w:r>
      <w:r>
        <w:t xml:space="preserve">/08.08.2023, fiind valorificat sporul de vechime din adeverinţa nr. </w:t>
      </w:r>
      <w:r w:rsidR="006D60B3">
        <w:t>...</w:t>
      </w:r>
      <w:r>
        <w:t>/16.03.2022. Sporurile de fidelitate si de confidenţialitate au fost valorificate iniţial la stabilirea drepturilor de pensie ale contestatorului.</w:t>
      </w:r>
    </w:p>
    <w:p w14:paraId="583E961F" w14:textId="01656468" w:rsidR="004B4E21" w:rsidRDefault="00A8394A">
      <w:pPr>
        <w:ind w:firstLine="709"/>
        <w:jc w:val="both"/>
      </w:pPr>
      <w:r>
        <w:t>Cu privire la sumele reprezentând prima realizări deosebite, prima de vacanta, prima de Paste, prima de Crăciun, prima ziua CEC înscrise in adeverinţa nr.</w:t>
      </w:r>
      <w:r w:rsidR="006D60B3">
        <w:t>...</w:t>
      </w:r>
      <w:r>
        <w:t>/16.03.2022, intimata a arătat că nu au fost valorificate la stabilirea drepturilor de pensie ale contestatorului deoarece sunt venituri care nu au caracter permanent in conformitate cu prevederile din Anexa nr.15 la Normele Metodologice de aplicare a Legii nr.263/2010, fiind invocate în susţinerea acestei poziţii dispoziţiile art.165 alin (1) si (2) din Legea nr.263/2010.</w:t>
      </w:r>
    </w:p>
    <w:p w14:paraId="741214BD" w14:textId="1EFA0AA5" w:rsidR="004B4E21" w:rsidRDefault="00A8394A">
      <w:pPr>
        <w:jc w:val="both"/>
      </w:pPr>
      <w:r>
        <w:tab/>
        <w:t>Instanţa a reţinut că obiectul dosarului îl reprezintă anularea deciziei nr.</w:t>
      </w:r>
      <w:r w:rsidR="006D60B3">
        <w:t>...</w:t>
      </w:r>
      <w:r>
        <w:t xml:space="preserve"> din data de 26.06.2023 comunicata la data de 03.07.2023, privind acordarea pensiei anticipate parţiale si obligarea paratei la emiterea unei noi decizii prin care sa valorifice integral perioada 20.03.1985-01.08.1991 ca fiind lucrată în grupa a II-a de muncă, conform adeverinţei nr.</w:t>
      </w:r>
      <w:r w:rsidR="006D60B3">
        <w:t>...</w:t>
      </w:r>
      <w:r>
        <w:t xml:space="preserve">/22.11.2022 eliberată de către SC </w:t>
      </w:r>
      <w:r w:rsidR="006D60B3">
        <w:t>ENJ</w:t>
      </w:r>
      <w:r>
        <w:t xml:space="preserve"> SA </w:t>
      </w:r>
      <w:r w:rsidR="0084090F">
        <w:t>B</w:t>
      </w:r>
      <w:r>
        <w:t>, anularea deciziei nr.</w:t>
      </w:r>
      <w:r w:rsidR="006D60B3">
        <w:t>...</w:t>
      </w:r>
      <w:r>
        <w:t xml:space="preserve">/08.08.2023 comunicată la data de 11.08.2023 privind revizuirea pensiei anticipate parţiale şi obligarea pârâtei la recalcularea pensiei sale prin emiterea unei noi decizii, urmare a luării în calcul a veniturilor cuprinse în adeverinţa nr. </w:t>
      </w:r>
      <w:r w:rsidR="006D60B3">
        <w:t>...</w:t>
      </w:r>
      <w:r>
        <w:t xml:space="preserve">/10.03.2022 si </w:t>
      </w:r>
      <w:r w:rsidR="006D60B3">
        <w:t>...</w:t>
      </w:r>
      <w:r>
        <w:t xml:space="preserve">/17.03.2022,eliberate de CEC </w:t>
      </w:r>
      <w:r w:rsidR="0070657E">
        <w:t>B</w:t>
      </w:r>
      <w:r>
        <w:t xml:space="preserve"> SA Sucursala </w:t>
      </w:r>
      <w:r w:rsidR="006D60B3">
        <w:t>X</w:t>
      </w:r>
      <w:r>
        <w:t>, obligarea pârâtei la plata diferențelor rezultate ca urmare a recalculării pensiei, începând cu data de 16.05.2023, reprezentând diferenţa dintre pensia in plata si pensia ce rezulta prin recalculare, sume ce vor fi reactualizate cu indicele de inflaţie la data plăţii efective.</w:t>
      </w:r>
    </w:p>
    <w:p w14:paraId="74B28759" w14:textId="77777777" w:rsidR="004B4E21" w:rsidRDefault="00A8394A">
      <w:pPr>
        <w:ind w:firstLine="709"/>
        <w:jc w:val="both"/>
      </w:pPr>
      <w:r>
        <w:t>Analizând punctual pretenţiile formulate de contestator, instanţa le-a apreciat ca fiind întemeiate.</w:t>
      </w:r>
    </w:p>
    <w:p w14:paraId="7FFF68B9" w14:textId="6835666E" w:rsidR="004B4E21" w:rsidRDefault="00A8394A">
      <w:pPr>
        <w:jc w:val="both"/>
      </w:pPr>
      <w:r>
        <w:tab/>
        <w:t>Prin adeverinţele nr.</w:t>
      </w:r>
      <w:r w:rsidR="006D60B3">
        <w:t>...</w:t>
      </w:r>
      <w:r>
        <w:t xml:space="preserve">/10.03.2022 şi </w:t>
      </w:r>
      <w:r w:rsidR="006D60B3">
        <w:t>...</w:t>
      </w:r>
      <w:r>
        <w:t xml:space="preserve">/17.03.2022 eliberate de CEC </w:t>
      </w:r>
      <w:r w:rsidR="0070657E">
        <w:t>B</w:t>
      </w:r>
      <w:r>
        <w:t xml:space="preserve"> SA - Sucursala </w:t>
      </w:r>
      <w:r w:rsidR="006D60B3">
        <w:t>X</w:t>
      </w:r>
      <w:r>
        <w:t xml:space="preserve"> se atestă că în perioadele noiembrie 1991 - decembrie 2000 şi noiembrie 1991-iunie 2000, contestatorul a obţinut veniturilor cu titlu de primă realizări deosebite, primă de vacanţă, prima de Paşte, prima de Crăciun, Prima ziua CEC, precum şi ore suplimentare, pentru care angajatorul a precizat că a achitat cotele de contribuţie la CAS.</w:t>
      </w:r>
    </w:p>
    <w:p w14:paraId="04618A1B" w14:textId="77777777" w:rsidR="004B4E21" w:rsidRDefault="00A8394A">
      <w:pPr>
        <w:ind w:firstLine="708"/>
        <w:jc w:val="both"/>
      </w:pPr>
      <w:r>
        <w:t xml:space="preserve">În drept, potrivit art.165 şi 166 din Legea nr.263/2010 la determinarea punctajelor lunare pentru perioadele anterioare datei de 01.04.2001 se utilizează salariile brute sau nete, după caz în conformitate cu modul de înscriere al acestora în carnetele de muncă astfel, salariile brute până la data de 01.07.1977, salariile nete de la data de 01.07.1977 până la data de 01.01.1991 şi salariile brute de la data de 01.01.1991. La determinarea punctajelor lunare pe lângă salariile mai sus amintite se au în vedere şi sporurile cu caracter permanent care după data de 01.04.1992 au făcut parte din baza de calcul a pensiilor conform legislaţiei anterioare şi care sunt înscrise în carnetul de muncă sau sunt dovedite cu adeverinţe eliberate de unităţi conform legislaţiei în vigoare. </w:t>
      </w:r>
    </w:p>
    <w:p w14:paraId="2CFBDBE4" w14:textId="77777777" w:rsidR="004B4E21" w:rsidRDefault="00A8394A">
      <w:pPr>
        <w:ind w:firstLine="708"/>
        <w:jc w:val="both"/>
      </w:pPr>
      <w:r>
        <w:t xml:space="preserve">În baza art.2 lit. e) din Legea nr.19/2000 respectiv art.2 lit.c din Legea nr.263/2010 drepturile de asigurări sociale se cuvin pe temeiul contribuţiilor de asigurări sociale plătite astfel că, principiul contributivităţii afirmat de aceste texte de lege primează, iar sporurile neînregistrate în carnetele de muncă şi care au intrat în bazele de calcul a contribuţiilor sociale </w:t>
      </w:r>
      <w:r>
        <w:lastRenderedPageBreak/>
        <w:t xml:space="preserve">şi au fost avute în vedere la calcularea şi aplicarea contribuţiilor, astfel că aceste drepturi sociale se cuvin pe temeiul contribuţiilor de asigurări sociale plătite. </w:t>
      </w:r>
    </w:p>
    <w:p w14:paraId="552F8880" w14:textId="77777777" w:rsidR="004B4E21" w:rsidRDefault="00A8394A">
      <w:pPr>
        <w:ind w:firstLine="708"/>
        <w:jc w:val="both"/>
      </w:pPr>
      <w:r>
        <w:t xml:space="preserve">Mai mult, prin decizia nr.19 din 17.10.2011, Înalta Curte de Casaţie şi Justiţie a soluţionat un recurs în interesul legii, stabilind că, în interpretarea dispoziţiilor art. 2 lit. e, art. 78 şi art. 164 al. 1 şi 2 din Legea nr. 19/2000 privind sistemul public de pensii şi alte drepturi de asigurări sociale, şi ale art. 1 şi 2 din OUG. nr. 4/2005, privind recalcularea pensiilor din sistemul public, provenite din fostul sistem al asigurărilor sociale de stat, formele de retribuire obţinute în acord global prevăzute de art. 12 al.1 lit. a din Legea nr. 57/1974 privind retribuirea după cantitatea şi calitatea muncii, vor fi luate în considerare la stabilirea şi recalcularea pensiilor din sistemul public, dacă au fost incluse în salariul brut şi pentru acestea s-a plătit contribuţia de asigurări sociale la sistemul public de pensii. </w:t>
      </w:r>
    </w:p>
    <w:p w14:paraId="1B948C11" w14:textId="77777777" w:rsidR="004B4E21" w:rsidRDefault="00A8394A">
      <w:pPr>
        <w:jc w:val="both"/>
      </w:pPr>
      <w:r>
        <w:tab/>
        <w:t xml:space="preserve"> În speţă, prin cele două adeverinţe depuse la intimată, se atestă că în perioadele noiembrie 1991 - decembrie 2000 şi noiembrie 1991-iunie 2000, contestatorul a obţinut veniturile indicate, pentru care angajatorul a precizat că a achitat cotele de contribuţie la CAS.</w:t>
      </w:r>
    </w:p>
    <w:p w14:paraId="2CCE1B6E" w14:textId="77777777" w:rsidR="004B4E21" w:rsidRDefault="00A8394A">
      <w:pPr>
        <w:ind w:firstLine="708"/>
        <w:jc w:val="both"/>
      </w:pPr>
      <w:r>
        <w:t>Deşi Decizia nr. 19 din 17.10.2011 se referă la dispoziţii ale Legii nr. 19/2000, câtă vreme problema de drept dedusă judecăţii este în esenţă aceeaşi, soluţia dată de Înalta Curte de Casaţie şi Justiţie este obligatorie pentru instanţele de judecată.</w:t>
      </w:r>
    </w:p>
    <w:p w14:paraId="79FF07B9" w14:textId="77777777" w:rsidR="004B4E21" w:rsidRDefault="00A8394A">
      <w:pPr>
        <w:ind w:firstLine="708"/>
        <w:jc w:val="both"/>
      </w:pPr>
      <w:r>
        <w:t>Instanţa a reţinut că, în perioada înainte de 1 aprilie 2001, baza de calcul a fost stabilită prin Legea nr. 3/1977. În această perioadă angajaţii nu au plătit contribuţie de asigurări sociale, aceasta a fost plătita numai de angajator pentru întreg fondul de salarii. Contribuţia plătită de angajaţi s-a numit „contribuţie pentru pensie suplimentara” şi pentru aceasta se acorda separat o majorare a punctajelor anuale. Baza de calcul a pensiei este constituită din salariul tarifar înscris in carnetul de munca si sporurile permanente prevăzute în Legea nr.57/1974 modificată prin Legea nr. 49/1992. Sporurile permanente au fost acordate sub forma de procent din salariu tarifar sau ca sumă fixa plătita pentru diverse compensări.</w:t>
      </w:r>
    </w:p>
    <w:p w14:paraId="47D85053" w14:textId="77777777" w:rsidR="004B4E21" w:rsidRDefault="00A8394A">
      <w:pPr>
        <w:ind w:firstLine="708"/>
        <w:jc w:val="both"/>
      </w:pPr>
      <w:r>
        <w:t xml:space="preserve">Conform </w:t>
      </w:r>
      <w:r>
        <w:rPr>
          <w:rStyle w:val="Fontdeparagrafimplicit1"/>
          <w:vanish/>
        </w:rPr>
        <w:t>&lt;LLNK 11974    57 11 702   8 38&gt;</w:t>
      </w:r>
      <w:r>
        <w:t xml:space="preserve">art. 8, 9 şi 117 din Legea nr.57/1974 şi </w:t>
      </w:r>
      <w:r>
        <w:rPr>
          <w:rStyle w:val="Fontdeparagrafimplicit1"/>
          <w:vanish/>
        </w:rPr>
        <w:t>&lt;LLNK 11983     2 10 702   4 32&gt;</w:t>
      </w:r>
      <w:r>
        <w:t xml:space="preserve">art.4 şi 5 din Legea nr.2/1983 cu privire la principiile de bază ale perfecţionării sistemului de retribuire a muncii şi de repartiţie a veniturilor oamenilor muncii, care reglementa lucrul în acord global şi instituia forma de retribuire prin acord global, veniturile realizate prin munca în acord global nu aveau natura unor sporuri, ci, la acea vreme, ele reprezentau însăși o formă de retribuire, ca atare aceste sume trebuie avute în vedere la stabilirea drepturilor de pensie. </w:t>
      </w:r>
    </w:p>
    <w:p w14:paraId="508E4D67" w14:textId="77777777" w:rsidR="004B4E21" w:rsidRDefault="00A8394A">
      <w:pPr>
        <w:ind w:firstLine="708"/>
        <w:jc w:val="both"/>
      </w:pPr>
      <w:r>
        <w:t xml:space="preserve">În speţă, adeverinţele emise de unitate se referă şi la perioada 1991-2000, perioadă în care angajaţii nu au plătit contribuţie de asigurări sociale, aceasta a fost plătită numai de angajator pentru întreg fondul de salarii, cum s-a întâmplat în speţă. Numai ulterior, noua lege a pensiilor, </w:t>
      </w:r>
      <w:r>
        <w:rPr>
          <w:rStyle w:val="Fontdeparagrafimplicit1"/>
          <w:vanish/>
        </w:rPr>
        <w:t>&lt;LLNK 12000    19 10 201   0 17&gt;</w:t>
      </w:r>
      <w:r>
        <w:t>Legea nr. 19/2000, a instituit obligaţia virării acestei contribuţii de asigurări sociale atât pentru angajator, cât şi pentru angajat.</w:t>
      </w:r>
    </w:p>
    <w:p w14:paraId="7E3C4CAB" w14:textId="77777777" w:rsidR="004B4E21" w:rsidRDefault="00A8394A">
      <w:pPr>
        <w:ind w:firstLine="708"/>
        <w:jc w:val="both"/>
      </w:pPr>
      <w:r>
        <w:t xml:space="preserve"> Conform art.78 al.4 din Legea nr.19/2000 punctajul asiguratului stabilit conform prevederilor alin.1 şi 2 se calculează la nivelul veniturilor brute realizate pentru care s-au plătit contribuţii de asigurări sociale şi în sensul art. I pct. 7 din Ordinul nr.680/2007 salariile de bază brute corespunzătoare timpului efectiv lucrat în program normal şi suplimentar potrivit formei de salarizare aplicate inclusiv indemnizaţiile de conducere, salarii de merit, indexări, compensări şi alte drepturi care potrivit actelor normative fac parte din salariul de bază, precum şi toate celelalte sporuri, indemnizaţii şi sporuri plătite şi sume adaosuri menţionate de la litera d până la litera l inclusiv. </w:t>
      </w:r>
    </w:p>
    <w:p w14:paraId="6A563DAB" w14:textId="3233137F" w:rsidR="004B4E21" w:rsidRDefault="00A8394A">
      <w:pPr>
        <w:jc w:val="both"/>
      </w:pPr>
      <w:r>
        <w:tab/>
        <w:t xml:space="preserve">Ca atare, instanţa a admis solicitarea contestatorului de recalculare a drepturilor sale de pensie cu luarea în considerare a sumelor realizate în perioadele noiembrie 1991 - decembrie 2000 şi noiembrie 1991-iunie 2000 menţionate în adeverinţele nr. </w:t>
      </w:r>
      <w:r w:rsidR="006D60B3">
        <w:t>...</w:t>
      </w:r>
      <w:r>
        <w:t xml:space="preserve">/ 10.03.2022 şi </w:t>
      </w:r>
      <w:r w:rsidR="006D60B3">
        <w:t>...</w:t>
      </w:r>
      <w:r>
        <w:t xml:space="preserve">/17.03.2022 eliberate de CEC </w:t>
      </w:r>
      <w:r w:rsidR="0070657E">
        <w:t>B</w:t>
      </w:r>
      <w:r>
        <w:t xml:space="preserve"> SA - Sucursala </w:t>
      </w:r>
      <w:r w:rsidR="006D60B3">
        <w:t>X</w:t>
      </w:r>
      <w:r>
        <w:t>.</w:t>
      </w:r>
    </w:p>
    <w:p w14:paraId="0988CB93" w14:textId="01FE7282" w:rsidR="004B4E21" w:rsidRDefault="00A8394A">
      <w:pPr>
        <w:ind w:firstLine="720"/>
        <w:jc w:val="both"/>
      </w:pPr>
      <w:r>
        <w:t>Raportat la petitul de valorificare a menţiunilor cuprinse în adeverinţa nr.</w:t>
      </w:r>
      <w:r w:rsidR="006D60B3">
        <w:t>...</w:t>
      </w:r>
      <w:r>
        <w:t xml:space="preserve">/ 22.11.2012 emisă de SC </w:t>
      </w:r>
      <w:r w:rsidR="006D60B3">
        <w:t>ENJ</w:t>
      </w:r>
      <w:r>
        <w:t xml:space="preserve"> SA, instanţa a reţinut că în perioada 20.03.1985-31.07.1991 activitatea contestatorului de şofer a fost încadrată în grupa II de muncă în procent de 100 % conform nominalizării efectuate prin Hotărârea Consiliului de Administraţie a Societăţii nr.</w:t>
      </w:r>
      <w:r w:rsidR="006D60B3">
        <w:t>...</w:t>
      </w:r>
      <w:r>
        <w:t xml:space="preserve">/14.08.1992, pct.2.8, iar ca temei juridic a fost invocat HG nr.1223/1990, art.2 şi pct.117 </w:t>
      </w:r>
      <w:r>
        <w:lastRenderedPageBreak/>
        <w:t xml:space="preserve">din anexa 2 a Ordinului nr.50/1990 şi nota </w:t>
      </w:r>
      <w:r w:rsidR="006D60B3">
        <w:t>M</w:t>
      </w:r>
      <w:r>
        <w:t xml:space="preserve"> nr.</w:t>
      </w:r>
      <w:r w:rsidR="006D60B3">
        <w:t>...</w:t>
      </w:r>
      <w:r>
        <w:t>/1990, cu menţiunea că în această perioadă, contestatorul a lucrat pe şantier la lucrări de construcţii-montaj, centrale termoelectrice în condiţii meteorologice nefavorabile şi program de lucru prelungit.</w:t>
      </w:r>
    </w:p>
    <w:p w14:paraId="5FF682F1" w14:textId="77777777" w:rsidR="004B4E21" w:rsidRDefault="00A8394A">
      <w:pPr>
        <w:jc w:val="both"/>
      </w:pPr>
      <w:r>
        <w:tab/>
        <w:t>Cu privire la această adeverinţă, instanţa a apreciat că îndeplineşte condiţiile de formă şi fond pentru a putea fi valorificată, indicându-se perioadele în care contestatorul şi-a desfăşurat activitatea în cadrul unităţilor emitente, funcţiile îndeplinite de aceasta, perioadele în care a realizat stagii de cotizare în grupe superioare de muncă, procentul de desfăşurare a activităţii în aceste condiţii, temeiul juridic de încadrare în grupe superioare. Adeverinţa poartă număr, data eliberării, denumirea unităţii, ştampila acesteia, semnăturile persoanelor care angajează unitatea, temeiul legal al încadrării activităţii în grupa a II-a de muncă.</w:t>
      </w:r>
    </w:p>
    <w:p w14:paraId="0F0A4EC4" w14:textId="77777777" w:rsidR="004B4E21" w:rsidRDefault="00A8394A">
      <w:pPr>
        <w:tabs>
          <w:tab w:val="left" w:pos="0"/>
        </w:tabs>
        <w:jc w:val="both"/>
      </w:pPr>
      <w:r>
        <w:tab/>
        <w:t>Întreaga răspundere pentru menţiunile cuprinse în adeverinţa eliberată de fostul angajator revine exclusiv unităţii emitente, iar refuzul de valorificare a menţiunilor cuprinse în adeverinţă este lipsit de temei legal, întrucât adeverinţa supusă valorificării se bucura de prezumţia de validitate. În plus încadrarea locurilor de muncă în grupele de muncă şi nominalizarea persoanelor care se încadrează în grupele de muncă, reprezintă un atribut al angajatorului ce se exercită în condiţiile Ordinului nr. 50/1990.</w:t>
      </w:r>
    </w:p>
    <w:p w14:paraId="197C684F" w14:textId="77777777" w:rsidR="004B4E21" w:rsidRDefault="00A8394A">
      <w:pPr>
        <w:tabs>
          <w:tab w:val="left" w:pos="0"/>
        </w:tabs>
        <w:jc w:val="both"/>
      </w:pPr>
      <w:r>
        <w:tab/>
        <w:t>Intimata nu are competenţă de a aprecia şi a cenzura categoriilor de personal care se încadrează în grupa a I sau II - a de munca şi nici a timpului efectiv lucrat în condiţii deosebite şi speciale, nu are competenţa de a verifica legalitatea înscrierilor din carnetul de munca şi a adeverinţelor emise de angajatori, fiind ţinută să valorifice drepturile astfel cum sunt consemnate în aceste documente. Cel mult intimata ar putea contesta la instanţă valabilitatea adeverinţelor respective şi numai dacă ar fi anulate, ar fi îndreptăţită să nu le ia în considerare.</w:t>
      </w:r>
    </w:p>
    <w:p w14:paraId="54BA4D87" w14:textId="77777777" w:rsidR="004B4E21" w:rsidRDefault="00A8394A">
      <w:pPr>
        <w:ind w:firstLine="720"/>
        <w:jc w:val="both"/>
      </w:pPr>
      <w:r>
        <w:t>Instanţa a reţinut că aceleaşi menţiuni se regăsesc înscrise şi în carnetul de muncă al contestatorului la poz.22, fostul angajator confirmând încă o dată beneficiul grupei II de muncă acordat contestatorului pentru perioada indicată.</w:t>
      </w:r>
    </w:p>
    <w:p w14:paraId="0A3D220B" w14:textId="77777777" w:rsidR="004B4E21" w:rsidRDefault="00A8394A">
      <w:pPr>
        <w:jc w:val="both"/>
      </w:pPr>
      <w:r>
        <w:tab/>
        <w:t>Din analiza coroborată a acestor înscrisuri oficiale, instanţa a constatat că cele două înscrisuri distincte, atestă aceeaşi stare de fapt şi de drept, astfel că intimata nu are nicio justificare legală de a refuza valorificarea acestora.</w:t>
      </w:r>
    </w:p>
    <w:p w14:paraId="664FA5FC" w14:textId="77777777" w:rsidR="004B4E21" w:rsidRDefault="00A8394A">
      <w:pPr>
        <w:jc w:val="both"/>
      </w:pPr>
      <w:r>
        <w:tab/>
        <w:t>Art.1 din Decretul nr.92/1976 prevedea că „(1) Carnetul de munca este actul oficial prin care se dovedeşte vechimea în munca, vechimea neîntrerupta în munca, vechimea neîntrerupta în aceeaşi unitate, vechimea în  funcţie, meserie sau specialitate, timpul lucrat în locuri de munca cu condiţii deosebite, retribuţia tarifară de încadrare şi alte drepturi ce se includ în aceasta”.</w:t>
      </w:r>
    </w:p>
    <w:p w14:paraId="189F91E9" w14:textId="77777777" w:rsidR="004B4E21" w:rsidRDefault="00A8394A">
      <w:pPr>
        <w:jc w:val="both"/>
      </w:pPr>
      <w:r>
        <w:tab/>
        <w:t>Dispoziţiile art.279 alin. (1) din Codul Muncii prevăd că „vechimea în muncă stabilită până la data de 31.12.2010 se probează cu carnetul de muncă”.</w:t>
      </w:r>
    </w:p>
    <w:p w14:paraId="3CAD578F" w14:textId="77777777" w:rsidR="004B4E21" w:rsidRDefault="00A8394A">
      <w:pPr>
        <w:jc w:val="both"/>
      </w:pPr>
      <w:r>
        <w:tab/>
        <w:t>Astfel, instanţa a constatat că menţiunile din carnetul de muncă privind încadrarea în grupa II de muncă îndeplineşte toate condiţiile de formă şi fond pentru a putea fi valorificată, indicându-se perioadele în care contestatorul şi-a desfăşurat activitatea în cadrul unităţii emitente, perioadele în care acesta a realizat stagii de cotizare în grupe superioare de muncă, procentul de desfăşurare a activităţii în aceste condiţii, existând suficiente elemente de identificare şi de verificare a atât a perioadei de început cât şi a cele de sfârşit, pe care intimata, dintr-o superficialitate lipsită de orice fundament, le-a ignorat.</w:t>
      </w:r>
    </w:p>
    <w:p w14:paraId="6104E077" w14:textId="77777777" w:rsidR="004B4E21" w:rsidRDefault="00A8394A">
      <w:pPr>
        <w:ind w:firstLine="720"/>
        <w:jc w:val="both"/>
      </w:pPr>
      <w:r>
        <w:t>Rezumând, instanţa a conchis că refuzul intimatei de valorificare a activităţii încadrate în grupa II de muncă dovedită de contestator prin înscrierile din carnetul de muncă şi prin adeverinţa indicată, se rezumă la modul de interpretare şi aplicare a dispoziţiilor HG nr.1223/1990, pe care instanţa le-a analizat în cele ce urmează.</w:t>
      </w:r>
    </w:p>
    <w:p w14:paraId="13241511" w14:textId="77777777" w:rsidR="004B4E21" w:rsidRDefault="00A8394A">
      <w:pPr>
        <w:ind w:firstLine="720"/>
        <w:jc w:val="both"/>
      </w:pPr>
      <w:r>
        <w:t xml:space="preserve">Raportat la temeiul de drept invocat, HG nr.1223/1990, instanţa a reţinut că potrivit dispoziţiilor art.2 din Decretul-lege nr.68/1990 pentru înlăturarea unor inechităţi în salarizarea personalului s-a emis H.G. nr. 1223 din 20 noiembrie 1990 privind încadrarea în grupa a II - a de muncă în vederea pensionării, a unor locuri de muncă sau activităţi în construcţii - montaj. </w:t>
      </w:r>
    </w:p>
    <w:p w14:paraId="6A48ECDD" w14:textId="77777777" w:rsidR="004B4E21" w:rsidRDefault="00A8394A">
      <w:pPr>
        <w:jc w:val="both"/>
      </w:pPr>
      <w:r>
        <w:tab/>
        <w:t xml:space="preserve">Potrivit art. 1 din actul normativ sus-menţionat „personalul care este în activitate şi care a lucrat la locurile de muncă sau activităţi cu condiţii de muncă nocive, grele sau periculoase de pe şantierele de construcţii - montaj, grupurile de şantiere şi întreprinderile şantier, inclusiv </w:t>
      </w:r>
      <w:r>
        <w:lastRenderedPageBreak/>
        <w:t xml:space="preserve">unităţile de deservire ale acestora, bazele de producţie, depozitele, laboratoarele, unităţile de mecanizare se încadrează în grupa a II-a de muncă în vederea pensionării, pentru întreaga perioadă efectiv lucrată după 18 martie 1969”. </w:t>
      </w:r>
    </w:p>
    <w:p w14:paraId="0AB3C343" w14:textId="77777777" w:rsidR="004B4E21" w:rsidRDefault="00A8394A">
      <w:pPr>
        <w:jc w:val="both"/>
      </w:pPr>
      <w:r>
        <w:tab/>
        <w:t xml:space="preserve">Conform art. 2 din H.G. nr.1223/1990 „nominalizarea persoanelor care se încadrează în grupa a II-a de muncă se face de către consiliile de administraţie împreună cu sindicatele libere din unitate, dispoziţie cuprinsă şi la pct. 6 din Ordinul comun al M.M.P.S., M.S. şi Comisia Naţională pentru Protecţia Muncii nr. 50/1990 pentru precizarea locurilor de muncă, activităţilor şi categoriilor profesionale cu condiţii deosebite care se încadrează în grupele I şi a II a de muncă în vederea pensionării”. </w:t>
      </w:r>
    </w:p>
    <w:p w14:paraId="2D56A72D" w14:textId="77777777" w:rsidR="004B4E21" w:rsidRDefault="00A8394A">
      <w:pPr>
        <w:tabs>
          <w:tab w:val="left" w:pos="0"/>
        </w:tabs>
        <w:ind w:firstLine="567"/>
        <w:jc w:val="both"/>
      </w:pPr>
      <w:r>
        <w:tab/>
        <w:t>Aşa cum rezultă şi din nota de fundamentare care a stat la baza emiterii HG nr.1223/1990, acest act normativ se adresează personalului muncitor şi personalului tehnic care prin natura sarcinilor de serviciu şi-a desfăşurat activitatea în "condiţiile grele de muncă, datorită lucrului în aer liber, sub influenţa permanentă a intemperiilor (ploi, zăpezi, vânt) şi temperaturilor mediului ambiant, lucru în general la înălţimi mari - pe schelă cu asigurarea în centură, sub nivelul solului, în săpături deschise, în subteran, efort fizic mare, lucru pretat 9 - 10 ore pe zi ". De aceea legiuitorul, prin art. 6 din Ordinul nr.50/1990 a rezervat activitatea de nominalizare a persoanelor numai conducerii unităţilor împreună cu sindicatele libere din unităţi, prezumându-se ideea că aceşti subiecți sunt cei mai abilitaţi să cunoască realitatea din unităţi în ceea ce privesc condiţiile de muncă, drept şi obligaţie pe care fostul a angajator a dovedit că le-a respectat, materializarea acestor demersuri regăsindu-se tocmai în menţiunea  expresă din carnetul de muncă a contestatorului precum şi separat în adeverinţa emisă pe numele acestuia.</w:t>
      </w:r>
    </w:p>
    <w:p w14:paraId="705827E9" w14:textId="77777777" w:rsidR="004B4E21" w:rsidRDefault="00A8394A">
      <w:pPr>
        <w:jc w:val="both"/>
      </w:pPr>
      <w:r>
        <w:tab/>
        <w:t>Alegaţiile intimatei potrivit cărora prin natura atribuţiilor de serviciu, activitatea contestatorului de şofer nu face obiectul încadrării în grupă superioară de muncă conform HG nr.1223/1990, nu pot fi avute în vedere, întrucât prin prisma atribuţiilor avute în perioadele indicate şi ţinând seama de specificul activităţii fostului său angajator, se reţine că în cuprinsul HG nr.1223/1990 a fost cuprins tot personalul care îşi desfăşurat activitatea în condiţii de şantier, iar dispoziţiile acestui act normativ se coroborează şi cu poziţiile din anexa 2 a Ordinului nr.125/1990 şi a Ordinului nr.50/1990.</w:t>
      </w:r>
    </w:p>
    <w:p w14:paraId="01000930" w14:textId="77777777" w:rsidR="004B4E21" w:rsidRDefault="00A8394A">
      <w:pPr>
        <w:jc w:val="both"/>
      </w:pPr>
      <w:r>
        <w:tab/>
        <w:t>Aceste competenţe exclusive ale unităţii angajatoare nu pot fi contestate de către intimată şi în mod cert, intimata nu se poate subroga competenţelor fostului angajator a contestatorului, astfel că nu există niciun temei legal de refuz a valorificării beneficiului grupei II de muncă, în forma, perioadele şi procentul confirmat în mod expres prin înscrierile din carnetul de muncă precum şi în adeverinţa emisă pe numele acestuia.</w:t>
      </w:r>
    </w:p>
    <w:p w14:paraId="796D2D82" w14:textId="77777777" w:rsidR="004B4E21" w:rsidRDefault="00A8394A">
      <w:pPr>
        <w:jc w:val="both"/>
      </w:pPr>
      <w:r>
        <w:tab/>
        <w:t xml:space="preserve">Această practică a intimatei de contestare şi de refuz a valorificării menţiunilor din carnetul de muncă precum şi a adeverinţei emise ulterior precum şi invocarea succesivă a unor motive diferite care să justifice în opinia acesteia refuzul său, nu au niciun fundament legal, atât timp cât nici carnetul de muncă şi nici adeverinţele nu au fost declarate ca fiind false sau că nu corespund realităţii de vreo instanţă judecătorească, există confirmări şi reconfirmări cu aceleaşi menţiuni şi în baza acelor texte de lege, cum este şi în cazul de faţă, astfel că suspiciunile intimatei nu sunt fondate. </w:t>
      </w:r>
    </w:p>
    <w:p w14:paraId="6C77C179" w14:textId="7C37467C" w:rsidR="004B4E21" w:rsidRDefault="00A8394A">
      <w:pPr>
        <w:ind w:firstLine="720"/>
        <w:jc w:val="both"/>
      </w:pPr>
      <w:r>
        <w:t>Totodată, instanţa a reţinut că dispoziţiile HG nr.1223/1990 se regăsesc şi în cuprinsul Ordinului nr.50/1990 în anexa II, adăugarea fiind confirmată şi de către Ministerul Muncii şi Protecţiei Sociale prin Scrisoarea nr.</w:t>
      </w:r>
      <w:r w:rsidR="006D60B3">
        <w:t>...</w:t>
      </w:r>
      <w:r>
        <w:t>/18.12.1990, astfel că în speţă emitentul adeverinţei în discuţie a respectat şi aplicat întocmai atât dispozitivul cât şi considerentele deciziei nr.9/2016 a Înaltei Curţi de Casaţie şi Justiţie pronunţată într-un recurs în interesul legii.</w:t>
      </w:r>
    </w:p>
    <w:p w14:paraId="49461DE4" w14:textId="77777777" w:rsidR="004B4E21" w:rsidRDefault="00A8394A">
      <w:pPr>
        <w:tabs>
          <w:tab w:val="left" w:pos="0"/>
        </w:tabs>
        <w:jc w:val="both"/>
      </w:pPr>
      <w:r>
        <w:tab/>
        <w:t>Mai mult decât atât, instanţa a reţinut că potrivit dispoziţiilor art. 126 alin. 1 din HG nr. 257/2011</w:t>
      </w:r>
      <w:r>
        <w:rPr>
          <w:rStyle w:val="Fontdeparagrafimplicit1"/>
          <w:b/>
        </w:rPr>
        <w:t xml:space="preserve"> </w:t>
      </w:r>
      <w:r>
        <w:t xml:space="preserve">pentru aprobarea </w:t>
      </w:r>
      <w:r>
        <w:rPr>
          <w:rStyle w:val="Fontdeparagrafimplicit1"/>
          <w:vanish/>
        </w:rPr>
        <w:t>&lt;LLNK 12011     0110 391   0  8&gt;</w:t>
      </w:r>
      <w:r>
        <w:t xml:space="preserve">Normelor de aplicare a prevederilor </w:t>
      </w:r>
      <w:r>
        <w:rPr>
          <w:rStyle w:val="Fontdeparagrafimplicit1"/>
          <w:vanish/>
        </w:rPr>
        <w:t>&lt;LLNK 12010   263 10 201   0 18&gt;</w:t>
      </w:r>
      <w:r>
        <w:t>Legii nr. 263/2010 privind sistemul unitar de pensii publice, adeverinţele prin care se atestă faptul că în anumite perioade, anterioare datei de 1 aprilie 2001, persoanele şi-au desfăşurat activitatea în locuri de muncă încadrate în grupele I şi/sau a II-a de muncă se întocmesc potrivit modelului prevăzut în anexa nr. 14, numai pe baza documentelor, verificabile, aflate în evidenţele angajatorilor sau ale deţinătorilor legali de arhive.</w:t>
      </w:r>
    </w:p>
    <w:p w14:paraId="21F59310" w14:textId="77777777" w:rsidR="004B4E21" w:rsidRDefault="00A8394A">
      <w:pPr>
        <w:jc w:val="both"/>
      </w:pPr>
      <w:r>
        <w:lastRenderedPageBreak/>
        <w:tab/>
        <w:t xml:space="preserve">În lumina acestor dispoziţii legale, instanţa a concluzioneat că intimata este obligată să respecte intenţia exprimată în mod clar şi neechivoc de legiuitor prin acest text de lege, şi nu are dreptul de a institui noi reguli de valorificare a adeverinţelor emise de angajatori, fără a avea vreo bază legală, motiv pentru care instanţa a constatat că reclamantul este îndreptăţit la valorificarea tuturor perioadelor dovedite ca fiind încadrate în grupa II de muncă, confirmate prin menţiunile înscrise în carnetul de muncă dar şi separat prin adeverinţa emisă ulterior de fostul său angajator. </w:t>
      </w:r>
    </w:p>
    <w:p w14:paraId="6517A17B" w14:textId="77777777" w:rsidR="004B4E21" w:rsidRDefault="00A8394A">
      <w:pPr>
        <w:jc w:val="both"/>
      </w:pPr>
      <w:r>
        <w:tab/>
        <w:t>Criticile intimatei cu privire la adeverința emisă pe numele contestatorului sunt nefondate atât timp cât aceasta cuprinde toate elementele minime necesare și nu există niciun impediment legal de a fi valorificată în favoarea contestatorului, astfel că acest act produce efecte juridice, neputând fi ignorată, aşa cum în mod nelegal a procedat intimata.</w:t>
      </w:r>
    </w:p>
    <w:p w14:paraId="569ACF43" w14:textId="77777777" w:rsidR="004B4E21" w:rsidRDefault="00A8394A">
      <w:pPr>
        <w:jc w:val="both"/>
      </w:pPr>
      <w:r>
        <w:tab/>
        <w:t>Cât priveşte data plăţii drepturilor de pensie ale contestatorului în baza acestor 3 adeverinţe ce atestă beneficii diferite, instanţa constată din analiza menţiunilor deciziilor de pensie contestate, că cele două decizii se înlocuiesc una pe cealaltă, astfel că noile drepturi recalculate prin valorificarea acestor noi documente se impun a fi achitate de la data de 16.05.2023, respectiv de la data deschiderii iniţiale şi a plăţii efective a pensiei anticipate parţiale.</w:t>
      </w:r>
    </w:p>
    <w:p w14:paraId="0C0E268B" w14:textId="77777777" w:rsidR="004B4E21" w:rsidRDefault="00A8394A">
      <w:pPr>
        <w:ind w:firstLine="708"/>
        <w:jc w:val="both"/>
        <w:rPr>
          <w:rStyle w:val="Fontdeparagrafimplicit1"/>
          <w:color w:val="212529"/>
          <w:shd w:val="clear" w:color="auto" w:fill="FFFFFF"/>
        </w:rPr>
      </w:pPr>
      <w:r>
        <w:t>În ceea ce privește actualizarea acestor diferențe de drepturi de pensie în raport cu rata inflației la data plății efective, instanța reține că această solicitare a contestatoarei este îndreptățită în condițiile în care devalorizarea monedei naționale este notorie și în care repararea prejudiciului cauzat acestuia trebuie să fie integrală (conform principiului „ restitutio in integrum”). Aceste sume se impune a fi actualizate cu indicele de inflație, deoarece în acest mod se repară prejudiciul efectiv („damnum emergens”), acesta având ca obiectiv păstrarea valorii reale a obligației evaluabile în bani. Așadar, reclamantului i se cuvine actualizarea cu rata indicelui de inflație a sumelor rezultate din diferențele dintre pensia astfel stabilită și pensia încasată, deoarece actualizarea cu indicele inflației are ca finalitate păstrarea valorii reale a sumei de bani.</w:t>
      </w:r>
    </w:p>
    <w:p w14:paraId="15E956E0" w14:textId="59559F03" w:rsidR="004B4E21" w:rsidRDefault="00A8394A">
      <w:pPr>
        <w:jc w:val="both"/>
      </w:pPr>
      <w:r>
        <w:tab/>
        <w:t>Pe cale de consecinţă, instanţa a admis acţiunea formulată, şi a dispus anularea deciziei nr.</w:t>
      </w:r>
      <w:r w:rsidR="006D60B3">
        <w:t>...</w:t>
      </w:r>
      <w:r>
        <w:t xml:space="preserve"> din data de 26.06.2023 privind acordarea pensiei anticipate parţiale şi a deciziei nr.</w:t>
      </w:r>
      <w:r w:rsidR="006D60B3">
        <w:t>...</w:t>
      </w:r>
      <w:r>
        <w:t xml:space="preserve"> din data de 08.08.2023 privind revizuirea pensiei anticipate parţiale, ambele emise de Casa Judeţeană de Pensii </w:t>
      </w:r>
      <w:r w:rsidR="006D60B3">
        <w:t>Z</w:t>
      </w:r>
      <w:r>
        <w:t xml:space="preserve"> şi a obligat intimata conform dispozitivului.</w:t>
      </w:r>
    </w:p>
    <w:p w14:paraId="33B68194" w14:textId="76E67F1E" w:rsidR="004B4E21" w:rsidRDefault="00A8394A">
      <w:pPr>
        <w:ind w:firstLine="708"/>
        <w:jc w:val="both"/>
      </w:pPr>
      <w:r>
        <w:t>În temeiul art.453 Cod procedură civilă, instanţa a obligat intimata la plata către contestator a sumei de 1250 lei cu titlu de cheltuieli de judecată reprezentând onorariu avocat, justificat cu chitanţa nr.</w:t>
      </w:r>
      <w:r w:rsidR="0070657E">
        <w:t>...</w:t>
      </w:r>
      <w:r>
        <w:t xml:space="preserve">/16.08.2023. </w:t>
      </w:r>
    </w:p>
    <w:p w14:paraId="7B95D910" w14:textId="7D47CDF5" w:rsidR="004B4E21" w:rsidRDefault="00A8394A">
      <w:pPr>
        <w:ind w:firstLine="708"/>
        <w:jc w:val="both"/>
      </w:pPr>
      <w:r>
        <w:rPr>
          <w:rStyle w:val="Fontdeparagrafimplicit1"/>
          <w:b/>
        </w:rPr>
        <w:t xml:space="preserve">Împotriva acestei hotărâri a formulat apel Casa Județeană de Pensii </w:t>
      </w:r>
      <w:r w:rsidR="006D60B3">
        <w:rPr>
          <w:rStyle w:val="Fontdeparagrafimplicit1"/>
          <w:b/>
        </w:rPr>
        <w:t>Z</w:t>
      </w:r>
      <w:r>
        <w:rPr>
          <w:rStyle w:val="Fontdeparagrafimplicit1"/>
          <w:b/>
        </w:rPr>
        <w:t xml:space="preserve">, </w:t>
      </w:r>
      <w:r>
        <w:t>solicitând modificarea sentinței atacate, în sensul respingerii în totalitate a contestației.</w:t>
      </w:r>
    </w:p>
    <w:p w14:paraId="3EB533E6" w14:textId="77777777" w:rsidR="004B4E21" w:rsidRDefault="00A8394A">
      <w:pPr>
        <w:ind w:firstLine="708"/>
        <w:jc w:val="both"/>
      </w:pPr>
      <w:r>
        <w:t xml:space="preserve">În motivarea apelului s-a arătat, în esență, că soluția primei instanțe este netemeinică și nelegală, deoarece perioada menționată a fost valorificată în condiții normale de muncă, având în vedere faptul că reclamantul a desfășurat activitatea de tractorist și șofer, meserii care nu sunt prevăzute în HG nr. 1223/1990, respectiv art. 2, anexa 2, art. 117 din Ordinul nr. 50/1990 ca fiind încadrate în grupa a II-a de muncă. </w:t>
      </w:r>
    </w:p>
    <w:p w14:paraId="4894C669" w14:textId="7E33E625" w:rsidR="004B4E21" w:rsidRDefault="00A8394A">
      <w:pPr>
        <w:ind w:firstLine="720"/>
        <w:jc w:val="both"/>
      </w:pPr>
      <w:r>
        <w:t xml:space="preserve">Cu privire la valorificarea adeverințelor nr. </w:t>
      </w:r>
      <w:r w:rsidR="006D60B3">
        <w:t>...</w:t>
      </w:r>
      <w:r>
        <w:t xml:space="preserve">/10.03.2022, </w:t>
      </w:r>
      <w:r w:rsidR="006D60B3">
        <w:t>...</w:t>
      </w:r>
      <w:r>
        <w:t xml:space="preserve">/17.03. 2022, emise de CEC </w:t>
      </w:r>
      <w:r w:rsidR="0070657E">
        <w:t>B</w:t>
      </w:r>
      <w:r>
        <w:t>, apelanta a menționat că potrivit art. 165 alin. 1 și 2 din Legea nr. 263/2010, la determinarea punctajelor lunare pentru perioadele anterioare datei de 01.04.2001, se utilizează salariile brute sau nete, după caz în conformitate cu modul de înscriere al acestora în carnetele de muncă astfel, salariile brute până la data de 01.07.1977, salariile nete de la data de 01.07.1977 până la data de 01.01.1991 şi salariile brute de la data de 01.01.1991. La determinarea punctajelor lunare pe lângă salariile mai sus amintite se au în vedere şi sporurile cu caracter permanent care după data de 01.04.1992 au făcut parte din baza de calcul a pensiilor conform legislaţiei anterioare şi care sunt înscrise în carnetul de muncă sau sunt dovedite cu adeverinţe eliberate de unităţi conform legislaţiei în vigoare.</w:t>
      </w:r>
    </w:p>
    <w:p w14:paraId="0E8C8B68" w14:textId="77777777" w:rsidR="004B4E21" w:rsidRDefault="00A8394A">
      <w:pPr>
        <w:ind w:firstLine="720"/>
        <w:jc w:val="both"/>
      </w:pPr>
      <w:r>
        <w:t>În drept, apelanta a invocat Legea nr. 263/2010 și art. 466 C. pr. civ.</w:t>
      </w:r>
    </w:p>
    <w:p w14:paraId="40CCBF6A" w14:textId="4071AFF7" w:rsidR="004B4E21" w:rsidRDefault="00A8394A">
      <w:pPr>
        <w:ind w:firstLine="720"/>
        <w:jc w:val="both"/>
      </w:pPr>
      <w:r>
        <w:rPr>
          <w:rStyle w:val="Fontdeparagrafimplicit1"/>
          <w:b/>
        </w:rPr>
        <w:lastRenderedPageBreak/>
        <w:t xml:space="preserve">Prin întâmpinare, intimatul </w:t>
      </w:r>
      <w:r w:rsidR="006D60B3">
        <w:rPr>
          <w:rStyle w:val="Fontdeparagrafimplicit1"/>
          <w:b/>
        </w:rPr>
        <w:t>FA</w:t>
      </w:r>
      <w:r>
        <w:t xml:space="preserve"> a solicitat respingerea apelului ca nefondat și menținerea ca temeinică și legală a sentinței atacate; cu cheltuieli de judecată.</w:t>
      </w:r>
    </w:p>
    <w:p w14:paraId="09D82CEA" w14:textId="50338EEE" w:rsidR="004B4E21" w:rsidRDefault="00A8394A">
      <w:pPr>
        <w:ind w:firstLine="720"/>
        <w:jc w:val="both"/>
      </w:pPr>
      <w:r>
        <w:t xml:space="preserve">A arătat intimatul, în esență, că apelanta trebuia să valorifice integral perioada 20.03.1985-01.08.1991, ca fiind lucrată în grupa a II-a de muncă, raportat la faptul că, potrivit dispozițiilor art. 2 din HG nr. 1223/1990, încadrarea locurilor de muncă în grupe de muncă și nominalizarea persoanelor care se încadrează în grupele de muncă reprezintă un atribut al angajatorului, care se exercită în condițiile Ordinului nr. 50/1990, iar intimatul a făcut dovada cu înscrisuri că funcțiile pe care le-a îndeplinit și locul său de muncă au fost nominalizate în grupa a II-a, pe baza Hotărârii nr. </w:t>
      </w:r>
      <w:r w:rsidR="006D60B3">
        <w:t>...</w:t>
      </w:r>
      <w:r>
        <w:t>/1992 a Consiliului de Administrație.</w:t>
      </w:r>
    </w:p>
    <w:p w14:paraId="453FB399" w14:textId="2F9C4886" w:rsidR="004B4E21" w:rsidRDefault="00A8394A">
      <w:pPr>
        <w:ind w:firstLine="720"/>
        <w:jc w:val="both"/>
      </w:pPr>
      <w:r>
        <w:t xml:space="preserve">În ceea ce privește valorificarea veniturilor atestate prin adeverințele nr. </w:t>
      </w:r>
      <w:r w:rsidR="006D60B3">
        <w:t>...</w:t>
      </w:r>
      <w:r>
        <w:t xml:space="preserve">/10.03.2022 și </w:t>
      </w:r>
      <w:r w:rsidR="006D60B3">
        <w:t>...</w:t>
      </w:r>
      <w:r>
        <w:t xml:space="preserve">/17.03.2022, eliberate de CEC </w:t>
      </w:r>
      <w:r w:rsidR="0070657E">
        <w:t>B</w:t>
      </w:r>
      <w:r>
        <w:t xml:space="preserve"> Sucursala </w:t>
      </w:r>
      <w:r w:rsidR="006D60B3">
        <w:t>X</w:t>
      </w:r>
      <w:r>
        <w:t xml:space="preserve">, intimatul a arătat că acestea sunt înscrisuri pe care apelanta era obligată să le valorifice, întrucât pentru sumele pe care le atestă s-a plătit CAS, fapt confirmat de către angajator, iar motivarea Casei Județene de Pensii </w:t>
      </w:r>
      <w:r w:rsidR="006D60B3">
        <w:t>Z</w:t>
      </w:r>
      <w:r>
        <w:t xml:space="preserve"> referitoare la anexa nr. 15 din HG nr. 257/2011 nu poate fi primită, deoarece această Hotărâre de Guvern nu poate cuprinde dispoziții contrare Legii nr. 263/2010. Or, în condițiile în care Legea nr. 263/2010 impune luarea în calcul, la stabilirea drepturilor de pensie, a veniturilor pentru care s-au plătit contribuții de asigurări sociale, pentru respectarea principiului de bază al contributivității, nu se pot institui norme speciale contrare legii.</w:t>
      </w:r>
    </w:p>
    <w:p w14:paraId="37D9BCF7" w14:textId="77777777" w:rsidR="004B4E21" w:rsidRDefault="00A8394A">
      <w:pPr>
        <w:ind w:firstLine="720"/>
        <w:jc w:val="both"/>
      </w:pPr>
      <w:r>
        <w:t>A menționat intimatul că la această interpretare obligă și Decizia nr. 19/2012, pronunțată de Înalta Curte de Casație și Justiție în recurs în interesul legii.</w:t>
      </w:r>
    </w:p>
    <w:p w14:paraId="3733150A" w14:textId="77777777" w:rsidR="004B4E21" w:rsidRDefault="00A8394A">
      <w:pPr>
        <w:ind w:firstLine="720"/>
        <w:jc w:val="both"/>
        <w:rPr>
          <w:rStyle w:val="Fontdeparagrafimplicit1"/>
        </w:rPr>
      </w:pPr>
      <w:r>
        <w:rPr>
          <w:rStyle w:val="Fontdeparagrafimplicit1"/>
          <w:b/>
        </w:rPr>
        <w:t>Examinând hotărârea apelată prin prisma motivelor de apel invocate, instanţa reţine următoarele:</w:t>
      </w:r>
    </w:p>
    <w:p w14:paraId="3DBAFB26" w14:textId="50008F43" w:rsidR="004B4E21" w:rsidRDefault="00A8394A">
      <w:pPr>
        <w:ind w:firstLine="720"/>
        <w:jc w:val="both"/>
      </w:pPr>
      <w:r>
        <w:t xml:space="preserve">Prin cererea de chemare în judecată, reclamantul intimat a solicitat, în esență, obligarea apelantei la emiterea unei noi decizii privind acordarea pensiei anticipate parțiale, prin care să îi fie valorificată integral perioada 20.03.1985-01.08.1991, ca fiind lucrată în grupa a II-a de muncă, potrivit adeverinței nr. </w:t>
      </w:r>
      <w:r w:rsidR="006D60B3">
        <w:t>...</w:t>
      </w:r>
      <w:r>
        <w:t xml:space="preserve">/22.11.2022, eliberată de SC </w:t>
      </w:r>
      <w:r w:rsidR="006D60B3">
        <w:t>ENJ</w:t>
      </w:r>
      <w:r>
        <w:t xml:space="preserve"> SA </w:t>
      </w:r>
      <w:r w:rsidR="0084090F">
        <w:t>B</w:t>
      </w:r>
      <w:r>
        <w:t xml:space="preserve">, respectiv prin care să îi fie recalculate drepturile de pensie cu luarea în considerare a veniturilor cuprinse în adeverințele </w:t>
      </w:r>
      <w:r w:rsidR="006D60B3">
        <w:t>...</w:t>
      </w:r>
      <w:r>
        <w:t xml:space="preserve">/10.03.2022 și </w:t>
      </w:r>
      <w:r w:rsidR="006D60B3">
        <w:t>...</w:t>
      </w:r>
      <w:r>
        <w:t xml:space="preserve">/17.03.2022, eliberate de CEC </w:t>
      </w:r>
      <w:r w:rsidR="0070657E">
        <w:t>B</w:t>
      </w:r>
      <w:r>
        <w:t xml:space="preserve"> SA Sucursala </w:t>
      </w:r>
      <w:r w:rsidR="006D60B3">
        <w:t>X</w:t>
      </w:r>
      <w:r>
        <w:t xml:space="preserve">. </w:t>
      </w:r>
    </w:p>
    <w:p w14:paraId="4941A477" w14:textId="77777777" w:rsidR="004B4E21" w:rsidRDefault="00A8394A">
      <w:pPr>
        <w:ind w:firstLine="720"/>
        <w:jc w:val="both"/>
      </w:pPr>
      <w:r>
        <w:t>În mod corect a admis prima instanță, prin sentința apelată, cererea de chemare în judecată, toate criticile formulate de către apelantă împotriva acesteia fiind nefondate.</w:t>
      </w:r>
    </w:p>
    <w:p w14:paraId="764F43E4" w14:textId="36998398" w:rsidR="004B4E21" w:rsidRDefault="00A8394A">
      <w:pPr>
        <w:ind w:firstLine="720"/>
        <w:jc w:val="both"/>
      </w:pPr>
      <w:r>
        <w:t xml:space="preserve">În ceea ce privește recunoașterea perioadei atestate prin </w:t>
      </w:r>
      <w:bookmarkStart w:id="0" w:name="_Hlk134700792"/>
      <w:r>
        <w:t>adeverința nr.</w:t>
      </w:r>
      <w:bookmarkEnd w:id="0"/>
      <w:r>
        <w:t xml:space="preserve"> </w:t>
      </w:r>
      <w:r w:rsidR="006D60B3">
        <w:t>...</w:t>
      </w:r>
      <w:r>
        <w:t xml:space="preserve">/22.11.2022, eliberată de SC </w:t>
      </w:r>
      <w:r w:rsidR="006D60B3">
        <w:t>ENJ</w:t>
      </w:r>
      <w:r>
        <w:t xml:space="preserve"> SA </w:t>
      </w:r>
      <w:r w:rsidR="0084090F">
        <w:t>B</w:t>
      </w:r>
      <w:r>
        <w:t>, ca stagiu de cotizare în grupa a II-a de muncă, în mod corect a reținut prima instanță că apelanta a refuzat valorificarea acestei perioade ca fiind desfășurată în grupa a II-a de muncă, cu toate că sunt îndeplinite condițiile prevăzute de lege în acest sens.</w:t>
      </w:r>
    </w:p>
    <w:p w14:paraId="59EC79C9" w14:textId="4C7D3D08" w:rsidR="004B4E21" w:rsidRDefault="00A8394A">
      <w:pPr>
        <w:ind w:firstLine="720"/>
        <w:jc w:val="both"/>
      </w:pPr>
      <w:r>
        <w:t xml:space="preserve">Astfel, din cuprinsul adeverinței nr. </w:t>
      </w:r>
      <w:r w:rsidR="006D60B3">
        <w:t>...</w:t>
      </w:r>
      <w:r>
        <w:t xml:space="preserve">/22.11.2022, eliberată de SCM Constructorul </w:t>
      </w:r>
      <w:r w:rsidR="006D60B3">
        <w:t>B</w:t>
      </w:r>
      <w:r>
        <w:t xml:space="preserve">, în calitate de fost angajator al intimatului, rezultă că intimatul a fost angajatul acestei societăți, în meseria de tractorist (20.03.1985-31.10.1987, 01.04.1988-30.04.1988), muncitor necalificat (01.05.1988-30.09.1989), respectiv șofer (01.10.1989-31.07.1991), fiind încadrat în grupa a II-a de muncă, în procent de 100%, conform nominalizării efectuate prin Hotărârea Consiliului de Administrație al Societății nr. 10 din data de 14.08.1992, pct. 2.8, temeiul juridic al încadrării în grupa a II-a de muncă reprezentându-l HG nr. 1223/1990, art. 2 și anexa 2 art. 117 din Ordinul nr. 50/1990, precum și nota nr. </w:t>
      </w:r>
      <w:r w:rsidR="006D60B3">
        <w:t>...</w:t>
      </w:r>
      <w:r>
        <w:t xml:space="preserve">/1990 a </w:t>
      </w:r>
      <w:r w:rsidR="006D60B3">
        <w:t>M</w:t>
      </w:r>
      <w:r>
        <w:t>.</w:t>
      </w:r>
    </w:p>
    <w:p w14:paraId="60090CE1" w14:textId="77777777" w:rsidR="004B4E21" w:rsidRDefault="00A8394A">
      <w:pPr>
        <w:ind w:firstLine="720"/>
        <w:jc w:val="both"/>
      </w:pPr>
      <w:r>
        <w:t>Totodată, în cuprinsul adeverinței, fostul angajator al intimatului a făcut precizarea că în perioada respectivă, intimatul a lucrat pe șantier la lucrări de construcții-montaj centrale termoelectrice, în condiții meteorologice nefavorabile și program de lucru prelungit.</w:t>
      </w:r>
    </w:p>
    <w:p w14:paraId="563FED0D" w14:textId="77777777" w:rsidR="004B4E21" w:rsidRDefault="00A8394A">
      <w:pPr>
        <w:ind w:firstLine="720"/>
        <w:jc w:val="both"/>
      </w:pPr>
      <w:r>
        <w:t>Or, raportat la această precizare, critica apelantei în sensul că activitatea desfășurată de către intimat nu se regăsește printre activitățile recunoscute ca fiind încadrate în grupa a II-a de muncă prin Ordinul MMOS nr. 50/1990, Anexa nr. 2, poziția 51, sunt neîntemeiate, neputând să fie luate în considerare.</w:t>
      </w:r>
    </w:p>
    <w:p w14:paraId="6D75F957" w14:textId="77777777" w:rsidR="004B4E21" w:rsidRDefault="00A8394A">
      <w:pPr>
        <w:ind w:firstLine="720"/>
        <w:jc w:val="both"/>
      </w:pPr>
      <w:r>
        <w:t>De altfel, faptul că în perioada 20.03.1985-01.08.1991 intimatul a lucrat în condiții deosebite încadrate în grupa a II-a de muncă cu 100% rezultă și din înscrierea efectuată în carnetul de muncă al acestuia, poziția nr. 22.</w:t>
      </w:r>
    </w:p>
    <w:p w14:paraId="61EB74D7" w14:textId="77777777" w:rsidR="004B4E21" w:rsidRDefault="00A8394A">
      <w:pPr>
        <w:ind w:firstLine="720"/>
        <w:jc w:val="both"/>
      </w:pPr>
      <w:r>
        <w:lastRenderedPageBreak/>
        <w:t>Potrivit art. 1 din decretul nr. 92/1976, ”Carnetul de muncă este actul oficial prin care se dovedește vechimea în muncă, vechimea neîntreruptă în muncă, vechimea neîntreruptă în aceeași unitate, vechimea în funcție, meserie sau specialitate, timpul lucrat în locuri de muncă cu condiții deosebite, retribuția tarifară de încadrare și alte drepturi ce se includ în aceasta”, iar potrivit art. 279 alin 1 din Codul muncii, vechimea în muncă stabilită până la data de 31.12.2010 se probează cu carnetul de muncă.</w:t>
      </w:r>
    </w:p>
    <w:p w14:paraId="20EE4E39" w14:textId="77777777" w:rsidR="004B4E21" w:rsidRDefault="00A8394A">
      <w:pPr>
        <w:ind w:firstLine="720"/>
        <w:jc w:val="both"/>
      </w:pPr>
      <w:r>
        <w:t>Totodată, conform art. 123 alin. 2 din HG nr. 257/2011 pentru aprobarea Normelor de aplicare a prevederilor Legii nr. 263/2010 privind sistemul unitar de pensii publice, dovedirea stagiilor de cotizare se face cu carnetul de muncă, completat potrivit prevederilor Decretului nr. 92/1976 privind carnetul de muncă, şi/sau cu adeverințe eliberate, potrivit legii, de angajatorul la care a lucrat persoana respectivă sau, după caz, de instituția care a preluat arhivele acestuia.</w:t>
      </w:r>
    </w:p>
    <w:p w14:paraId="713BACAF" w14:textId="77777777" w:rsidR="004B4E21" w:rsidRDefault="00A8394A">
      <w:pPr>
        <w:ind w:firstLine="720"/>
        <w:jc w:val="both"/>
      </w:pPr>
      <w:r>
        <w:t>Or, cât timp carnetul de muncă al intimatului cuprinde mențiunea expresă a încadrării activității desfășurate de acesta în perioada 20.03.1985-01.08.1991 se încadrează în grupa a II-a de muncă 100%, respectiv temeiurile în care această încadrare a fost făcută, apelanta ar fi trebuit să aibă în vedere aceste mențiuni la stabilirea drepturilor de pensie ale intimatului.</w:t>
      </w:r>
    </w:p>
    <w:p w14:paraId="195C9676" w14:textId="77777777" w:rsidR="004B4E21" w:rsidRDefault="00A8394A">
      <w:pPr>
        <w:ind w:firstLine="720"/>
        <w:jc w:val="both"/>
      </w:pPr>
      <w:r>
        <w:t>Totodată, Curtea reține că adeverința eliberată de către fostul angajator al intimatului îndeplinește condițiile de formă şi de fond pentru a putea fi valorificată la stabilirea drepturilor de pensie cuvenite, fiind indicată în cuprinsul acesteia perioada în care intimatul a desfășurat activitate în grupa a II-a de muncă, procentul în care activitatea a fost desfășurată, temeiul legal al acordării, semnăturile persoanelor care angajează unitatea.</w:t>
      </w:r>
    </w:p>
    <w:p w14:paraId="1004DB1A" w14:textId="77777777" w:rsidR="004B4E21" w:rsidRDefault="00A8394A">
      <w:pPr>
        <w:ind w:firstLine="720"/>
        <w:jc w:val="both"/>
      </w:pPr>
      <w:r>
        <w:t>Întreaga răspundere pentru mențiunile cuprinse în adeverințele eliberate revine exclusiv unităților emitente, refuzul de valorificare a acestora fiind lipsit de temei legal, în condițiile în care adeverințele susmenționate se bucură de prezumția de validitate, nefiind anulate, modificate, revocate, astfel că se impune ca ele să fie avute în vedere, practica Curții fiind constantă în acest sens.</w:t>
      </w:r>
    </w:p>
    <w:p w14:paraId="25562AB2" w14:textId="77777777" w:rsidR="004B4E21" w:rsidRDefault="00A8394A">
      <w:pPr>
        <w:ind w:firstLine="708"/>
        <w:jc w:val="both"/>
      </w:pPr>
      <w:r>
        <w:t xml:space="preserve">Atât timp cât fostul angajator a evidențiat, pe baza statelor de plată pe care le deține, faptul că intimatul și-a desfășurat activitatea pe posturile de tractorist, muncitor necalificat, respectiv șofer, menționând în mod expres faptul că activitatea acestuia s-a derulat pe șantier la lucrări de construcții-montaj centrale termoelectrice, în condiții meteo nefavorabile și cu program de lucru prelungit, fiind, prin urmare, încadrată în grupa a II-a de muncă în procent de 100%, acesta este direct răspunzător de cele menționate, actele normative indicate în cuprinsul adeverinței confirmând că a fost urmată procedura instituită de legiuitor, astfel că se impunea implicit a fi avută în vedere la stabilirea drepturilor de pensie potrivit art. 158 din Legea nr. 263/2010.  </w:t>
      </w:r>
    </w:p>
    <w:p w14:paraId="75B0B59E" w14:textId="77777777" w:rsidR="004B4E21" w:rsidRDefault="00A8394A">
      <w:pPr>
        <w:ind w:firstLine="708"/>
        <w:jc w:val="both"/>
      </w:pPr>
      <w:r>
        <w:t xml:space="preserve">Potrivit art. 1 din HG nr. 1223/1990, ”personalul care este în activitate și care a lucrat la locurile de muncă sau activități cu condiții de muncă nocive, grele sau periculoase de pe șantierele de construcții-montaj, grupurile de șantiere și întreprinderile șantier, inclusiv unitățile de deservire ale acestora, bazele de producție, depozitele, laboratoarele, unitățile de mecanizare se încadrează în grupa a II-a de muncă în vederea pensionării”. </w:t>
      </w:r>
    </w:p>
    <w:p w14:paraId="17346F21" w14:textId="77777777" w:rsidR="004B4E21" w:rsidRDefault="00A8394A">
      <w:pPr>
        <w:ind w:firstLine="708"/>
        <w:jc w:val="both"/>
      </w:pPr>
      <w:r>
        <w:t>În conformitate cu dispozițiile art. 2 din HG nr. 1223/1990, nominalizarea persoanelor care se încadrează în grupa a II-a de muncă se face de către consiliile de administrație împreună cu sindicatele libere din unitate, dispoziție cuprinsă și în Ordinul nr. 50/1990, pct. 6.</w:t>
      </w:r>
    </w:p>
    <w:p w14:paraId="5197FADC" w14:textId="77777777" w:rsidR="004B4E21" w:rsidRDefault="00A8394A">
      <w:pPr>
        <w:ind w:firstLine="708"/>
        <w:jc w:val="both"/>
      </w:pPr>
      <w:r>
        <w:t>Susținerea apelantei în sensul că activitatea desfășurată de către intimat în perioada 20.03.1985-31.07.1991 nu pot fi valorificate ca stagiu de cotizare realizat în grupa a II-a de muncă, întrucât meseriile de tractorist și șofer nu fac obiectul încadrării în grupa superioară de muncă, conform HG nr. 1223/1990, nu pot să fie primite, raportat la faptul că, potrivit dispozițiilor legale mai sus citate dovada stagiilor de cotizare se face cu carnetul de muncă ori cu adeverințe eliberate de fostul angajator, care, potrivit  art. 2 din HG nr. 1223/1990 era cel care, cunoscând cel mai bine condițiile de muncă din unitate și atribuțiile, respectiv sarcinile îndeplinite de către fiecare angajat, era singurul abilitat să efectueze nominalizarea acestora în vederea încadrării activității lor în grupă superioară de muncă.</w:t>
      </w:r>
    </w:p>
    <w:p w14:paraId="4E7FBAC3" w14:textId="77777777" w:rsidR="004B4E21" w:rsidRDefault="00A8394A">
      <w:pPr>
        <w:ind w:firstLine="708"/>
        <w:jc w:val="both"/>
      </w:pPr>
      <w:r>
        <w:t xml:space="preserve">Or, atât timp cât fostul angajator al intimatului a atestat, fără putință de tăgadă, în cuprinsul carnetului de muncă, respectiv în cuprinsul adeverințelor emise, că în toată perioada </w:t>
      </w:r>
      <w:r>
        <w:lastRenderedPageBreak/>
        <w:t xml:space="preserve">de referință intimatul a desfășurat activitate în grupa a II-a de muncă, în procent de 100%, iar aceste înscrisuri nu au fost anulate, apelanta ar fi trebuit să le ia în considerare la stabilirea drepturilor de pensie ale intimatului. </w:t>
      </w:r>
    </w:p>
    <w:p w14:paraId="152CB9D0" w14:textId="42C436F2" w:rsidR="004B4E21" w:rsidRDefault="00A8394A">
      <w:pPr>
        <w:ind w:firstLine="720"/>
        <w:jc w:val="both"/>
      </w:pPr>
      <w:r>
        <w:t xml:space="preserve">În ceea ce privește solicitarea privind valorificarea veniturilor suplimentare atestate prin adeverințele nr. </w:t>
      </w:r>
      <w:r w:rsidR="006D60B3">
        <w:t>...</w:t>
      </w:r>
      <w:r>
        <w:t xml:space="preserve">/10.03.2022 și </w:t>
      </w:r>
      <w:r w:rsidR="006D60B3">
        <w:t>...</w:t>
      </w:r>
      <w:r>
        <w:t xml:space="preserve">/17.03.2022, eliberate de CEC </w:t>
      </w:r>
      <w:r w:rsidR="0070657E">
        <w:t>B</w:t>
      </w:r>
      <w:r>
        <w:t xml:space="preserve"> SA, Sucursala </w:t>
      </w:r>
      <w:r w:rsidR="006D60B3">
        <w:t>X</w:t>
      </w:r>
      <w:r>
        <w:t xml:space="preserve">, Curtea reține că, din cele menționate în cuprinsul adeverinței nr. </w:t>
      </w:r>
      <w:r w:rsidR="006D60B3">
        <w:t>...</w:t>
      </w:r>
      <w:r>
        <w:t>/ 10.03.2022 rezultă că intimatul a fost angajatul acestei societăţi, iar în perioada 1991-2001, în afara drepturilor salariale lunare, a obținut sume reprezentând prime de vacanță, prima de Paște, prima de Crăciun și prima ziua CEC, pentru aceste sume fiind plătită contribuția la asigurările sociale.</w:t>
      </w:r>
    </w:p>
    <w:p w14:paraId="6FE11469" w14:textId="45ACF028" w:rsidR="004B4E21" w:rsidRDefault="00A8394A">
      <w:pPr>
        <w:ind w:firstLine="720"/>
        <w:jc w:val="both"/>
      </w:pPr>
      <w:r>
        <w:t xml:space="preserve">Potrivit adeverinței nr. </w:t>
      </w:r>
      <w:r w:rsidR="006D60B3">
        <w:t>...</w:t>
      </w:r>
      <w:r>
        <w:t>/17.03.2022, în perioada 1991-2000, în calitate de angajat al acestei societăți, intimatul a obținut, în afara drepturilor salariale lunare și ore suplimentare plătite din fondul de salarii, pentru aceste venituri suplimentare fostul angajator confirmând, de asemenea, plata contribuției la asigurările sociale.</w:t>
      </w:r>
    </w:p>
    <w:p w14:paraId="28D8F4A9" w14:textId="77777777" w:rsidR="004B4E21" w:rsidRDefault="00A8394A">
      <w:pPr>
        <w:ind w:firstLine="720"/>
        <w:jc w:val="both"/>
      </w:pPr>
      <w:r>
        <w:t>Articolul 164 alin. 1 din Legea nr. 19/2000 stabilea că la determinarea punctajelor anuale să se utilizeze salariile brute sau nete de încadrare, iar conform alineatului 2, pe lângă acestea să se aibă în vedere şi sporurile care au făcut parte din baza de calcul a pensiilor conform legislaţiei anterioare şi care sunt înregistrate în carnetul de muncă, precum şi sporurile cu caracter permanent - alin 3. Această dispoziţie legală se regăseşte şi în HG nr. 257/2010 anexa 15 punctul VI, iar art. 165, 166 din Legea nr. 263/2010 prevede că la determinarea punctajelor lunare pentru perioada anterioară datei de 01.04.2001 se utilizează salariile brute sau nete, conform modului de înscriere în carnetele de muncă, respectiv salariile brute până la data de 01.07.1977, nete de la 01.07.1977 până la 01.01.1991, brute de la data de 01.01.1991 si sporurile cu caracter permanent care după data de 01.04.1992 au făcut parte din baza de calcul a pensiilor conform legislaţiei anterioare, înscrise în carnetele de muncă sau dovedite prin adeverinţe emise de unităţi conform legislaţiei în vigoare.</w:t>
      </w:r>
    </w:p>
    <w:p w14:paraId="262EBC41" w14:textId="77777777" w:rsidR="004B4E21" w:rsidRDefault="00A8394A">
      <w:pPr>
        <w:ind w:firstLine="720"/>
        <w:jc w:val="both"/>
      </w:pPr>
      <w:r>
        <w:t>Într-adevăr, veniturile obţinute cu caracter permanent de către intimat nu s-au înscris în carnetul de muncă al acestuia, dar câtă vreme acestea au intrat în baza de calcul a contribuţiei de asigurări sociale, conform adeverinţelor eliberate fostul angajator, se impun a fi avute în vedere la determinarea punctajului anual, cum în mod corect a reţinut instanţa de fond, dispunând valorificarea acestora.</w:t>
      </w:r>
    </w:p>
    <w:p w14:paraId="69F8E0AD" w14:textId="77777777" w:rsidR="004B4E21" w:rsidRDefault="00A8394A">
      <w:pPr>
        <w:ind w:firstLine="720"/>
        <w:jc w:val="both"/>
      </w:pPr>
      <w:r>
        <w:t>Potrivit art. 2 lit. e şi art. 78 din Legea nr. 19/2000, unul din principiile pe baza cărora funcţionează sistemul public de pensii este cel al contributivităţii, punctajul asiguratului calculându-se la nivelul veniturilor brute realizate şi pentru care s-au plătit contribuţii de asigurări sociale, principiu reluat şi în cuprinsul Legii nr. 263/2010, interpretarea dată de către apelantă acestui principiu fiind eronată.</w:t>
      </w:r>
    </w:p>
    <w:p w14:paraId="0BD04F9A" w14:textId="77777777" w:rsidR="004B4E21" w:rsidRDefault="00A8394A">
      <w:pPr>
        <w:ind w:firstLine="720"/>
        <w:jc w:val="both"/>
      </w:pPr>
      <w:r>
        <w:t>Este adevărat că prin punctul VI al anexei nr. 1 la OUG nr. 4/2005, respectiv în anexa nr. 15 punctul VI al HG 257/2010, s-a menţionat că nu sunt luate în calcul la stabilirea punctajului mediu anual, întrucât nu au făcut parte din baza de calcul a pensiilor, conform legislaţiei anterioare datei de 01.04.2001, formele de retribuire în acord global aceasta fiind de altfel şi practica acestei Curţi până la comunicatul Înaltei Curţi de Casaţie şi Justiţie în soluţionarea unor recursuri în interesul legii din 17.10.2011, deoarece anterior prin Decizia civilă nr. 30/2009 Înalta Curte de Casaţie şi Justiţie a respins un recurs în interesul legii promovat pentru unificarea practicii judiciare în materie, în considerente arătându-se că dispoziţiile legale sunt clare şi nu necesită interpretări.</w:t>
      </w:r>
    </w:p>
    <w:p w14:paraId="518A78FF" w14:textId="77777777" w:rsidR="004B4E21" w:rsidRDefault="00A8394A">
      <w:pPr>
        <w:ind w:firstLine="720"/>
        <w:jc w:val="both"/>
      </w:pPr>
      <w:r>
        <w:t xml:space="preserve">Interpretarea acestei dispoziţii legale a fost însă tranșată definitiv prin Decizia în interesul legii nr. 19/17.10.2011, prin care,  în baza art. 329 Vechiul Cod procedură civilă, Înalta Curte de Casaţie şi Justiţie a dispus admiterea recursului în interesul legii declarat de procurorul general al Parchetului de pe lângă Înalta Curte de Casaţie şi Justiţie şi a stabilit că, în interpretarea dispoziţiilor art. 2 lit. e, art. 78 şi art. 164 alin. 1 şi 2 din Legea nr. 19/2000 privind sistemul public de pensii şi alte drepturi de asigurări sociale şi ale art. 1 şi 2 din OUG nr. 4/2005, privind recalcularea pensiilor din sistemul public, provenite din fostul sistem al asigurărilor sociale de stat formele de retribuire în acord global prevăzute de Legea nr. 57/1974, art. 12 alin. 1 lit. a, privind retribuirea după cantitatea şi calitatea muncii, vor fi luate </w:t>
      </w:r>
      <w:r>
        <w:lastRenderedPageBreak/>
        <w:t>în considerare la stabilirea şi recalcularea pensiilor din sistemul public, dacă au fost incluse în salariul brut şi pentru acestea s-a plătit contribuţia de asigurări sociale la sistemul public de pensii.</w:t>
      </w:r>
    </w:p>
    <w:p w14:paraId="4850B55D" w14:textId="77777777" w:rsidR="004B4E21" w:rsidRDefault="00A8394A">
      <w:pPr>
        <w:ind w:firstLine="720"/>
        <w:jc w:val="both"/>
      </w:pPr>
      <w:r>
        <w:t>Raportat la această decizie, obligatorie pentru instanțele ordinare, potrivit art. 329 alin. 3 din vechiul Cod de procedură civilă, dar și potrivit art. 517 alin. 4 din noul Cod de procedură civilă, orice discuţii apar ca neavenite şi în consecinţă, întrucât prin adeverinţele emise de fostul angajator s-a făcut dovada faptului că pentru veniturile suplimentare obţinute de intimat s-au achitat şi contribuţiile de asigurări sociale aferente, se impune luarea acestora în considerare la recalcularea pensiei.</w:t>
      </w:r>
    </w:p>
    <w:p w14:paraId="5B4A8BBF" w14:textId="77777777" w:rsidR="004B4E21" w:rsidRDefault="00A8394A">
      <w:pPr>
        <w:ind w:firstLine="557"/>
        <w:jc w:val="both"/>
      </w:pPr>
      <w:r>
        <w:t xml:space="preserve">  În concluzie, deciziile în interesul legii pronunţate de Înalta Curte de Casaţie şi Justiţie, în baza dispoziţiilor din vechiul Cod de procedură civilă, art. 329, se impune a fi aplicate în speţă, nesubzistând vreun temei juridic pentru ca după data intrării în vigoare a Noului Cod de procedură civilă -15.02.2013 - să-şi înceteze aplicabilitatea.</w:t>
      </w:r>
    </w:p>
    <w:p w14:paraId="55E00BDB" w14:textId="77777777" w:rsidR="004B4E21" w:rsidRDefault="00A8394A">
      <w:pPr>
        <w:ind w:firstLine="720"/>
        <w:jc w:val="both"/>
      </w:pPr>
      <w:r>
        <w:t>De altfel, în considerentele Deciziei în interesul legii nr. 10/25.05.2015 Înalta Curte de Casaţie şi Justiţie menţionează că ”… rămâne la aprecierea instanţei de judecată ca, în condiţiile abrogării normei pe care o interpretează, dar ale subzistenţei în cuprinsul noii reglementări a soluţiei legislative anterioare să aplice raţionamentul juridic şi argumentele care au stat la baza acestuia şi care au dus la dezlegarea dată în Decizia civilă nr. 19/2011”.</w:t>
      </w:r>
    </w:p>
    <w:p w14:paraId="0F33B8DD" w14:textId="77777777" w:rsidR="004B4E21" w:rsidRDefault="00A8394A">
      <w:pPr>
        <w:ind w:firstLine="557"/>
        <w:jc w:val="both"/>
      </w:pPr>
      <w:r>
        <w:tab/>
        <w:t>Pe de altă parte, contribuţia pentru asigurările sociale de stat a fost instituită în sarcina angajatorilor iniţial prin HCM nr. 4161/1953, ulterior prin Decretul nr. 389/1972, iar potrivit acestor acte normative, contribuţia se aplica asupra câştigului brut realizat de salariaţi, deci, atât angajatorul cât şi salariatul contribuiau la sistemul de asigurări sociale de stat.</w:t>
      </w:r>
    </w:p>
    <w:p w14:paraId="4E47A3C4" w14:textId="77777777" w:rsidR="004B4E21" w:rsidRDefault="00A8394A">
      <w:pPr>
        <w:ind w:firstLine="557"/>
        <w:jc w:val="both"/>
      </w:pPr>
      <w:r>
        <w:t xml:space="preserve">  Aplicarea principiului contributivităţii impune luarea în calcul a sporurilor şi veniturilor suplimentare utilizate la determinarea punctajelor medii anuale pentru perioade anterioare Legii nr.19/2000, în măsura în care acestea au făcut parte din baza de calcul al pensiilor, au fost înregistrate în carnetul de muncă sau rezultă din adeverinţă, conform legislaţiei  în vigoare, dacă s-a plătit contribuţia de asigurări sociale.</w:t>
      </w:r>
    </w:p>
    <w:p w14:paraId="2D6279DC" w14:textId="77777777" w:rsidR="004B4E21" w:rsidRDefault="00A8394A">
      <w:pPr>
        <w:ind w:firstLine="708"/>
        <w:jc w:val="both"/>
      </w:pPr>
      <w:r>
        <w:t xml:space="preserve">Neluarea în considerare a unor sume pentru care s-au plătit contribuţiile de asigurări sociale echivalează cu o încălcare a principiului fundamental al contributivităţii, care guvernează domeniul asigurărilor sociale, și care ar duce la nerealizarea scopului avut în vedere de legiuitor astfel cum s-a reţinut şi prin decizia în interesul legii, arătată mai sus, nr. 19/17.10.2011, pronunţată de Înalta Curte de Casaţie şi Justiţie. </w:t>
      </w:r>
    </w:p>
    <w:p w14:paraId="35E9B6BA" w14:textId="77777777" w:rsidR="004B4E21" w:rsidRDefault="00A8394A">
      <w:pPr>
        <w:ind w:firstLine="708"/>
        <w:jc w:val="both"/>
      </w:pPr>
      <w:r>
        <w:t>De asemenea, Curtea mai reține că prin Decizia nr. 19/10.12.2012 pronunţată de Înalta Curte de Casaţie şi Justiţie în soluţionarea unui alt recurs în interesul legii, s-a stabilit că, în interpretarea şi aplicarea prevederilor art. 2 litera e şi art. 164 alin. 2 şi 3 din Legea nr. 19/2000 şi a punctului V din anexa la OUG nr. 4/2005, sporurile şi alte venituri suplimentare realizate anterior datei de 1 aprilie 2001, vor fi luate în considerare la stabilirea şi recalcularea pensiilor din sistemul public, dacă au fost incluse în baza de calcul conform legislaţiei anterioare, sunt înregistrate în carnetele de muncă sau în adeverinţele eliberate de unităţi, conform legislaţiei  în vigoare şi pentru acestea s-a plătit contribuţia de asigurări sociale.</w:t>
      </w:r>
    </w:p>
    <w:p w14:paraId="6213D430" w14:textId="77777777" w:rsidR="004B4E21" w:rsidRDefault="00A8394A">
      <w:pPr>
        <w:jc w:val="both"/>
      </w:pPr>
      <w:r>
        <w:t xml:space="preserve">         </w:t>
      </w:r>
      <w:r>
        <w:tab/>
        <w:t xml:space="preserve">De altfel, chiar Curtea Europeană a Drepturilor Omului a stabilit în jurisprudenţa sa că drepturile de asigurări sociale cuvenite în baza contribuţiilor de asigurări sociale plătite, constituie un bun patrimonial în sensul art. 1 din Protocolul nr. 1 al Convenţiei Europene a Drepturilor Omului. În cauza Frimu c/a României, Constantin Abăluţă c/a României s-a reţinut că aceste dispoziţii garantează plata prestaţiilor sociale pentru persoanele care au achitat contribuţii la bugetul asigurărilor sociale. </w:t>
      </w:r>
    </w:p>
    <w:p w14:paraId="2DC00E61" w14:textId="77777777" w:rsidR="004B4E21" w:rsidRDefault="00A8394A">
      <w:pPr>
        <w:ind w:firstLine="708"/>
        <w:jc w:val="both"/>
      </w:pPr>
      <w:r>
        <w:t>Curtea reţine astfel că principalul element obiectiv, apt a conduce la o justă şi legală calculare şi reactualizare a pensiilor provenite din fostul sistem de asigurări sociale, îl reprezintă contribuţiile de asigurări sociale plătite, aspect corect reţinut si de către instanţa de fond.</w:t>
      </w:r>
    </w:p>
    <w:p w14:paraId="3BF46A04" w14:textId="77777777" w:rsidR="004B4E21" w:rsidRDefault="00A8394A">
      <w:pPr>
        <w:ind w:firstLine="557"/>
        <w:jc w:val="both"/>
      </w:pPr>
      <w:r>
        <w:t xml:space="preserve"> </w:t>
      </w:r>
      <w:r>
        <w:tab/>
        <w:t>Cât timp fostul angajator a evidenţiat în adeverinţe veniturile suplimentare realizate de către intimat și plata contribuțiilor legale aferente, adeverințele fac dovadă deplină și sunt apte să producă efecte juridice, constând în recalcularea pensiei reclamantului intimat.</w:t>
      </w:r>
    </w:p>
    <w:p w14:paraId="2A93FFEF" w14:textId="77777777" w:rsidR="004B4E21" w:rsidRDefault="00A8394A">
      <w:pPr>
        <w:jc w:val="both"/>
      </w:pPr>
      <w:r>
        <w:lastRenderedPageBreak/>
        <w:tab/>
        <w:t xml:space="preserve">Pentru toate aceste considerente, în temeiul art. 480 alin. 1 Cod procedură civilă, instanța va respinge ca nefondat apelul, sentința apelată urmând a fi păstrată în totul. </w:t>
      </w:r>
    </w:p>
    <w:p w14:paraId="0ACE3D8F" w14:textId="77777777" w:rsidR="004B4E21" w:rsidRDefault="00A8394A">
      <w:pPr>
        <w:ind w:firstLine="720"/>
        <w:jc w:val="both"/>
      </w:pPr>
      <w:r>
        <w:t>Fiind în culpă procesuală, apelanta pârâtă va fi obligată în temeiul art. 451 alin. 1 și art. 453 alin. 1 Cod procedură civilă să plătească intimatului reclamant suma de 1500 lei cheltuieli de judecată în apel, reprezentând onorariu avocațial.</w:t>
      </w:r>
    </w:p>
    <w:p w14:paraId="251C403D" w14:textId="77777777" w:rsidR="004B4E21" w:rsidRDefault="004B4E21"/>
    <w:p w14:paraId="47D91ADC" w14:textId="77777777" w:rsidR="004B4E21" w:rsidRDefault="00A8394A">
      <w:pPr>
        <w:jc w:val="center"/>
        <w:rPr>
          <w:rStyle w:val="Fontdeparagrafimplicit1"/>
          <w:b/>
          <w:i/>
        </w:rPr>
      </w:pPr>
      <w:r>
        <w:rPr>
          <w:rStyle w:val="Fontdeparagrafimplicit1"/>
          <w:b/>
          <w:i/>
        </w:rPr>
        <w:t>PENTRU ACESTE MOTIVE</w:t>
      </w:r>
    </w:p>
    <w:p w14:paraId="6EE83453" w14:textId="77777777" w:rsidR="004B4E21" w:rsidRDefault="00A8394A">
      <w:pPr>
        <w:jc w:val="center"/>
        <w:rPr>
          <w:rStyle w:val="Fontdeparagrafimplicit1"/>
          <w:b/>
          <w:i/>
        </w:rPr>
      </w:pPr>
      <w:r>
        <w:rPr>
          <w:rStyle w:val="Fontdeparagrafimplicit1"/>
          <w:b/>
          <w:i/>
        </w:rPr>
        <w:t>ÎN NUMELE LEGII</w:t>
      </w:r>
    </w:p>
    <w:p w14:paraId="5D2C3C27" w14:textId="77777777" w:rsidR="004B4E21" w:rsidRDefault="00A8394A">
      <w:pPr>
        <w:jc w:val="center"/>
        <w:rPr>
          <w:rStyle w:val="Fontdeparagrafimplicit1"/>
          <w:b/>
          <w:i/>
        </w:rPr>
      </w:pPr>
      <w:r>
        <w:rPr>
          <w:rStyle w:val="Fontdeparagrafimplicit1"/>
          <w:b/>
          <w:i/>
        </w:rPr>
        <w:t>D E C I D E :</w:t>
      </w:r>
    </w:p>
    <w:p w14:paraId="050C8282" w14:textId="77777777" w:rsidR="004B4E21" w:rsidRDefault="004B4E21">
      <w:pPr>
        <w:ind w:firstLine="708"/>
        <w:rPr>
          <w:rStyle w:val="Fontdeparagrafimplicit1"/>
        </w:rPr>
      </w:pPr>
    </w:p>
    <w:p w14:paraId="4BF75CA3" w14:textId="1E24B018" w:rsidR="004B4E21" w:rsidRDefault="00A8394A">
      <w:pPr>
        <w:ind w:firstLine="708"/>
        <w:jc w:val="both"/>
      </w:pPr>
      <w:r>
        <w:rPr>
          <w:rStyle w:val="Fontdeparagrafimplicit1"/>
          <w:b/>
        </w:rPr>
        <w:t>RESPINGE</w:t>
      </w:r>
      <w:r>
        <w:t xml:space="preserve"> ca nefondat apelul civil declarat de apelanta </w:t>
      </w:r>
      <w:r>
        <w:rPr>
          <w:rStyle w:val="Fontdeparagrafimplicit1"/>
          <w:b/>
        </w:rPr>
        <w:t xml:space="preserve">CASA JUDEŢEANĂ DE PENSII </w:t>
      </w:r>
      <w:r w:rsidR="006D60B3">
        <w:rPr>
          <w:rStyle w:val="Fontdeparagrafimplicit1"/>
          <w:b/>
        </w:rPr>
        <w:t>Z</w:t>
      </w:r>
      <w:r>
        <w:t>,</w:t>
      </w:r>
      <w:r>
        <w:rPr>
          <w:rStyle w:val="Fontdeparagrafimplicit1"/>
          <w:b/>
        </w:rPr>
        <w:t xml:space="preserve"> </w:t>
      </w:r>
      <w:r>
        <w:t xml:space="preserve">cu sediul în </w:t>
      </w:r>
      <w:r w:rsidR="006D60B3">
        <w:t>X</w:t>
      </w:r>
      <w:r>
        <w:t xml:space="preserve">, str. </w:t>
      </w:r>
      <w:r w:rsidR="006D60B3">
        <w:t>...</w:t>
      </w:r>
      <w:r>
        <w:t xml:space="preserve">, nr. </w:t>
      </w:r>
      <w:r w:rsidR="003D28C5">
        <w:t>...</w:t>
      </w:r>
      <w:r>
        <w:t xml:space="preserve">, jud. </w:t>
      </w:r>
      <w:r w:rsidR="006D60B3">
        <w:t>Z</w:t>
      </w:r>
      <w:r>
        <w:t xml:space="preserve">, în contradictoriu cu intimatul </w:t>
      </w:r>
      <w:r w:rsidR="006D60B3">
        <w:rPr>
          <w:rStyle w:val="Fontdeparagrafimplicit1"/>
          <w:b/>
        </w:rPr>
        <w:t>FA</w:t>
      </w:r>
      <w:r>
        <w:t xml:space="preserve">, identificat prin CNP </w:t>
      </w:r>
      <w:r w:rsidR="006D60B3">
        <w:t>...</w:t>
      </w:r>
      <w:r>
        <w:t xml:space="preserve">, cu domiciliul în comuna </w:t>
      </w:r>
      <w:r w:rsidR="006D60B3">
        <w:t>S</w:t>
      </w:r>
      <w:r>
        <w:t xml:space="preserve">, sat </w:t>
      </w:r>
      <w:r w:rsidR="006D60B3">
        <w:t>C</w:t>
      </w:r>
      <w:r>
        <w:t xml:space="preserve">, str. </w:t>
      </w:r>
      <w:r w:rsidR="003D28C5">
        <w:t>..</w:t>
      </w:r>
      <w:r>
        <w:t xml:space="preserve"> nr.</w:t>
      </w:r>
      <w:r w:rsidR="003D28C5">
        <w:t>..</w:t>
      </w:r>
      <w:r>
        <w:t xml:space="preserve">, judeţul </w:t>
      </w:r>
      <w:r w:rsidR="006D60B3">
        <w:t>Z</w:t>
      </w:r>
      <w:r>
        <w:t>, împotriva Sentinţei civile nr.</w:t>
      </w:r>
      <w:r w:rsidR="006D60B3">
        <w:t>...</w:t>
      </w:r>
      <w:r>
        <w:t xml:space="preserve">din data de </w:t>
      </w:r>
      <w:r w:rsidR="006D60B3">
        <w:t>...</w:t>
      </w:r>
      <w:r>
        <w:t xml:space="preserve"> 2024, pronunţată de Tribunalul </w:t>
      </w:r>
      <w:r w:rsidR="006D60B3">
        <w:t>Z</w:t>
      </w:r>
      <w:r>
        <w:t xml:space="preserve">, pe care o păstrează în totalitate. </w:t>
      </w:r>
    </w:p>
    <w:p w14:paraId="6BA9C7E2" w14:textId="71DE32BB" w:rsidR="004B4E21" w:rsidRDefault="00A8394A">
      <w:pPr>
        <w:jc w:val="both"/>
      </w:pPr>
      <w:r>
        <w:tab/>
        <w:t xml:space="preserve">Obligă apelanta Casa Judeţeană de Pensii </w:t>
      </w:r>
      <w:r w:rsidR="006D60B3">
        <w:t>Z</w:t>
      </w:r>
      <w:r>
        <w:t xml:space="preserve"> la cheltuieli de judecată în cuantum de 1500 lei în favoarea intimatului </w:t>
      </w:r>
      <w:r w:rsidR="006D60B3">
        <w:t>FA</w:t>
      </w:r>
      <w:r>
        <w:t xml:space="preserve">.  </w:t>
      </w:r>
    </w:p>
    <w:p w14:paraId="6B660DCE" w14:textId="77777777" w:rsidR="004B4E21" w:rsidRDefault="00A8394A">
      <w:pPr>
        <w:jc w:val="both"/>
      </w:pPr>
      <w:r>
        <w:tab/>
        <w:t>DEFINITIVĂ.</w:t>
      </w:r>
    </w:p>
    <w:p w14:paraId="452C7678" w14:textId="35F65D56" w:rsidR="004B4E21" w:rsidRDefault="00A8394A">
      <w:pPr>
        <w:ind w:firstLine="708"/>
        <w:jc w:val="both"/>
      </w:pPr>
      <w:r>
        <w:t xml:space="preserve">Pronunţată azi </w:t>
      </w:r>
      <w:r w:rsidR="003D28C5">
        <w:t>...</w:t>
      </w:r>
      <w:r>
        <w:t xml:space="preserve"> 2024, prin punerea soluţiei la dispoziţia părţilor prin mijlocirea grefei instanţei.</w:t>
      </w:r>
    </w:p>
    <w:p w14:paraId="55C9C351" w14:textId="77777777" w:rsidR="004B4E21" w:rsidRDefault="004B4E21">
      <w:pPr>
        <w:jc w:val="both"/>
        <w:rPr>
          <w:rStyle w:val="Fontdeparagrafimplicit1"/>
          <w:color w:val="FF0000"/>
        </w:rPr>
      </w:pPr>
    </w:p>
    <w:p w14:paraId="3856DF94" w14:textId="77777777" w:rsidR="004B4E21" w:rsidRDefault="00A8394A">
      <w:pPr>
        <w:rPr>
          <w:rStyle w:val="Fontdeparagrafimplicit1"/>
          <w:b/>
          <w:i/>
        </w:rPr>
      </w:pPr>
      <w:r>
        <w:rPr>
          <w:rStyle w:val="Fontdeparagrafimplicit1"/>
          <w:b/>
          <w:i/>
          <w:color w:val="FF0000"/>
        </w:rPr>
        <w:t xml:space="preserve">               </w:t>
      </w:r>
      <w:r>
        <w:rPr>
          <w:rStyle w:val="Fontdeparagrafimplicit1"/>
          <w:b/>
          <w:i/>
        </w:rPr>
        <w:t xml:space="preserve">PREŞEDINTE </w:t>
      </w:r>
      <w:r>
        <w:rPr>
          <w:rStyle w:val="Fontdeparagrafimplicit1"/>
          <w:b/>
          <w:i/>
        </w:rPr>
        <w:tab/>
      </w:r>
      <w:r>
        <w:rPr>
          <w:rStyle w:val="Fontdeparagrafimplicit1"/>
          <w:b/>
          <w:i/>
        </w:rPr>
        <w:tab/>
        <w:t xml:space="preserve">           JUDECĂTOR      </w:t>
      </w:r>
      <w:r>
        <w:rPr>
          <w:rStyle w:val="Fontdeparagrafimplicit1"/>
          <w:b/>
          <w:i/>
        </w:rPr>
        <w:tab/>
        <w:t xml:space="preserve">                 GREFIER </w:t>
      </w:r>
    </w:p>
    <w:p w14:paraId="77CC12D8" w14:textId="066A6535" w:rsidR="004B4E21" w:rsidRDefault="00A8394A">
      <w:pPr>
        <w:rPr>
          <w:rStyle w:val="Fontdeparagrafimplicit1"/>
          <w:i/>
          <w:sz w:val="16"/>
        </w:rPr>
      </w:pPr>
      <w:r>
        <w:rPr>
          <w:rStyle w:val="Fontdeparagrafimplicit1"/>
          <w:i/>
        </w:rPr>
        <w:t xml:space="preserve">    </w:t>
      </w:r>
      <w:r w:rsidR="003D28C5">
        <w:rPr>
          <w:rStyle w:val="Fontdeparagrafimplicit1"/>
          <w:i/>
        </w:rPr>
        <w:t xml:space="preserve">                    </w:t>
      </w:r>
      <w:r>
        <w:rPr>
          <w:rStyle w:val="Fontdeparagrafimplicit1"/>
          <w:i/>
        </w:rPr>
        <w:t xml:space="preserve"> </w:t>
      </w:r>
      <w:r w:rsidR="006D60B3">
        <w:rPr>
          <w:rStyle w:val="Fontdeparagrafimplicit1"/>
          <w:i/>
        </w:rPr>
        <w:t>A0011</w:t>
      </w:r>
      <w:r>
        <w:rPr>
          <w:rStyle w:val="Fontdeparagrafimplicit1"/>
          <w:i/>
        </w:rPr>
        <w:t xml:space="preserve">      </w:t>
      </w:r>
      <w:r w:rsidR="003D28C5">
        <w:rPr>
          <w:rStyle w:val="Fontdeparagrafimplicit1"/>
          <w:i/>
        </w:rPr>
        <w:t xml:space="preserve">                                 </w:t>
      </w:r>
      <w:r>
        <w:rPr>
          <w:rStyle w:val="Fontdeparagrafimplicit1"/>
          <w:i/>
        </w:rPr>
        <w:t xml:space="preserve">          </w:t>
      </w:r>
      <w:r w:rsidR="006D60B3">
        <w:rPr>
          <w:rStyle w:val="Fontdeparagrafimplicit1"/>
          <w:i/>
        </w:rPr>
        <w:t>....</w:t>
      </w:r>
      <w:r>
        <w:rPr>
          <w:rStyle w:val="Fontdeparagrafimplicit1"/>
          <w:i/>
        </w:rPr>
        <w:t xml:space="preserve">             </w:t>
      </w:r>
      <w:r w:rsidR="003D28C5">
        <w:rPr>
          <w:rStyle w:val="Fontdeparagrafimplicit1"/>
          <w:i/>
        </w:rPr>
        <w:t xml:space="preserve">                </w:t>
      </w:r>
      <w:r>
        <w:rPr>
          <w:rStyle w:val="Fontdeparagrafimplicit1"/>
          <w:i/>
        </w:rPr>
        <w:t xml:space="preserve">       </w:t>
      </w:r>
      <w:r w:rsidR="006D60B3">
        <w:rPr>
          <w:rStyle w:val="Fontdeparagrafimplicit1"/>
          <w:i/>
        </w:rPr>
        <w:t>....</w:t>
      </w:r>
      <w:r>
        <w:rPr>
          <w:rStyle w:val="Fontdeparagrafimplicit1"/>
          <w:i/>
        </w:rPr>
        <w:t xml:space="preserve">              </w:t>
      </w:r>
      <w:r>
        <w:rPr>
          <w:rStyle w:val="Fontdeparagrafimplicit1"/>
          <w:i/>
        </w:rPr>
        <w:tab/>
        <w:t xml:space="preserve">           </w:t>
      </w:r>
      <w:r>
        <w:rPr>
          <w:rStyle w:val="Fontdeparagrafimplicit1"/>
          <w:i/>
          <w:sz w:val="18"/>
        </w:rPr>
        <w:t xml:space="preserve">          </w:t>
      </w:r>
      <w:r>
        <w:rPr>
          <w:rStyle w:val="Fontdeparagrafimplicit1"/>
          <w:i/>
          <w:sz w:val="18"/>
        </w:rPr>
        <w:tab/>
      </w:r>
      <w:r>
        <w:rPr>
          <w:rStyle w:val="Fontdeparagrafimplicit1"/>
          <w:i/>
          <w:sz w:val="18"/>
        </w:rPr>
        <w:tab/>
      </w:r>
      <w:r>
        <w:rPr>
          <w:rStyle w:val="Fontdeparagrafimplicit1"/>
          <w:i/>
          <w:sz w:val="18"/>
        </w:rPr>
        <w:tab/>
        <w:t xml:space="preserve"> </w:t>
      </w:r>
    </w:p>
    <w:p w14:paraId="6AFBDFC1" w14:textId="77777777" w:rsidR="004B4E21" w:rsidRDefault="004B4E21">
      <w:pPr>
        <w:tabs>
          <w:tab w:val="center" w:pos="4536"/>
        </w:tabs>
        <w:jc w:val="center"/>
        <w:rPr>
          <w:rStyle w:val="Fontdeparagrafimplicit1"/>
          <w:i/>
          <w:color w:val="FF0000"/>
          <w:sz w:val="16"/>
        </w:rPr>
      </w:pPr>
    </w:p>
    <w:p w14:paraId="5BC3CF8B" w14:textId="77777777" w:rsidR="004B4E21" w:rsidRDefault="00A8394A">
      <w:pPr>
        <w:rPr>
          <w:rStyle w:val="Fontdeparagrafimplicit1"/>
          <w:i/>
          <w:color w:val="FF0000"/>
        </w:rPr>
      </w:pPr>
      <w:r>
        <w:rPr>
          <w:rStyle w:val="Fontdeparagrafimplicit1"/>
          <w:i/>
          <w:color w:val="FF0000"/>
        </w:rPr>
        <w:tab/>
      </w:r>
    </w:p>
    <w:p w14:paraId="01FDFF03" w14:textId="77777777" w:rsidR="004B4E21" w:rsidRDefault="00A8394A">
      <w:pPr>
        <w:rPr>
          <w:rStyle w:val="Fontdeparagrafimplicit1"/>
          <w:b/>
          <w:i/>
          <w:color w:val="FF0000"/>
        </w:rPr>
      </w:pPr>
      <w:r>
        <w:rPr>
          <w:rStyle w:val="Fontdeparagrafimplicit1"/>
          <w:i/>
          <w:color w:val="FF0000"/>
        </w:rPr>
        <w:tab/>
      </w:r>
      <w:r>
        <w:rPr>
          <w:rStyle w:val="Fontdeparagrafimplicit1"/>
          <w:i/>
          <w:color w:val="FF0000"/>
        </w:rPr>
        <w:tab/>
        <w:t xml:space="preserve">      </w:t>
      </w:r>
      <w:r>
        <w:rPr>
          <w:rStyle w:val="Fontdeparagrafimplicit1"/>
          <w:color w:val="FF0000"/>
          <w:sz w:val="20"/>
        </w:rPr>
        <w:t xml:space="preserve"> </w:t>
      </w:r>
    </w:p>
    <w:p w14:paraId="082CBEB4" w14:textId="219BE332" w:rsidR="004B4E21" w:rsidRDefault="00A8394A">
      <w:pPr>
        <w:ind w:right="-5"/>
        <w:rPr>
          <w:rStyle w:val="Fontdeparagrafimplicit1"/>
        </w:rPr>
      </w:pPr>
      <w:r>
        <w:rPr>
          <w:rStyle w:val="Fontdeparagrafimplicit1"/>
          <w:i/>
          <w:sz w:val="16"/>
        </w:rPr>
        <w:t xml:space="preserve">Red.dec.jud. </w:t>
      </w:r>
      <w:r w:rsidR="003D28C5">
        <w:rPr>
          <w:rStyle w:val="Fontdeparagrafimplicit1"/>
          <w:i/>
          <w:sz w:val="16"/>
        </w:rPr>
        <w:t>A0011</w:t>
      </w:r>
      <w:r>
        <w:rPr>
          <w:rStyle w:val="Fontdeparagrafimplicit1"/>
          <w:i/>
          <w:sz w:val="16"/>
        </w:rPr>
        <w:t>./</w:t>
      </w:r>
      <w:r w:rsidR="003D28C5">
        <w:rPr>
          <w:rStyle w:val="Fontdeparagrafimplicit1"/>
          <w:i/>
          <w:sz w:val="16"/>
        </w:rPr>
        <w:t>...</w:t>
      </w:r>
    </w:p>
    <w:p w14:paraId="379CC41A" w14:textId="0C39E246" w:rsidR="004B4E21" w:rsidRDefault="00A8394A">
      <w:pPr>
        <w:rPr>
          <w:rStyle w:val="Fontdeparagrafimplicit1"/>
          <w:i/>
          <w:sz w:val="16"/>
        </w:rPr>
      </w:pPr>
      <w:r>
        <w:rPr>
          <w:rStyle w:val="Fontdeparagrafimplicit1"/>
          <w:i/>
          <w:sz w:val="16"/>
        </w:rPr>
        <w:t xml:space="preserve">Jud. fond </w:t>
      </w:r>
      <w:r w:rsidR="003D28C5">
        <w:rPr>
          <w:rStyle w:val="Fontdeparagrafimplicit1"/>
          <w:i/>
          <w:sz w:val="16"/>
        </w:rPr>
        <w:t>...</w:t>
      </w:r>
      <w:r>
        <w:rPr>
          <w:rStyle w:val="Fontdeparagrafimplicit1"/>
          <w:i/>
          <w:sz w:val="16"/>
        </w:rPr>
        <w:t xml:space="preserve">  </w:t>
      </w:r>
    </w:p>
    <w:p w14:paraId="141BF992" w14:textId="66CEAE2A" w:rsidR="004B4E21" w:rsidRDefault="00A8394A">
      <w:pPr>
        <w:rPr>
          <w:rStyle w:val="Fontdeparagrafimplicit1"/>
          <w:i/>
          <w:sz w:val="16"/>
        </w:rPr>
      </w:pPr>
      <w:r>
        <w:rPr>
          <w:rStyle w:val="Fontdeparagrafimplicit1"/>
          <w:i/>
          <w:sz w:val="16"/>
        </w:rPr>
        <w:t>Tehnored.</w:t>
      </w:r>
      <w:r w:rsidR="003D28C5">
        <w:rPr>
          <w:rStyle w:val="Fontdeparagrafimplicit1"/>
          <w:i/>
          <w:sz w:val="16"/>
        </w:rPr>
        <w:t>...</w:t>
      </w:r>
      <w:r>
        <w:rPr>
          <w:rStyle w:val="Fontdeparagrafimplicit1"/>
          <w:i/>
          <w:sz w:val="16"/>
        </w:rPr>
        <w:t>4 ex./</w:t>
      </w:r>
      <w:r w:rsidR="003D28C5">
        <w:rPr>
          <w:rStyle w:val="Fontdeparagrafimplicit1"/>
          <w:i/>
          <w:sz w:val="16"/>
        </w:rPr>
        <w:t>...</w:t>
      </w:r>
    </w:p>
    <w:p w14:paraId="10422252" w14:textId="77777777" w:rsidR="004B4E21" w:rsidRDefault="004B4E21">
      <w:pPr>
        <w:rPr>
          <w:rStyle w:val="Fontdeparagrafimplicit1"/>
          <w:i/>
        </w:rPr>
      </w:pPr>
    </w:p>
    <w:p w14:paraId="542B53D1" w14:textId="77777777" w:rsidR="004B4E21" w:rsidRDefault="00A8394A">
      <w:pPr>
        <w:rPr>
          <w:rStyle w:val="Fontdeparagrafimplicit1"/>
          <w:i/>
          <w:sz w:val="16"/>
          <w:u w:val="single"/>
        </w:rPr>
      </w:pPr>
      <w:r>
        <w:rPr>
          <w:rStyle w:val="Fontdeparagrafimplicit1"/>
          <w:i/>
          <w:sz w:val="16"/>
          <w:u w:val="single"/>
        </w:rPr>
        <w:t xml:space="preserve">Emis 2 comunicări </w:t>
      </w:r>
    </w:p>
    <w:p w14:paraId="1D3B6354" w14:textId="6691D29F" w:rsidR="004B4E21" w:rsidRDefault="00A8394A">
      <w:pPr>
        <w:numPr>
          <w:ilvl w:val="0"/>
          <w:numId w:val="1"/>
        </w:numPr>
        <w:jc w:val="both"/>
        <w:rPr>
          <w:rStyle w:val="Fontdeparagrafimplicit1"/>
          <w:sz w:val="16"/>
        </w:rPr>
      </w:pPr>
      <w:r>
        <w:rPr>
          <w:rStyle w:val="Fontdeparagrafimplicit1"/>
          <w:b/>
          <w:sz w:val="16"/>
        </w:rPr>
        <w:t xml:space="preserve">CASA JUDEŢEANĂ DE PENSII </w:t>
      </w:r>
      <w:r w:rsidR="006D60B3">
        <w:rPr>
          <w:rStyle w:val="Fontdeparagrafimplicit1"/>
          <w:b/>
          <w:sz w:val="16"/>
        </w:rPr>
        <w:t>Z</w:t>
      </w:r>
      <w:r>
        <w:rPr>
          <w:rStyle w:val="Fontdeparagrafimplicit1"/>
          <w:sz w:val="16"/>
        </w:rPr>
        <w:t>,</w:t>
      </w:r>
      <w:r>
        <w:rPr>
          <w:rStyle w:val="Fontdeparagrafimplicit1"/>
          <w:b/>
          <w:sz w:val="16"/>
        </w:rPr>
        <w:t xml:space="preserve"> </w:t>
      </w:r>
      <w:r>
        <w:rPr>
          <w:rStyle w:val="Fontdeparagrafimplicit1"/>
          <w:sz w:val="16"/>
        </w:rPr>
        <w:t xml:space="preserve">cu sediul în </w:t>
      </w:r>
      <w:r w:rsidR="006D60B3">
        <w:rPr>
          <w:rStyle w:val="Fontdeparagrafimplicit1"/>
          <w:sz w:val="16"/>
        </w:rPr>
        <w:t>X</w:t>
      </w:r>
      <w:r>
        <w:rPr>
          <w:rStyle w:val="Fontdeparagrafimplicit1"/>
          <w:sz w:val="16"/>
        </w:rPr>
        <w:t xml:space="preserve">, str. </w:t>
      </w:r>
      <w:r w:rsidR="006D60B3">
        <w:rPr>
          <w:rStyle w:val="Fontdeparagrafimplicit1"/>
          <w:sz w:val="16"/>
        </w:rPr>
        <w:t>...</w:t>
      </w:r>
      <w:r>
        <w:rPr>
          <w:rStyle w:val="Fontdeparagrafimplicit1"/>
          <w:sz w:val="16"/>
        </w:rPr>
        <w:t xml:space="preserve">, nr. </w:t>
      </w:r>
      <w:r w:rsidR="003D28C5">
        <w:rPr>
          <w:rStyle w:val="Fontdeparagrafimplicit1"/>
          <w:sz w:val="16"/>
        </w:rPr>
        <w:t>..</w:t>
      </w:r>
      <w:r>
        <w:rPr>
          <w:rStyle w:val="Fontdeparagrafimplicit1"/>
          <w:sz w:val="16"/>
        </w:rPr>
        <w:t xml:space="preserve">, jud. </w:t>
      </w:r>
      <w:r w:rsidR="006D60B3">
        <w:rPr>
          <w:rStyle w:val="Fontdeparagrafimplicit1"/>
          <w:sz w:val="16"/>
        </w:rPr>
        <w:t>Z</w:t>
      </w:r>
      <w:r>
        <w:rPr>
          <w:rStyle w:val="Fontdeparagrafimplicit1"/>
          <w:sz w:val="16"/>
        </w:rPr>
        <w:t xml:space="preserve">, </w:t>
      </w:r>
    </w:p>
    <w:p w14:paraId="0A5E3E4C" w14:textId="559EB823" w:rsidR="004B4E21" w:rsidRDefault="00A8394A">
      <w:pPr>
        <w:numPr>
          <w:ilvl w:val="0"/>
          <w:numId w:val="1"/>
        </w:numPr>
        <w:jc w:val="both"/>
        <w:rPr>
          <w:rStyle w:val="Fontdeparagrafimplicit1"/>
          <w:sz w:val="16"/>
        </w:rPr>
      </w:pPr>
      <w:r>
        <w:rPr>
          <w:rStyle w:val="Fontdeparagrafimplicit1"/>
          <w:b/>
          <w:sz w:val="16"/>
        </w:rPr>
        <w:t>FA</w:t>
      </w:r>
      <w:r>
        <w:rPr>
          <w:rStyle w:val="Fontdeparagrafimplicit1"/>
          <w:sz w:val="16"/>
        </w:rPr>
        <w:t xml:space="preserve">, cu domiciliul în comuna S, sat C, str. </w:t>
      </w:r>
      <w:r w:rsidR="003D28C5">
        <w:rPr>
          <w:rStyle w:val="Fontdeparagrafimplicit1"/>
          <w:sz w:val="16"/>
        </w:rPr>
        <w:t>..</w:t>
      </w:r>
      <w:r>
        <w:rPr>
          <w:rStyle w:val="Fontdeparagrafimplicit1"/>
          <w:sz w:val="16"/>
        </w:rPr>
        <w:t xml:space="preserve"> nr.</w:t>
      </w:r>
      <w:r w:rsidR="003D28C5">
        <w:rPr>
          <w:rStyle w:val="Fontdeparagrafimplicit1"/>
          <w:sz w:val="16"/>
        </w:rPr>
        <w:t>..</w:t>
      </w:r>
      <w:r>
        <w:rPr>
          <w:rStyle w:val="Fontdeparagrafimplicit1"/>
          <w:sz w:val="16"/>
        </w:rPr>
        <w:t>, judeţul Z</w:t>
      </w:r>
    </w:p>
    <w:p w14:paraId="5C88A699" w14:textId="77777777" w:rsidR="004B4E21" w:rsidRDefault="004B4E21">
      <w:pPr>
        <w:rPr>
          <w:rStyle w:val="Fontdeparagrafimplicit1"/>
        </w:rPr>
      </w:pPr>
    </w:p>
    <w:p w14:paraId="016C363E" w14:textId="77777777" w:rsidR="004B4E21" w:rsidRDefault="004B4E21">
      <w:pPr>
        <w:rPr>
          <w:rStyle w:val="Fontdeparagrafimplicit1"/>
        </w:rPr>
      </w:pPr>
    </w:p>
    <w:p w14:paraId="2F69A943" w14:textId="77777777" w:rsidR="004B4E21" w:rsidRDefault="004B4E21">
      <w:pPr>
        <w:rPr>
          <w:rStyle w:val="Fontdeparagrafimplicit1"/>
        </w:rPr>
      </w:pPr>
    </w:p>
    <w:sectPr w:rsidR="004B4E21">
      <w:footerReference w:type="default" r:id="rId7"/>
      <w:pgSz w:w="11906" w:h="16838"/>
      <w:pgMar w:top="1134" w:right="1021" w:bottom="1021" w:left="1701" w:header="0" w:footer="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E53479" w14:textId="77777777" w:rsidR="00B05C37" w:rsidRDefault="00B05C37">
      <w:r>
        <w:separator/>
      </w:r>
    </w:p>
  </w:endnote>
  <w:endnote w:type="continuationSeparator" w:id="0">
    <w:p w14:paraId="19D582A9" w14:textId="77777777" w:rsidR="00B05C37" w:rsidRDefault="00B05C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5FCFD7" w14:textId="77777777" w:rsidR="004B4E21" w:rsidRDefault="00A8394A">
    <w:pPr>
      <w:pStyle w:val="Subsol1"/>
      <w:jc w:val="center"/>
    </w:pPr>
    <w:r>
      <w:fldChar w:fldCharType="begin"/>
    </w:r>
    <w:r>
      <w:instrText>PAGE   \* MERGEFORMAT</w:instrText>
    </w:r>
    <w:r>
      <w:fldChar w:fldCharType="separate"/>
    </w:r>
    <w:r>
      <w:t>#</w:t>
    </w:r>
    <w:r>
      <w:fldChar w:fldCharType="end"/>
    </w:r>
  </w:p>
  <w:p w14:paraId="45B51B96" w14:textId="77777777" w:rsidR="004B4E21" w:rsidRDefault="004B4E21">
    <w:pPr>
      <w:pStyle w:val="Subsol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E0F1F2" w14:textId="77777777" w:rsidR="00B05C37" w:rsidRDefault="00B05C37">
      <w:r>
        <w:separator/>
      </w:r>
    </w:p>
  </w:footnote>
  <w:footnote w:type="continuationSeparator" w:id="0">
    <w:p w14:paraId="5B241110" w14:textId="77777777" w:rsidR="00B05C37" w:rsidRDefault="00B05C3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3E420C1"/>
    <w:multiLevelType w:val="multilevel"/>
    <w:tmpl w:val="34F62F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3766553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url" w:val="https://caora.just.ro/ecris_cdms/document_upload.aspx?id_document=3500000001065660&amp;id_departament=2&amp;id_sesiune=805951&amp;id_user=181&amp;id_institutie=35&amp;actiune=modifica"/>
  </w:docVars>
  <w:rsids>
    <w:rsidRoot w:val="004B4E21"/>
    <w:rsid w:val="00036688"/>
    <w:rsid w:val="003B7FAA"/>
    <w:rsid w:val="003D28C5"/>
    <w:rsid w:val="004B4E21"/>
    <w:rsid w:val="006C3738"/>
    <w:rsid w:val="006D60B3"/>
    <w:rsid w:val="0070657E"/>
    <w:rsid w:val="0084090F"/>
    <w:rsid w:val="00A8394A"/>
    <w:rsid w:val="00B05C37"/>
    <w:rsid w:val="00DE4D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7E9294"/>
  <w15:docId w15:val="{9DFCDCB5-2370-45A4-86BB-83ABE06D2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tlu11">
    <w:name w:val="Titlu 11"/>
    <w:basedOn w:val="Normal"/>
    <w:next w:val="Normal"/>
    <w:qFormat/>
    <w:pPr>
      <w:keepNext/>
      <w:jc w:val="center"/>
      <w:outlineLvl w:val="0"/>
    </w:pPr>
    <w:rPr>
      <w:b/>
      <w:sz w:val="28"/>
      <w:lang w:val="en-US"/>
    </w:rPr>
  </w:style>
  <w:style w:type="paragraph" w:styleId="NormalWeb">
    <w:name w:val="Normal (Web)"/>
    <w:basedOn w:val="Normal"/>
    <w:pPr>
      <w:spacing w:before="100" w:beforeAutospacing="1" w:after="100" w:afterAutospacing="1"/>
    </w:pPr>
  </w:style>
  <w:style w:type="paragraph" w:customStyle="1" w:styleId="Subsol1">
    <w:name w:val="Subsol1"/>
    <w:basedOn w:val="Normal"/>
    <w:link w:val="SubsolCaracter"/>
    <w:pPr>
      <w:tabs>
        <w:tab w:val="center" w:pos="4536"/>
        <w:tab w:val="right" w:pos="9072"/>
      </w:tabs>
      <w:spacing w:after="160" w:line="259" w:lineRule="auto"/>
    </w:pPr>
    <w:rPr>
      <w:rFonts w:ascii="Calibri" w:hAnsi="Calibri"/>
      <w:sz w:val="22"/>
    </w:rPr>
  </w:style>
  <w:style w:type="character" w:styleId="LineNumber">
    <w:name w:val="line number"/>
    <w:basedOn w:val="DefaultParagraphFont"/>
    <w:semiHidden/>
  </w:style>
  <w:style w:type="character" w:styleId="Hyperlink">
    <w:name w:val="Hyperlink"/>
    <w:rPr>
      <w:color w:val="0000FF"/>
      <w:u w:val="single"/>
    </w:rPr>
  </w:style>
  <w:style w:type="character" w:customStyle="1" w:styleId="Fontdeparagrafimplicit1">
    <w:name w:val="Font de paragraf implicit1"/>
  </w:style>
  <w:style w:type="character" w:customStyle="1" w:styleId="SubsolCaracter">
    <w:name w:val="Subsol Caracter"/>
    <w:link w:val="Subsol1"/>
    <w:rPr>
      <w:rFonts w:ascii="Calibri" w:hAnsi="Calibri"/>
      <w:sz w:val="22"/>
    </w:rPr>
  </w:style>
  <w:style w:type="table" w:styleId="TableSimple1">
    <w:name w:val="Table Simple 1"/>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Normal1">
    <w:name w:val="Tabel Normal1"/>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11</Pages>
  <Words>6877</Words>
  <Characters>39200</Characters>
  <Application>Microsoft Office Word</Application>
  <DocSecurity>0</DocSecurity>
  <Lines>326</Lines>
  <Paragraphs>91</Paragraphs>
  <ScaleCrop>false</ScaleCrop>
  <Manager/>
  <Company/>
  <LinksUpToDate>false</LinksUpToDate>
  <CharactersWithSpaces>45986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Andreea, ZAHARIA</cp:lastModifiedBy>
  <cp:revision>3</cp:revision>
  <dcterms:created xsi:type="dcterms:W3CDTF">2026-09-03T12:36:00Z</dcterms:created>
  <dcterms:modified xsi:type="dcterms:W3CDTF">2026-09-12T09:28:00Z</dcterms:modified>
  <cp:category/>
  <dc:identifier/>
  <cp:contentStatus/>
  <dc:language/>
  <cp:version/>
</cp:coreProperties>
</file>