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F11144" w:rsidP="00F11144">
      <w:pPr>
        <w:rPr>
          <w:b/>
        </w:rPr>
      </w:pPr>
      <w:r>
        <w:rPr>
          <w:b/>
        </w:rPr>
        <w:t>HOTĂRÂREA NR. 24</w:t>
      </w:r>
      <w:r>
        <w:rPr>
          <w:b/>
        </w:rPr>
        <w:t xml:space="preserve">                                                             CANDIDAT  A0009</w:t>
      </w:r>
    </w:p>
    <w:p w:rsidR="008D1B2C">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008D1B2C">
      <w:pPr>
        <w:rPr>
          <w:rStyle w:val="Fontdeparagrafimplicit"/>
          <w:rFonts w:ascii="Garamond" w:hAnsi="Garamond"/>
        </w:rPr>
      </w:pPr>
      <w:r>
        <w:rPr>
          <w:rStyle w:val="Fontdeparagrafimplicit"/>
          <w:rFonts w:ascii="Garamond" w:hAnsi="Garamond"/>
        </w:rPr>
        <w:t>Cod ECLI    ECLI:RO:</w:t>
      </w:r>
      <w:r w:rsidR="00E00290">
        <w:rPr>
          <w:rStyle w:val="Fontdeparagrafimplicit"/>
          <w:rFonts w:ascii="Garamond" w:hAnsi="Garamond"/>
        </w:rPr>
        <w:t>............</w:t>
      </w:r>
    </w:p>
    <w:p w:rsidR="008D1B2C">
      <w:pPr>
        <w:ind w:right="-1"/>
      </w:pPr>
      <w:r>
        <w:t xml:space="preserve">DOSAR NR. </w:t>
      </w:r>
      <w:r w:rsidR="00E00290">
        <w:t>............</w:t>
      </w:r>
    </w:p>
    <w:p w:rsidR="008D1B2C">
      <w:pPr>
        <w:ind w:right="-1"/>
      </w:pPr>
    </w:p>
    <w:p w:rsidR="008D1B2C">
      <w:pPr>
        <w:ind w:right="-1"/>
        <w:jc w:val="center"/>
      </w:pPr>
      <w:r>
        <w:t>R O M Â N I A</w:t>
      </w:r>
    </w:p>
    <w:p w:rsidR="008D1B2C">
      <w:pPr>
        <w:ind w:right="-1"/>
        <w:jc w:val="center"/>
      </w:pPr>
      <w:r>
        <w:t xml:space="preserve">CURTEA DE APEL </w:t>
      </w:r>
      <w:r w:rsidR="00E00290">
        <w:t>............</w:t>
      </w:r>
    </w:p>
    <w:p w:rsidR="008D1B2C">
      <w:pPr>
        <w:ind w:right="-1"/>
        <w:jc w:val="center"/>
      </w:pPr>
      <w:r>
        <w:t xml:space="preserve">SECŢIA </w:t>
      </w:r>
      <w:r w:rsidR="00E00290">
        <w:t xml:space="preserve">............ </w:t>
      </w:r>
      <w:r>
        <w:t>CONTENCIOS ADMINISTRATIV ŞI FISCAL</w:t>
      </w:r>
    </w:p>
    <w:p w:rsidR="008D1B2C">
      <w:pPr>
        <w:jc w:val="center"/>
        <w:rPr>
          <w:rStyle w:val="Fontdeparagrafimplicit"/>
          <w:b/>
        </w:rPr>
      </w:pPr>
      <w:r>
        <w:rPr>
          <w:rStyle w:val="Fontdeparagrafimplicit"/>
          <w:b/>
        </w:rPr>
        <w:t>DECIZIA CIVILĂ NR.</w:t>
      </w:r>
      <w:r w:rsidR="00E00290">
        <w:rPr>
          <w:rStyle w:val="Fontdeparagrafimplicit"/>
          <w:b/>
        </w:rPr>
        <w:t>...........</w:t>
      </w:r>
    </w:p>
    <w:p w:rsidR="008D1B2C">
      <w:pPr>
        <w:jc w:val="center"/>
      </w:pPr>
      <w:r>
        <w:t xml:space="preserve">ŞEDINŢA PUBLICĂ DIN DATA DE </w:t>
      </w:r>
      <w:r w:rsidR="00E00290">
        <w:t>..............</w:t>
      </w:r>
    </w:p>
    <w:p w:rsidR="008D1B2C">
      <w:pPr>
        <w:jc w:val="center"/>
      </w:pPr>
      <w:r>
        <w:t>CURTEA CONSTITUITĂ DIN :</w:t>
      </w:r>
    </w:p>
    <w:p w:rsidR="008D1B2C">
      <w:pPr>
        <w:jc w:val="center"/>
      </w:pPr>
      <w:r>
        <w:t xml:space="preserve">PREŞEDINTE : </w:t>
      </w:r>
      <w:r w:rsidR="00E00290">
        <w:t>..................</w:t>
      </w:r>
    </w:p>
    <w:p w:rsidR="008D1B2C">
      <w:pPr>
        <w:jc w:val="center"/>
      </w:pPr>
      <w:r>
        <w:t xml:space="preserve">JUDECĂTOR  : </w:t>
      </w:r>
      <w:r w:rsidR="00E00290">
        <w:t>..................</w:t>
      </w:r>
    </w:p>
    <w:p w:rsidR="008D1B2C">
      <w:pPr>
        <w:jc w:val="center"/>
      </w:pPr>
      <w:r>
        <w:t xml:space="preserve">JUDECĂTOR : </w:t>
      </w:r>
      <w:r w:rsidR="00E00290">
        <w:t>CANDIDAT A0009</w:t>
      </w:r>
    </w:p>
    <w:p w:rsidR="008D1B2C">
      <w:pPr>
        <w:jc w:val="center"/>
      </w:pPr>
      <w:r>
        <w:t xml:space="preserve">GREFIER : </w:t>
      </w:r>
      <w:r w:rsidR="00E00290">
        <w:t>..................</w:t>
      </w:r>
    </w:p>
    <w:p w:rsidR="008D1B2C">
      <w:pPr>
        <w:ind w:right="-1"/>
        <w:jc w:val="both"/>
      </w:pPr>
    </w:p>
    <w:p w:rsidR="008D1B2C">
      <w:pPr>
        <w:tabs>
          <w:tab w:val="left" w:pos="-2520"/>
        </w:tabs>
        <w:ind w:right="24" w:firstLine="720"/>
        <w:jc w:val="both"/>
      </w:pPr>
    </w:p>
    <w:p w:rsidR="008D1B2C">
      <w:pPr>
        <w:tabs>
          <w:tab w:val="left" w:pos="-2520"/>
        </w:tabs>
        <w:ind w:right="24" w:firstLine="720"/>
        <w:jc w:val="both"/>
      </w:pPr>
      <w:r>
        <w:t xml:space="preserve">Pe rolul instanţei se află spre soluţionare cererea de recurs formulată de recurenţii-pârâţi COMUNA </w:t>
      </w:r>
      <w:r w:rsidR="00E00290">
        <w:t>S</w:t>
      </w:r>
      <w:r>
        <w:t xml:space="preserve"> PRIN PRIMAR, CONSILIUL LOCAL </w:t>
      </w:r>
      <w:r w:rsidR="00E00290">
        <w:t>S</w:t>
      </w:r>
      <w:r>
        <w:t xml:space="preserve"> PRIN PRIMAR, împotriva sentinţei civile nr. </w:t>
      </w:r>
      <w:r w:rsidR="00E00290">
        <w:t>............</w:t>
      </w:r>
      <w:r>
        <w:t xml:space="preserve">pronunţate de </w:t>
      </w:r>
      <w:r w:rsidR="00E00290">
        <w:t>Tribunalul ..........</w:t>
      </w:r>
      <w:r>
        <w:t xml:space="preserve">, Secţia Civilă  în dosarul nr. </w:t>
      </w:r>
      <w:r w:rsidR="00E00290">
        <w:t>............</w:t>
      </w:r>
      <w:r>
        <w:t xml:space="preserve">, în contradictoriu cu  intimata-reclamantă SC </w:t>
      </w:r>
      <w:r w:rsidR="009E769C">
        <w:t xml:space="preserve">AB </w:t>
      </w:r>
      <w:r>
        <w:t xml:space="preserve">SRL,având ca obiect </w:t>
      </w:r>
      <w:r>
        <w:rPr>
          <w:rStyle w:val="Fontdeparagrafimplicit"/>
          <w:i/>
        </w:rPr>
        <w:t>pretenţii</w:t>
      </w:r>
      <w:r>
        <w:t>.</w:t>
      </w:r>
    </w:p>
    <w:p w:rsidR="008D1B2C">
      <w:pPr>
        <w:tabs>
          <w:tab w:val="left" w:pos="-2520"/>
        </w:tabs>
        <w:ind w:right="24" w:firstLine="720"/>
        <w:jc w:val="both"/>
      </w:pPr>
      <w:r>
        <w:t xml:space="preserve">Dezbaterile şi susţinerile orale ale părţilor au avut loc la data de </w:t>
      </w:r>
      <w:r w:rsidR="009E769C">
        <w:t>..........</w:t>
      </w:r>
      <w:r>
        <w:t xml:space="preserve">, fiind consemnate în încheierea de şedinţă de la acea dată, ce face parte integrantă din prezenta sentinţă, când instanţa, având nevoie de timp pentru a delibera, a amânat pronunţarea pentru data de </w:t>
      </w:r>
      <w:r w:rsidR="00E00290">
        <w:t xml:space="preserve"> ..........</w:t>
      </w:r>
    </w:p>
    <w:p w:rsidR="008D1B2C"/>
    <w:p w:rsidR="008D1B2C">
      <w:pPr>
        <w:jc w:val="center"/>
        <w:rPr>
          <w:rStyle w:val="Fontdeparagrafimplicit"/>
          <w:b/>
        </w:rPr>
      </w:pPr>
      <w:r>
        <w:rPr>
          <w:rStyle w:val="Fontdeparagrafimplicit"/>
          <w:b/>
        </w:rPr>
        <w:t>C U R T E A,</w:t>
      </w:r>
    </w:p>
    <w:p w:rsidR="008D1B2C">
      <w:pPr>
        <w:rPr>
          <w:rStyle w:val="Fontdeparagrafimplicit"/>
        </w:rPr>
      </w:pPr>
    </w:p>
    <w:p w:rsidR="008D1B2C">
      <w:pPr>
        <w:ind w:right="-286" w:firstLine="720"/>
        <w:jc w:val="both"/>
        <w:rPr>
          <w:rStyle w:val="Fontdeparagrafimplicit"/>
          <w:b/>
        </w:rPr>
      </w:pPr>
      <w:r>
        <w:rPr>
          <w:rStyle w:val="Fontdeparagrafimplicit"/>
          <w:b/>
        </w:rPr>
        <w:t>Deliberând asupra prezentului recurs, constată următoarele:</w:t>
      </w:r>
    </w:p>
    <w:p w:rsidR="008D1B2C">
      <w:pPr>
        <w:tabs>
          <w:tab w:val="left" w:pos="720"/>
        </w:tabs>
        <w:ind w:right="-286"/>
        <w:jc w:val="both"/>
      </w:pPr>
      <w:r>
        <w:tab/>
      </w:r>
    </w:p>
    <w:p w:rsidR="008D1B2C">
      <w:pPr>
        <w:tabs>
          <w:tab w:val="left" w:pos="720"/>
        </w:tabs>
        <w:ind w:right="-286"/>
        <w:jc w:val="both"/>
      </w:pPr>
      <w:r>
        <w:tab/>
        <w:t xml:space="preserve">Prin </w:t>
      </w:r>
      <w:r>
        <w:rPr>
          <w:rStyle w:val="Fontdeparagrafimplicit"/>
          <w:b/>
        </w:rPr>
        <w:t xml:space="preserve">sentinţa nr. </w:t>
      </w:r>
      <w:r w:rsidR="00E00290">
        <w:rPr>
          <w:rStyle w:val="Fontdeparagrafimplicit"/>
          <w:b/>
        </w:rPr>
        <w:t xml:space="preserve"> ..........</w:t>
      </w:r>
      <w:r>
        <w:t xml:space="preserve">pronunţată de către </w:t>
      </w:r>
      <w:r w:rsidR="00E00290">
        <w:t>Tribunalul ...........</w:t>
      </w:r>
      <w:r>
        <w:t xml:space="preserve">în dosarul nr. </w:t>
      </w:r>
      <w:r w:rsidR="009E769C">
        <w:t>..........</w:t>
      </w:r>
      <w:r>
        <w:t xml:space="preserve">, a fost admisă acţiunea formulată de către reclamanta </w:t>
      </w:r>
      <w:r>
        <w:rPr>
          <w:rStyle w:val="Fontdeparagrafimplicit"/>
          <w:b/>
        </w:rPr>
        <w:t xml:space="preserve">S.C. </w:t>
      </w:r>
      <w:r w:rsidR="009E769C">
        <w:rPr>
          <w:rStyle w:val="Fontdeparagrafimplicit"/>
          <w:b/>
        </w:rPr>
        <w:t xml:space="preserve">AB </w:t>
      </w:r>
      <w:r>
        <w:rPr>
          <w:rStyle w:val="Fontdeparagrafimplicit"/>
          <w:b/>
        </w:rPr>
        <w:t>S.R.L.</w:t>
      </w:r>
      <w:r>
        <w:t xml:space="preserve"> în contradictoriu cu pârâții Comuna </w:t>
      </w:r>
      <w:r w:rsidR="009E769C">
        <w:t>S</w:t>
      </w:r>
      <w:r>
        <w:t xml:space="preserve"> prin Primar și Consiliul Local </w:t>
      </w:r>
      <w:r w:rsidR="009E769C">
        <w:t>S</w:t>
      </w:r>
      <w:r>
        <w:t xml:space="preserve"> prin Primar, constatându-se, în baza art. 10 lit. d.1, din convenția părților, încetarea de drept a contractului de concesiune nr. </w:t>
      </w:r>
      <w:r w:rsidR="009E769C">
        <w:t>.........</w:t>
      </w:r>
      <w:r>
        <w:t xml:space="preserve">/18.07.2007 încheiat de Consiliul Local </w:t>
      </w:r>
      <w:r w:rsidR="009E769C">
        <w:t>S</w:t>
      </w:r>
      <w:r>
        <w:t xml:space="preserve">, în calitate de concedent, și S.C. </w:t>
      </w:r>
      <w:r w:rsidR="009E769C">
        <w:t xml:space="preserve">AB </w:t>
      </w:r>
      <w:r>
        <w:t>S.R.L., în calitate de concesionar, cu consecința obligării pârâtei la plata sumei de 29.600 euro fără T.V.A. cu titlul de despăgubiri.</w:t>
      </w:r>
    </w:p>
    <w:p w:rsidR="008D1B2C">
      <w:pPr>
        <w:tabs>
          <w:tab w:val="left" w:pos="720"/>
        </w:tabs>
        <w:ind w:right="-286"/>
        <w:jc w:val="both"/>
      </w:pPr>
      <w:r>
        <w:tab/>
        <w:t xml:space="preserve">Împotriva acestei sentinţe, la data de 29.03.2019, au formulat </w:t>
      </w:r>
      <w:r>
        <w:rPr>
          <w:rStyle w:val="Fontdeparagrafimplicit"/>
          <w:b/>
        </w:rPr>
        <w:t>recurs</w:t>
      </w:r>
      <w:r>
        <w:t xml:space="preserve"> Comuna </w:t>
      </w:r>
      <w:r w:rsidR="009E769C">
        <w:t>S</w:t>
      </w:r>
      <w:r>
        <w:t xml:space="preserve"> prin Primar și Consiliul Local </w:t>
      </w:r>
      <w:r w:rsidR="009E769C">
        <w:t>S</w:t>
      </w:r>
      <w:r>
        <w:t xml:space="preserve"> prin Primar, prin care au solicitat admiterea recursului, casarea sentinţei recurate şi, rejudecând, respingerea în parte a cererii de chemare în judecată ca neîntemeiată.</w:t>
      </w:r>
    </w:p>
    <w:p w:rsidR="008D1B2C">
      <w:pPr>
        <w:ind w:right="-286" w:firstLine="720"/>
        <w:jc w:val="both"/>
      </w:pPr>
      <w:r>
        <w:t>În motivare, recurenții-pârâți au susţinut, în esenţă, că sentinţa recurată este nelegală, întrucât, pe de – o parte,  prima instanță a făcut o greșită aplicare a dispozițiilor Legii nr. 50/1991, iar pe de altă parte, în mod greșit a soluționat capătul de cerere accesoriu având ca obiect obligarea la plata cheltuielilor de judecată.</w:t>
      </w:r>
    </w:p>
    <w:p w:rsidR="008D1B2C">
      <w:pPr>
        <w:ind w:right="-286" w:firstLine="720"/>
        <w:jc w:val="both"/>
      </w:pPr>
      <w:r>
        <w:t>În drept, recurenta a invocat art. 488 alin. 1 pct. 6 și pct. 8 din Codul de procedură civilă.</w:t>
      </w:r>
    </w:p>
    <w:p w:rsidR="008D1B2C">
      <w:pPr>
        <w:ind w:right="-286" w:firstLine="720"/>
        <w:jc w:val="both"/>
      </w:pPr>
      <w:r>
        <w:t>Cererea de recurs este scutită de plata taxei judiciare de timbru.</w:t>
      </w:r>
    </w:p>
    <w:p w:rsidR="008D1B2C">
      <w:pPr>
        <w:ind w:right="-286" w:firstLine="720"/>
        <w:jc w:val="both"/>
      </w:pPr>
    </w:p>
    <w:p w:rsidR="008D1B2C">
      <w:pPr>
        <w:ind w:right="-286" w:firstLine="720"/>
        <w:jc w:val="both"/>
      </w:pPr>
      <w:r>
        <w:t xml:space="preserve">Prin </w:t>
      </w:r>
      <w:r>
        <w:rPr>
          <w:rStyle w:val="Fontdeparagrafimplicit"/>
          <w:b/>
        </w:rPr>
        <w:t xml:space="preserve">întâmpinarea </w:t>
      </w:r>
      <w:r>
        <w:t xml:space="preserve">depusă la dosar în data de 13.05.2016, intimata-reclamantă S.C. </w:t>
      </w:r>
      <w:r w:rsidR="009E769C">
        <w:t xml:space="preserve">AB </w:t>
      </w:r>
      <w:r>
        <w:t xml:space="preserve">S.R.L. a solicitat respingerea recursului ca nefondat, susţinând că sentinţa pronunţată de către instanţa de fond este legală sub toate aspectele care au fost analizate. </w:t>
      </w:r>
    </w:p>
    <w:p w:rsidR="008D1B2C">
      <w:pPr>
        <w:ind w:right="-286" w:firstLine="720"/>
        <w:jc w:val="both"/>
      </w:pPr>
      <w:r>
        <w:t>În drept, intimata a invocat art. 205 din Codul de procedură civilă.</w:t>
      </w:r>
    </w:p>
    <w:p w:rsidR="008D1B2C">
      <w:pPr>
        <w:ind w:right="-286" w:firstLine="720"/>
        <w:jc w:val="both"/>
      </w:pPr>
    </w:p>
    <w:p w:rsidR="008D1B2C">
      <w:pPr>
        <w:ind w:right="-286" w:firstLine="720"/>
        <w:jc w:val="both"/>
      </w:pPr>
      <w:r>
        <w:t xml:space="preserve">Prin </w:t>
      </w:r>
      <w:r>
        <w:rPr>
          <w:rStyle w:val="Fontdeparagrafimplicit"/>
          <w:b/>
        </w:rPr>
        <w:t>răspunsul la întâmpinare</w:t>
      </w:r>
      <w:r>
        <w:t xml:space="preserve"> depus la dosar în data de 27.05.2015, recurenții-pârâți au reiterat argumentele invocate prin cererea de recurs.</w:t>
      </w:r>
    </w:p>
    <w:p w:rsidR="008D1B2C">
      <w:pPr>
        <w:ind w:right="-286" w:firstLine="720"/>
        <w:jc w:val="both"/>
      </w:pPr>
      <w:r>
        <w:t>În drept, recurenta a invocat art. 488 alin. 1 pct. 6 și pct. 8 din Codul de procedură civilă, dispozițiile Legii nr. 50/1991, precum și prevederile contractului de concesiune.</w:t>
      </w:r>
    </w:p>
    <w:p w:rsidR="008D1B2C">
      <w:pPr>
        <w:ind w:right="-286" w:firstLine="720"/>
        <w:jc w:val="both"/>
        <w:rPr>
          <w:rStyle w:val="Fontdeparagrafimplicit"/>
          <w:b/>
        </w:rPr>
      </w:pPr>
    </w:p>
    <w:p w:rsidR="008D1B2C">
      <w:pPr>
        <w:ind w:right="-286" w:firstLine="720"/>
        <w:jc w:val="both"/>
        <w:rPr>
          <w:rStyle w:val="Fontdeparagrafimplicit"/>
        </w:rPr>
      </w:pPr>
      <w:r>
        <w:rPr>
          <w:rStyle w:val="Fontdeparagrafimplicit"/>
          <w:b/>
        </w:rPr>
        <w:t>Examinând recursul, prin prisma motivelor de casare ce au fost invocate în cauză, Curtea constată că acestea este nefondat, pentru următoarele considerente de drept:</w:t>
      </w:r>
    </w:p>
    <w:p w:rsidR="008D1B2C">
      <w:pPr>
        <w:ind w:right="-286" w:firstLine="720"/>
        <w:jc w:val="both"/>
      </w:pPr>
      <w:r>
        <w:t xml:space="preserve">Nu poate fi primit </w:t>
      </w:r>
      <w:r>
        <w:rPr>
          <w:rStyle w:val="Fontdeparagrafimplicit"/>
          <w:i/>
        </w:rPr>
        <w:t>motivul de casare prevăzut de art. 488 alin. 1 pct. 6</w:t>
      </w:r>
      <w:r>
        <w:t xml:space="preserve"> din Codul de procedură civilă, întrucât din lecturarea sentinţei recurate rezultă cu evidenţă că aceasta respectă exigenţele impuse prin art. 425 alin. 1 lit. b) din Codul de procedură civilă, instanţa de fond prezentând în mod corespunzător motivele de fapt şi de drept ce au condus la pronunţarea soluţiei recurate.</w:t>
      </w:r>
    </w:p>
    <w:p w:rsidR="008D1B2C">
      <w:pPr>
        <w:ind w:right="-286" w:firstLine="720"/>
        <w:jc w:val="both"/>
      </w:pPr>
      <w:r>
        <w:t xml:space="preserve">Nici </w:t>
      </w:r>
      <w:r>
        <w:rPr>
          <w:rStyle w:val="Fontdeparagrafimplicit"/>
          <w:i/>
        </w:rPr>
        <w:t>motivul de casare prevăzut de art. 488 alin. 1 pct. 8</w:t>
      </w:r>
      <w:r>
        <w:t xml:space="preserve"> din Codul de procedură civilă nu este întemeiat, Curtea constatând că instanţa de fond a aplicat în mod corect dispoziţiile de drept material.</w:t>
      </w:r>
    </w:p>
    <w:p w:rsidR="008D1B2C">
      <w:pPr>
        <w:ind w:right="-286" w:firstLine="720"/>
        <w:jc w:val="both"/>
      </w:pPr>
      <w:r>
        <w:t>Cu titlu prealabil, Curtea reține că recurentele invocă cu precădere nesocotirea de către intimata – reclamantă a normelor cuprinse în Legea nr. 50/1991.</w:t>
      </w:r>
    </w:p>
    <w:p w:rsidR="008D1B2C">
      <w:pPr>
        <w:ind w:right="-286" w:firstLine="720"/>
        <w:jc w:val="both"/>
      </w:pPr>
      <w:r>
        <w:t>Întrucât în prezenta speță raporturile dintre părți sunt guvernate de regulile răspunderii contractuale, respectarea sau  nu a dispozițiilor Legii nr. 50/1991 va fi analizată de Curte prin prisma raportului juridic în care se află părțile litigante, respectiv prin raportare la drepturile și obligațiile pe care cele două părți și le-au asumat prin semnarea contractului de concesiune.</w:t>
      </w:r>
    </w:p>
    <w:p w:rsidR="008D1B2C">
      <w:pPr>
        <w:ind w:right="-286" w:firstLine="720"/>
        <w:jc w:val="both"/>
      </w:pPr>
      <w:r>
        <w:t xml:space="preserve">Concret, recurenții – pârâți susțin că, potrivit dispozițiilor art. 14.2 din Contractul de concesiune nr. </w:t>
      </w:r>
      <w:r w:rsidR="009E769C">
        <w:t>.........</w:t>
      </w:r>
      <w:r>
        <w:t>/18.07.2007, concesionarul avea obligația de a realiza lucrările doar în baza autorizației de construire, demers pe care intimata nu l-a iniția decât în anul 2013, deși contractul a fost încheiat în anul 2007.</w:t>
      </w:r>
    </w:p>
    <w:p w:rsidR="008D1B2C">
      <w:pPr>
        <w:ind w:right="-286" w:firstLine="720"/>
        <w:jc w:val="both"/>
      </w:pPr>
      <w:r>
        <w:t>Relativ la acest aspect, Curtea, în acord cu prima instanță, constată că de la semnarea contractului si până în prezent concedentul nu si-a respectat obligațiile impuse de art.2 din capitolul II al contractului, în sensul că, deși a pus la dispoziția reclamantei clădirea nu s-a întocmit Procesul-verbal de predare a obiectivului, act fără de care, în opinia Curții, nu se putea obține autorizația de construire.</w:t>
      </w:r>
    </w:p>
    <w:p w:rsidR="008D1B2C">
      <w:pPr>
        <w:ind w:right="-286" w:firstLine="720"/>
        <w:jc w:val="both"/>
      </w:pPr>
      <w:r>
        <w:t>Așadar, deși sunt întemeiate susținerile recurenților în sensul că lucrările de consolidare a construcției s-au realizat fără autorizație de construire, nu mai puțin adevărat este faptul că această neexecutare a obligațiilor asumate de către concesionar este precedată de o neexecutare de către concedent a propriilor obligații.</w:t>
      </w:r>
    </w:p>
    <w:p w:rsidR="008D1B2C">
      <w:pPr>
        <w:ind w:right="-286" w:firstLine="720"/>
        <w:jc w:val="both"/>
      </w:pPr>
      <w:r>
        <w:t>În plus, din materialul probator administrat în cauză rezultă că, deși prin clauzele contractuale agreate (art. 13.1 - f. 25 dosar fond) concedentul și-a asumat obligația de a-i acorda sprijin concesionarului în scopul obținerii avizelor și acordurilor legale pentru realizarea investiției,  recurenții – pârâți nu au avut o conduita în sensul celor stipulate în contract, aspect care rezultă din corespondența purtată de părți în scopul obținerii autorizației de construire (f. 67- 88).</w:t>
      </w:r>
    </w:p>
    <w:p w:rsidR="008D1B2C">
      <w:pPr>
        <w:ind w:right="-286" w:firstLine="720"/>
        <w:jc w:val="both"/>
      </w:pPr>
      <w:r>
        <w:t>De altfel, Curtea apreciază că pe parcursul întregii perioada de derulare a contractului recurenții - pârâții nu numai că au avut o conduită oscilantă, printr-o serie de hotărâri de Consiliu Local fiind de acord cu încetarea contractului și restituirea c-v investiției pentru ca, ulterior, acestea să fie revocate, ci chiar abuzivă de vreme ce au acceptat efectuarea investiției, iar post factum a refuzat plata acesteia.</w:t>
      </w:r>
    </w:p>
    <w:p w:rsidR="008D1B2C">
      <w:pPr>
        <w:ind w:right="-286" w:firstLine="720"/>
        <w:jc w:val="both"/>
      </w:pPr>
      <w:r>
        <w:t>O astfel de concluzie se impune cu atât mai mult cu cât, potrivit dispozițiilor art. 27 alin. 1 din Legea nr. 50/1991, chiar organele care funcționează în cadrul unității administrativ teritoriale  aveau abilitarea legală să urmărească respectarea disciplinei în domeniul autorizării executării lucrărilor în construcții.</w:t>
      </w:r>
    </w:p>
    <w:p w:rsidR="008D1B2C">
      <w:pPr>
        <w:ind w:right="-286" w:firstLine="720"/>
        <w:jc w:val="both"/>
      </w:pPr>
      <w:r>
        <w:t>Nu pot fi reținute nici argumentele referitoare a imposibilitatea preluării investiției determinată de inexistența unor acte care să ateste că intimata – reclamantă are calitatea de proprietar al investiției, o astfel de dovadă neputând exista întrucât calitatea de proprietar o are tocmai unitatea administrativ – teritorială, concesionarul nefiind de cât un detentor precar.</w:t>
      </w:r>
    </w:p>
    <w:p w:rsidR="008D1B2C">
      <w:pPr>
        <w:ind w:right="-286" w:firstLine="720"/>
        <w:jc w:val="both"/>
      </w:pPr>
      <w:r>
        <w:t>În ceea ce privește capătul de cerere având ca obiect obligarea la plata despăgubirilor reprezentate de c/v investiției, Curtea, în acord cu prima instanță, apreciază că suma datorată  este de 29.600 Euro fără TVA.</w:t>
      </w:r>
    </w:p>
    <w:p w:rsidR="008D1B2C">
      <w:pPr>
        <w:ind w:right="-286" w:firstLine="720"/>
        <w:jc w:val="both"/>
      </w:pPr>
      <w:r>
        <w:t xml:space="preserve">Executarea lucrărilor de consolidare este probată în cauză, pe de-o parte, prin recunoașterea din partea recurenților – pârâți cuprinsă într-o serie de acte existenta la dosarul cauzei ( adresa nr. </w:t>
      </w:r>
      <w:r w:rsidR="009E769C">
        <w:t>.........</w:t>
      </w:r>
      <w:r>
        <w:t xml:space="preserve">/03.07.2015 – f. 9 dosar fond, Hotărârea Consiliului Local al comunei </w:t>
      </w:r>
      <w:r w:rsidR="009E769C">
        <w:t>S nr.........</w:t>
      </w:r>
      <w:r>
        <w:t>/23.04.20115– f. 16 dosar fond, etc.), iar, pe de altă parte din planșele foto aflate de filele 176-192 – dosar fond.</w:t>
      </w:r>
    </w:p>
    <w:p w:rsidR="008D1B2C">
      <w:pPr>
        <w:ind w:right="-286" w:firstLine="720"/>
        <w:jc w:val="both"/>
      </w:pPr>
      <w:r>
        <w:t>În acest context, Curtea reține că printr-o serie de adrese recurenții pârâți i-au comunicat intimatei – reclamante că este de acord cu încetarea contractului  de concesiune cu pata unei despăgubiri corespunzătoare (f. 43, 48, 54 și 55).</w:t>
      </w:r>
    </w:p>
    <w:p w:rsidR="008D1B2C">
      <w:pPr>
        <w:ind w:right="-286" w:firstLine="720"/>
        <w:jc w:val="both"/>
      </w:pPr>
      <w:r>
        <w:t>Totodată, Curtea reține că și suma de bani datorată a fost stabilită pe baza unei expertize întocmită în data de 17.11.2014 (f. 98-195), expertiză în cuprinsul căreia s-a menționat că lucrările au fost declanșate în anul 2008 (f. 102 ).</w:t>
      </w:r>
    </w:p>
    <w:p w:rsidR="008D1B2C">
      <w:pPr>
        <w:ind w:right="-286" w:firstLine="720"/>
        <w:jc w:val="both"/>
      </w:pPr>
      <w:r>
        <w:t>Relativ la contravaloarea investiției, Curtea apreciază, că nu este lipsit</w:t>
      </w:r>
      <w:r w:rsidR="009E769C">
        <w:t>ă de relevanță hotărârea nr. ........</w:t>
      </w:r>
      <w:r>
        <w:t xml:space="preserve">/08.09.2014 adoptată de Consiliul Local </w:t>
      </w:r>
      <w:r w:rsidR="009E769C">
        <w:t>S</w:t>
      </w:r>
      <w:r>
        <w:t>, prin care s-a stabilit o valoare a despăgubirii mai mare decât cea solicitată de reclamantă, respectiv 250.</w:t>
      </w:r>
      <w:r w:rsidR="009E769C">
        <w:t>000 lei, și nici hotărârea nr.........</w:t>
      </w:r>
      <w:r>
        <w:t>/23.04.2015 a aceleiași autorități deliberative, prin care a fost agreată chiar suma solicitată în cuprinsul cererii de chemare în judecată.</w:t>
      </w:r>
    </w:p>
    <w:p w:rsidR="008D1B2C">
      <w:pPr>
        <w:ind w:right="-286" w:firstLine="720"/>
        <w:jc w:val="both"/>
      </w:pPr>
      <w:r>
        <w:t>Împrejurarea că, ulterior, aceste hotărâri au fost revocate, nu vine decât să confirme concluzia la care a ajuns Curtea cu privire la lipsa de bună - credință  a concedentului care abuzează de poziția sa privilegiată determinată de faptul că autoritățile executive ale unității administrativ teritoriale sunt cele care aprobă sau nu documentația necesară emiterii autorizației de construire, precum și de posibilitatea pe care acesta o are de a-și revoca hotărârile adoptate.</w:t>
      </w:r>
    </w:p>
    <w:p w:rsidR="008D1B2C">
      <w:pPr>
        <w:ind w:right="-286" w:firstLine="720"/>
        <w:jc w:val="both"/>
      </w:pPr>
      <w:r>
        <w:t>În sfârșit, nici apărările privind imposibilitatea preluării investiției fără întocmirea unui raport de expertiză tehnică de specialitate nu pot fi reținute, din documentați depusă la dosarul cauzei nerezultând că s-au efectuat lucrări de natură să afecteze structura de rezistență a construcției, astfel încât aceasta să prezinte pericol public.</w:t>
      </w:r>
    </w:p>
    <w:p w:rsidR="008D1B2C">
      <w:pPr>
        <w:ind w:right="-286" w:firstLine="720"/>
        <w:jc w:val="both"/>
      </w:pPr>
      <w:r>
        <w:t xml:space="preserve">Pentru considerentele expuse, Curtea, în baza art. 496  alin. 1 C.p.civ., va respinge recursul formulat de recurenții – pârâți  Comuna </w:t>
      </w:r>
      <w:r w:rsidR="009E769C">
        <w:t>S</w:t>
      </w:r>
      <w:r>
        <w:t xml:space="preserve"> prin Primar și Consiliul Local </w:t>
      </w:r>
      <w:r w:rsidR="009E769C">
        <w:t>S</w:t>
      </w:r>
      <w:r>
        <w:t xml:space="preserve"> prin Primar, ca nefondat.</w:t>
      </w:r>
    </w:p>
    <w:p w:rsidR="008D1B2C">
      <w:pPr>
        <w:ind w:right="-286" w:firstLine="720"/>
        <w:jc w:val="both"/>
      </w:pPr>
      <w:r>
        <w:t>Reținând culpa procesuală a recurenților în promovarea căii de atac, în baza art. 453 C.p.civ., va dispune obligarea acestora la plata către intimata – reclamantă a cheltuielilor de judecată reprezentate de onorariul de avocat în cuantumul de 4.000 lei.</w:t>
      </w:r>
    </w:p>
    <w:p w:rsidR="008D1B2C">
      <w:pPr>
        <w:rPr>
          <w:rStyle w:val="Fontdeparagrafimplicit"/>
          <w:b/>
        </w:rPr>
      </w:pPr>
    </w:p>
    <w:p w:rsidR="008D1B2C">
      <w:pPr>
        <w:jc w:val="center"/>
        <w:rPr>
          <w:rStyle w:val="Fontdeparagrafimplicit"/>
          <w:b/>
        </w:rPr>
      </w:pPr>
      <w:r>
        <w:rPr>
          <w:rStyle w:val="Fontdeparagrafimplicit"/>
          <w:b/>
        </w:rPr>
        <w:t>PENTRU ACESTE MOTIVE</w:t>
      </w:r>
    </w:p>
    <w:p w:rsidR="008D1B2C">
      <w:pPr>
        <w:jc w:val="center"/>
        <w:rPr>
          <w:rStyle w:val="Fontdeparagrafimplicit"/>
          <w:b/>
        </w:rPr>
      </w:pPr>
      <w:r>
        <w:rPr>
          <w:rStyle w:val="Fontdeparagrafimplicit"/>
          <w:b/>
        </w:rPr>
        <w:t>ÎN NUMELE LEGII</w:t>
      </w:r>
    </w:p>
    <w:p w:rsidR="008D1B2C">
      <w:pPr>
        <w:jc w:val="center"/>
        <w:rPr>
          <w:rStyle w:val="Fontdeparagrafimplicit"/>
          <w:b/>
        </w:rPr>
      </w:pPr>
      <w:r>
        <w:rPr>
          <w:rStyle w:val="Fontdeparagrafimplicit"/>
          <w:b/>
        </w:rPr>
        <w:t>DECIDE:</w:t>
      </w:r>
    </w:p>
    <w:p w:rsidR="008D1B2C">
      <w:pPr>
        <w:rPr>
          <w:rStyle w:val="Fontdeparagrafimplicit"/>
          <w:b/>
        </w:rPr>
      </w:pPr>
    </w:p>
    <w:p w:rsidR="008D1B2C">
      <w:pPr>
        <w:ind w:firstLine="708"/>
        <w:jc w:val="both"/>
      </w:pPr>
      <w:r>
        <w:t xml:space="preserve">Respinge recursul formulat de recurenţii-pârâţi COMUNA </w:t>
      </w:r>
      <w:r w:rsidR="00E00290">
        <w:t>S</w:t>
      </w:r>
      <w:r>
        <w:t xml:space="preserve"> PRIN PRIMAR cu sediul în </w:t>
      </w:r>
      <w:r w:rsidR="009E769C">
        <w:t>..........</w:t>
      </w:r>
      <w:r>
        <w:t xml:space="preserve">, str. </w:t>
      </w:r>
      <w:r w:rsidR="009E769C">
        <w:t>......., nr........, jud.........</w:t>
      </w:r>
      <w:r>
        <w:t xml:space="preserve">, CONSILIUL LOCAL </w:t>
      </w:r>
      <w:r w:rsidR="00E00290">
        <w:t>S</w:t>
      </w:r>
      <w:r>
        <w:t xml:space="preserve"> PRIN PRIMAR cu sediul în </w:t>
      </w:r>
      <w:r w:rsidR="009E769C">
        <w:t>............</w:t>
      </w:r>
      <w:r>
        <w:t xml:space="preserve">, str. </w:t>
      </w:r>
      <w:r w:rsidR="009E769C">
        <w:t>......., nr........, jud.........</w:t>
      </w:r>
      <w:r>
        <w:t xml:space="preserve">, împotriva sentinţei civile nr. </w:t>
      </w:r>
      <w:r w:rsidR="00E00290">
        <w:t>............</w:t>
      </w:r>
      <w:r>
        <w:t xml:space="preserve">pronunţate de </w:t>
      </w:r>
      <w:r w:rsidR="00E00290">
        <w:t>Tribunalul ..........</w:t>
      </w:r>
      <w:r>
        <w:t xml:space="preserve">, Secţia Civilă  în dosarul nr. </w:t>
      </w:r>
      <w:r w:rsidR="00E00290">
        <w:t>............</w:t>
      </w:r>
      <w:r>
        <w:t xml:space="preserve">, în contradictoriu cu  intimata-reclamantă SC </w:t>
      </w:r>
      <w:r w:rsidR="009E769C">
        <w:t xml:space="preserve">AB </w:t>
      </w:r>
      <w:r>
        <w:t>SRL cu sediul procesual ales în</w:t>
      </w:r>
      <w:r w:rsidR="009E769C">
        <w:t>..........</w:t>
      </w:r>
      <w:r>
        <w:t>, str.</w:t>
      </w:r>
      <w:r w:rsidR="009E769C">
        <w:t>......., nr........, bl........, sc......., et. ........, ap...........</w:t>
      </w:r>
      <w:r>
        <w:t xml:space="preserve"> ca nefondat.</w:t>
      </w:r>
    </w:p>
    <w:p w:rsidR="008D1B2C">
      <w:pPr>
        <w:ind w:firstLine="708"/>
        <w:jc w:val="both"/>
      </w:pPr>
      <w:r>
        <w:t>Obligă recurenta la plata cheltuielilor de judecată în cuantum de 4 000 lei, reprezentând onorariu avocat.</w:t>
      </w:r>
    </w:p>
    <w:p w:rsidR="008D1B2C">
      <w:pPr>
        <w:ind w:firstLine="708"/>
        <w:jc w:val="both"/>
      </w:pPr>
      <w:r>
        <w:t>Definitivă.</w:t>
      </w:r>
    </w:p>
    <w:p w:rsidR="008D1B2C">
      <w:pPr>
        <w:ind w:firstLine="708"/>
        <w:jc w:val="both"/>
      </w:pPr>
      <w:r>
        <w:t xml:space="preserve">Pronunţată în şedinţă publică azi, </w:t>
      </w:r>
      <w:r w:rsidR="00E00290">
        <w:t xml:space="preserve"> ..........</w:t>
      </w:r>
      <w:r>
        <w:t>.</w:t>
      </w:r>
    </w:p>
    <w:p w:rsidR="008D1B2C"/>
    <w:p w:rsidR="008D1B2C">
      <w:r>
        <w:t xml:space="preserve">      PREŞEDINTE                  JUDECĂTOR             JUDECĂTOR               GREFIER</w:t>
      </w:r>
    </w:p>
    <w:p w:rsidR="008D1B2C">
      <w:r>
        <w:t xml:space="preserve">        </w:t>
      </w:r>
      <w:r w:rsidR="00E00290">
        <w:t>..................</w:t>
      </w:r>
      <w:r w:rsidR="00F11144">
        <w:t xml:space="preserve">         </w:t>
      </w:r>
      <w:r>
        <w:t xml:space="preserve">              </w:t>
      </w:r>
      <w:r w:rsidR="00E00290">
        <w:t>..................</w:t>
      </w:r>
      <w:r>
        <w:t xml:space="preserve">....          </w:t>
      </w:r>
      <w:r w:rsidR="00E00290">
        <w:t>CANDIDAT A0009</w:t>
      </w:r>
      <w:r w:rsidR="00F11144">
        <w:t xml:space="preserve">       </w:t>
      </w:r>
      <w:r>
        <w:t xml:space="preserve"> ....................</w:t>
      </w:r>
    </w:p>
    <w:p w:rsidR="008D1B2C">
      <w:pPr>
        <w:rPr>
          <w:rStyle w:val="Fontdeparagrafimplicit"/>
          <w:rFonts w:ascii="Garamond" w:hAnsi="Garamond"/>
          <w:sz w:val="16"/>
        </w:rPr>
      </w:pPr>
    </w:p>
    <w:sectPr w:rsidSect="008D1B2C">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hyphenationZone w:val="425"/>
  <w:characterSpacingControl w:val="doNotCompress"/>
  <w:compat/>
  <w:rsids>
    <w:rsidRoot w:val="008D1B2C"/>
    <w:rsid w:val="00321F4D"/>
    <w:rsid w:val="008D1B2C"/>
    <w:rsid w:val="009E769C"/>
    <w:rsid w:val="00E00290"/>
    <w:rsid w:val="00F11144"/>
  </w:rsids>
  <w:docVars>
    <w:docVar w:name="url" w:val="http://10.1.48.53:80/ecris_cdms/document_upload.aspx?id_document=200000002416007&amp;id_departament=5&amp;id_sesiune=2130088&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B2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8D1B2C"/>
    <w:pPr>
      <w:keepNext/>
      <w:jc w:val="center"/>
      <w:outlineLvl w:val="0"/>
    </w:pPr>
    <w:rPr>
      <w:b/>
      <w:sz w:val="28"/>
      <w:lang w:val="en-US"/>
    </w:rPr>
  </w:style>
  <w:style w:type="paragraph" w:styleId="NormalWeb">
    <w:name w:val="Normal (Web)"/>
    <w:basedOn w:val="Normal"/>
    <w:rsid w:val="008D1B2C"/>
    <w:pPr>
      <w:spacing w:before="100" w:beforeAutospacing="1" w:after="100" w:afterAutospacing="1"/>
    </w:pPr>
  </w:style>
  <w:style w:type="character" w:styleId="LineNumber">
    <w:name w:val="line number"/>
    <w:basedOn w:val="DefaultParagraphFont"/>
    <w:semiHidden/>
    <w:rsid w:val="008D1B2C"/>
  </w:style>
  <w:style w:type="character" w:styleId="Hyperlink">
    <w:name w:val="Hyperlink"/>
    <w:rsid w:val="008D1B2C"/>
    <w:rPr>
      <w:color w:val="0000FF"/>
      <w:u w:val="single"/>
    </w:rPr>
  </w:style>
  <w:style w:type="character" w:customStyle="1" w:styleId="Fontdeparagrafimplicit">
    <w:name w:val="Font de paragraf implicit"/>
    <w:rsid w:val="008D1B2C"/>
  </w:style>
  <w:style w:type="table" w:styleId="TableSimple1">
    <w:name w:val="Table Simple 1"/>
    <w:basedOn w:val="TableNormal"/>
    <w:rsid w:val="008D1B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8D1B2C"/>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Pages>3</ap:Pages>
  <ap:Words>1616</ap:Words>
  <ap:Characters>9378</ap:Characters>
  <ap:Application>Microsoft Office Word</ap:Application>
  <ap:DocSecurity>0</ap:DocSecurity>
  <ap:Lines>78</ap:Lines>
  <ap:Paragraphs>21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10973</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