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4D94" w14:textId="5C4206CC" w:rsidR="00ED03C9" w:rsidRDefault="00B234EC">
      <w:pPr>
        <w:ind w:left="-567" w:firstLine="567"/>
      </w:pPr>
      <w:bookmarkStart w:id="0" w:name="_Hlk188005392"/>
      <w:r>
        <w:t>ECLI:RO:CA</w:t>
      </w:r>
      <w:r w:rsidR="00525589">
        <w:t>....</w:t>
      </w:r>
    </w:p>
    <w:p w14:paraId="071EF54B" w14:textId="3BA5E522" w:rsidR="00ED03C9" w:rsidRDefault="00B234EC">
      <w:pPr>
        <w:ind w:left="-567" w:firstLine="567"/>
        <w:rPr>
          <w:rStyle w:val="Fontdeparagrafimplicit1"/>
        </w:rPr>
      </w:pPr>
      <w:r>
        <w:rPr>
          <w:rStyle w:val="Fontdeparagrafimplicit1"/>
          <w:b/>
        </w:rPr>
        <w:t xml:space="preserve">Dosar nr. </w:t>
      </w:r>
      <w:r w:rsidR="00525589">
        <w:rPr>
          <w:rStyle w:val="Fontdeparagrafimplicit1"/>
          <w:b/>
        </w:rPr>
        <w:t>.....</w:t>
      </w:r>
      <w:r>
        <w:rPr>
          <w:rStyle w:val="Fontdeparagrafimplicit1"/>
          <w:b/>
        </w:rPr>
        <w:t>26</w:t>
      </w:r>
    </w:p>
    <w:p w14:paraId="49B4FF82" w14:textId="77777777" w:rsidR="00ED03C9" w:rsidRDefault="00B234EC">
      <w:pPr>
        <w:ind w:left="-567"/>
        <w:jc w:val="center"/>
        <w:rPr>
          <w:rStyle w:val="Fontdeparagrafimplicit1"/>
          <w:b/>
        </w:rPr>
      </w:pPr>
      <w:r>
        <w:rPr>
          <w:rStyle w:val="Fontdeparagrafimplicit1"/>
          <w:b/>
        </w:rPr>
        <w:t>R O M Â N I A</w:t>
      </w:r>
    </w:p>
    <w:p w14:paraId="3FBB0015" w14:textId="77777777" w:rsidR="00ED03C9" w:rsidRDefault="00ED03C9">
      <w:pPr>
        <w:ind w:left="-567"/>
        <w:jc w:val="center"/>
        <w:rPr>
          <w:rStyle w:val="Fontdeparagrafimplicit1"/>
          <w:b/>
        </w:rPr>
      </w:pPr>
    </w:p>
    <w:p w14:paraId="03FF0804" w14:textId="081F7E55" w:rsidR="00ED03C9" w:rsidRDefault="00B234EC">
      <w:pPr>
        <w:ind w:left="-567"/>
        <w:jc w:val="center"/>
        <w:rPr>
          <w:rStyle w:val="Fontdeparagrafimplicit1"/>
          <w:b/>
        </w:rPr>
      </w:pPr>
      <w:r>
        <w:rPr>
          <w:rStyle w:val="Fontdeparagrafimplicit1"/>
          <w:b/>
        </w:rPr>
        <w:t xml:space="preserve">CURTEA DE APEL </w:t>
      </w:r>
      <w:r w:rsidR="00525589">
        <w:rPr>
          <w:rStyle w:val="Fontdeparagrafimplicit1"/>
          <w:b/>
        </w:rPr>
        <w:t>X</w:t>
      </w:r>
    </w:p>
    <w:p w14:paraId="69E32185" w14:textId="167033FA" w:rsidR="00ED03C9" w:rsidRDefault="00B234EC">
      <w:pPr>
        <w:ind w:left="-567"/>
        <w:jc w:val="center"/>
        <w:rPr>
          <w:rStyle w:val="Fontdeparagrafimplicit1"/>
          <w:b/>
          <w:lang w:val="en-US"/>
        </w:rPr>
      </w:pPr>
      <w:r>
        <w:rPr>
          <w:rStyle w:val="Fontdeparagrafimplicit1"/>
          <w:b/>
        </w:rPr>
        <w:t xml:space="preserve">SECŢIA </w:t>
      </w:r>
      <w:r w:rsidR="00525589">
        <w:rPr>
          <w:rStyle w:val="Fontdeparagrafimplicit1"/>
          <w:b/>
        </w:rPr>
        <w:t>...</w:t>
      </w:r>
      <w:r>
        <w:rPr>
          <w:rStyle w:val="Fontdeparagrafimplicit1"/>
          <w:b/>
        </w:rPr>
        <w:t xml:space="preserve"> CONTENCIOS ADMINISTRATIV ŞI FISCAL</w:t>
      </w:r>
    </w:p>
    <w:p w14:paraId="4989E1A1" w14:textId="77777777" w:rsidR="00ED03C9" w:rsidRDefault="00ED03C9">
      <w:pPr>
        <w:ind w:left="-567"/>
        <w:jc w:val="center"/>
        <w:rPr>
          <w:rStyle w:val="Fontdeparagrafimplicit1"/>
          <w:b/>
        </w:rPr>
      </w:pPr>
    </w:p>
    <w:p w14:paraId="49A1B00F" w14:textId="37AD9A0B" w:rsidR="00ED03C9" w:rsidRDefault="00B234EC">
      <w:pPr>
        <w:ind w:left="-567"/>
        <w:jc w:val="center"/>
        <w:rPr>
          <w:rStyle w:val="Fontdeparagrafimplicit1"/>
          <w:b/>
        </w:rPr>
      </w:pPr>
      <w:r>
        <w:rPr>
          <w:rStyle w:val="Fontdeparagrafimplicit1"/>
          <w:b/>
        </w:rPr>
        <w:t xml:space="preserve">DECIZIA CIVILĂ Nr. </w:t>
      </w:r>
      <w:r w:rsidR="00525589">
        <w:rPr>
          <w:rStyle w:val="Fontdeparagrafimplicit1"/>
          <w:b/>
        </w:rPr>
        <w:t>....</w:t>
      </w:r>
    </w:p>
    <w:p w14:paraId="5AEC0FBB" w14:textId="35856DB4" w:rsidR="00ED03C9" w:rsidRDefault="00B234EC">
      <w:pPr>
        <w:ind w:left="-567"/>
        <w:jc w:val="center"/>
        <w:rPr>
          <w:rStyle w:val="Fontdeparagrafimplicit1"/>
          <w:b/>
        </w:rPr>
      </w:pPr>
      <w:r>
        <w:rPr>
          <w:rStyle w:val="Fontdeparagrafimplicit1"/>
          <w:b/>
        </w:rPr>
        <w:t xml:space="preserve">Şedinţa publică din data de </w:t>
      </w:r>
      <w:r w:rsidR="00525589">
        <w:rPr>
          <w:rStyle w:val="Fontdeparagrafimplicit1"/>
          <w:b/>
        </w:rPr>
        <w:t>...</w:t>
      </w:r>
    </w:p>
    <w:p w14:paraId="2D24626F" w14:textId="77777777" w:rsidR="00ED03C9" w:rsidRDefault="00B234EC">
      <w:pPr>
        <w:ind w:left="-567"/>
        <w:jc w:val="center"/>
        <w:rPr>
          <w:rStyle w:val="Fontdeparagrafimplicit1"/>
          <w:b/>
        </w:rPr>
      </w:pPr>
      <w:r>
        <w:rPr>
          <w:rStyle w:val="Fontdeparagrafimplicit1"/>
          <w:b/>
        </w:rPr>
        <w:t>Completul constituit din:</w:t>
      </w:r>
    </w:p>
    <w:p w14:paraId="67E10C92" w14:textId="2B634694" w:rsidR="00ED03C9" w:rsidRDefault="00B234EC">
      <w:pPr>
        <w:ind w:left="-567"/>
        <w:jc w:val="center"/>
        <w:rPr>
          <w:rStyle w:val="Fontdeparagrafimplicit1"/>
          <w:b/>
        </w:rPr>
      </w:pPr>
      <w:r>
        <w:rPr>
          <w:rStyle w:val="Fontdeparagrafimplicit1"/>
          <w:b/>
        </w:rPr>
        <w:t xml:space="preserve">PREŞEDINTE: </w:t>
      </w:r>
      <w:r w:rsidR="00525589">
        <w:rPr>
          <w:rStyle w:val="Fontdeparagrafimplicit1"/>
          <w:b/>
        </w:rPr>
        <w:t>...</w:t>
      </w:r>
    </w:p>
    <w:p w14:paraId="3FAC2B7C" w14:textId="1408C33E" w:rsidR="00ED03C9" w:rsidRDefault="00B234EC">
      <w:pPr>
        <w:ind w:left="-567"/>
        <w:jc w:val="center"/>
        <w:rPr>
          <w:rStyle w:val="Fontdeparagrafimplicit1"/>
          <w:b/>
        </w:rPr>
      </w:pPr>
      <w:r>
        <w:rPr>
          <w:rStyle w:val="Fontdeparagrafimplicit1"/>
          <w:b/>
        </w:rPr>
        <w:t xml:space="preserve">Judecător: </w:t>
      </w:r>
      <w:r w:rsidR="00525589">
        <w:rPr>
          <w:rStyle w:val="Fontdeparagrafimplicit1"/>
          <w:b/>
        </w:rPr>
        <w:t>A0017</w:t>
      </w:r>
    </w:p>
    <w:p w14:paraId="4B0D03D8" w14:textId="409BF6CD" w:rsidR="00ED03C9" w:rsidRDefault="00B234EC">
      <w:pPr>
        <w:ind w:left="-567"/>
        <w:jc w:val="center"/>
        <w:rPr>
          <w:rStyle w:val="Fontdeparagrafimplicit1"/>
          <w:b/>
        </w:rPr>
      </w:pPr>
      <w:r>
        <w:rPr>
          <w:rStyle w:val="Fontdeparagrafimplicit1"/>
          <w:b/>
        </w:rPr>
        <w:t xml:space="preserve">Judecător: </w:t>
      </w:r>
      <w:r w:rsidR="00525589">
        <w:rPr>
          <w:rStyle w:val="Fontdeparagrafimplicit1"/>
          <w:b/>
        </w:rPr>
        <w:t>....</w:t>
      </w:r>
      <w:r>
        <w:rPr>
          <w:rStyle w:val="Fontdeparagrafimplicit1"/>
          <w:b/>
        </w:rPr>
        <w:t xml:space="preserve"> </w:t>
      </w:r>
    </w:p>
    <w:p w14:paraId="4D596077" w14:textId="078B631D" w:rsidR="00ED03C9" w:rsidRDefault="00B234EC">
      <w:pPr>
        <w:rPr>
          <w:rStyle w:val="Fontdeparagrafimplicit1"/>
          <w:b/>
        </w:rPr>
      </w:pPr>
      <w:r>
        <w:rPr>
          <w:rStyle w:val="Fontdeparagrafimplicit1"/>
          <w:b/>
        </w:rPr>
        <w:t xml:space="preserve">                                       Grefier: </w:t>
      </w:r>
      <w:r w:rsidR="00525589">
        <w:rPr>
          <w:rStyle w:val="Fontdeparagrafimplicit1"/>
          <w:b/>
        </w:rPr>
        <w:t>....</w:t>
      </w:r>
    </w:p>
    <w:p w14:paraId="78D69DC1" w14:textId="77777777" w:rsidR="00ED03C9" w:rsidRDefault="00ED03C9">
      <w:pPr>
        <w:tabs>
          <w:tab w:val="left" w:pos="851"/>
        </w:tabs>
        <w:ind w:firstLine="993"/>
        <w:jc w:val="center"/>
        <w:rPr>
          <w:rStyle w:val="Fontdeparagrafimplicit1"/>
          <w:b/>
        </w:rPr>
      </w:pPr>
    </w:p>
    <w:p w14:paraId="5C6EDDDD" w14:textId="77777777" w:rsidR="00ED03C9" w:rsidRDefault="00ED03C9">
      <w:pPr>
        <w:tabs>
          <w:tab w:val="left" w:pos="851"/>
        </w:tabs>
        <w:ind w:firstLine="993"/>
        <w:jc w:val="center"/>
        <w:rPr>
          <w:rStyle w:val="Fontdeparagrafimplicit1"/>
          <w:b/>
        </w:rPr>
      </w:pPr>
    </w:p>
    <w:p w14:paraId="24423EBA" w14:textId="5620E4CD" w:rsidR="00ED03C9" w:rsidRDefault="00B234EC">
      <w:pPr>
        <w:ind w:left="-567" w:firstLine="567"/>
        <w:jc w:val="both"/>
      </w:pPr>
      <w:r>
        <w:t xml:space="preserve">Pe rol soluţionarea recursului formulat de recurenta – pârâtă </w:t>
      </w:r>
      <w:r>
        <w:rPr>
          <w:rStyle w:val="Fontdeparagrafimplicit1"/>
          <w:b/>
        </w:rPr>
        <w:t>AUTORITATEA NAŢIONALĂ PENTRU CETĂŢENIE</w:t>
      </w:r>
      <w:r>
        <w:t xml:space="preserve">, împotriva sentinţei civile nr. </w:t>
      </w:r>
      <w:r w:rsidR="00525589">
        <w:t>....</w:t>
      </w:r>
      <w:r>
        <w:t xml:space="preserve">.2023 pronunţată de Tribunalul </w:t>
      </w:r>
      <w:r w:rsidR="00525589">
        <w:t>X</w:t>
      </w:r>
      <w:r>
        <w:t xml:space="preserve"> – Secţia </w:t>
      </w:r>
      <w:r w:rsidR="00525589">
        <w:t>....</w:t>
      </w:r>
      <w:r>
        <w:t xml:space="preserve"> Contencios Administrativ şi Fiscal, în dosarul nr. </w:t>
      </w:r>
      <w:r w:rsidR="00525589">
        <w:t>....</w:t>
      </w:r>
      <w:r>
        <w:t xml:space="preserve"> în contradictoriu cu intimata – reclamantă </w:t>
      </w:r>
      <w:r w:rsidR="00525589">
        <w:rPr>
          <w:rStyle w:val="Fontdeparagrafimplicit1"/>
          <w:b/>
        </w:rPr>
        <w:t>MS</w:t>
      </w:r>
      <w:r>
        <w:rPr>
          <w:rStyle w:val="Fontdeparagrafimplicit1"/>
          <w:b/>
        </w:rPr>
        <w:t>,</w:t>
      </w:r>
      <w:r>
        <w:t xml:space="preserve"> având ca obiect anulare act administrativ. </w:t>
      </w:r>
    </w:p>
    <w:p w14:paraId="1C6D3E70" w14:textId="77777777" w:rsidR="00ED03C9" w:rsidRDefault="00B234EC">
      <w:pPr>
        <w:ind w:left="-567" w:firstLine="567"/>
        <w:jc w:val="both"/>
      </w:pPr>
      <w:r>
        <w:t>La apelul nominal făcut în şedința publică au lipsit părţile.</w:t>
      </w:r>
    </w:p>
    <w:p w14:paraId="26011280" w14:textId="77777777" w:rsidR="00ED03C9" w:rsidRDefault="00B234EC">
      <w:pPr>
        <w:ind w:left="-567" w:firstLine="567"/>
        <w:jc w:val="both"/>
      </w:pPr>
      <w:r>
        <w:t>Procedura de citare este legal îndeplinită.</w:t>
      </w:r>
    </w:p>
    <w:p w14:paraId="122F7ABD" w14:textId="77777777" w:rsidR="00ED03C9" w:rsidRDefault="00B234EC">
      <w:pPr>
        <w:ind w:left="-567" w:firstLine="567"/>
        <w:jc w:val="both"/>
      </w:pPr>
      <w:r>
        <w:t>S-a făcut referatul cauzei de către grefierul de şedinţă, după care:</w:t>
      </w:r>
    </w:p>
    <w:p w14:paraId="42846E04" w14:textId="77777777" w:rsidR="00ED03C9" w:rsidRDefault="00B234EC">
      <w:pPr>
        <w:ind w:left="-567" w:firstLine="567"/>
        <w:jc w:val="both"/>
        <w:rPr>
          <w:rStyle w:val="Fontdeparagrafimplicit1"/>
          <w:b/>
          <w:i/>
        </w:rPr>
      </w:pPr>
      <w:r>
        <w:rPr>
          <w:rStyle w:val="Fontdeparagrafimplicit1"/>
          <w:b/>
          <w:i/>
        </w:rPr>
        <w:t>Nemaifiind cereri de formulat, excepţii de invocat, probe de administrat, Curtea reţine cauza în pronunţare.</w:t>
      </w:r>
    </w:p>
    <w:p w14:paraId="6D7D629F" w14:textId="77777777" w:rsidR="00ED03C9" w:rsidRDefault="00ED03C9">
      <w:pPr>
        <w:ind w:left="-567" w:firstLine="567"/>
        <w:jc w:val="both"/>
        <w:rPr>
          <w:rStyle w:val="Fontdeparagrafimplicit1"/>
        </w:rPr>
      </w:pPr>
    </w:p>
    <w:p w14:paraId="7E3D5F6D" w14:textId="77777777" w:rsidR="00ED03C9" w:rsidRDefault="00ED03C9">
      <w:pPr>
        <w:ind w:left="-567" w:firstLine="567"/>
        <w:jc w:val="both"/>
        <w:rPr>
          <w:rStyle w:val="Fontdeparagrafimplicit1"/>
          <w:b/>
          <w:i/>
        </w:rPr>
      </w:pPr>
    </w:p>
    <w:p w14:paraId="1382C792" w14:textId="77777777" w:rsidR="00ED03C9" w:rsidRDefault="00ED03C9">
      <w:pPr>
        <w:ind w:left="-567" w:firstLine="567"/>
        <w:jc w:val="both"/>
        <w:rPr>
          <w:rStyle w:val="Fontdeparagrafimplicit1"/>
          <w:b/>
          <w:i/>
        </w:rPr>
      </w:pPr>
    </w:p>
    <w:p w14:paraId="1B2EDFF8" w14:textId="77777777" w:rsidR="00ED03C9" w:rsidRDefault="00ED03C9">
      <w:pPr>
        <w:ind w:firstLine="708"/>
        <w:jc w:val="both"/>
        <w:rPr>
          <w:rStyle w:val="Fontdeparagrafimplicit1"/>
        </w:rPr>
      </w:pPr>
    </w:p>
    <w:p w14:paraId="7052DBD9" w14:textId="77777777" w:rsidR="00ED03C9" w:rsidRDefault="00B234EC">
      <w:pPr>
        <w:ind w:left="-567"/>
        <w:jc w:val="center"/>
        <w:rPr>
          <w:rStyle w:val="Fontdeparagrafimplicit1"/>
          <w:b/>
        </w:rPr>
      </w:pPr>
      <w:r>
        <w:rPr>
          <w:rStyle w:val="Fontdeparagrafimplicit1"/>
          <w:b/>
        </w:rPr>
        <w:t>CURTEA</w:t>
      </w:r>
    </w:p>
    <w:p w14:paraId="35C8FADC" w14:textId="77777777" w:rsidR="00ED03C9" w:rsidRDefault="00ED03C9">
      <w:pPr>
        <w:ind w:firstLine="567"/>
        <w:jc w:val="center"/>
        <w:rPr>
          <w:rStyle w:val="Fontdeparagrafimplicit1"/>
          <w:b/>
        </w:rPr>
      </w:pPr>
    </w:p>
    <w:p w14:paraId="7A4C9A77" w14:textId="77777777" w:rsidR="00ED03C9" w:rsidRDefault="00ED03C9">
      <w:pPr>
        <w:ind w:firstLine="567"/>
        <w:jc w:val="center"/>
        <w:rPr>
          <w:rStyle w:val="Fontdeparagrafimplicit1"/>
          <w:b/>
        </w:rPr>
      </w:pPr>
    </w:p>
    <w:p w14:paraId="67CED18C" w14:textId="77777777" w:rsidR="00ED03C9" w:rsidRDefault="00B234EC">
      <w:pPr>
        <w:ind w:firstLine="567"/>
        <w:jc w:val="both"/>
      </w:pPr>
      <w:r>
        <w:t>În urma deliberării reţine următoarele:</w:t>
      </w:r>
    </w:p>
    <w:p w14:paraId="0449CDB1" w14:textId="77777777" w:rsidR="00ED03C9" w:rsidRDefault="00ED03C9">
      <w:pPr>
        <w:ind w:firstLine="567"/>
        <w:jc w:val="both"/>
      </w:pPr>
    </w:p>
    <w:p w14:paraId="1E64AD02" w14:textId="1CE06E54" w:rsidR="00ED03C9" w:rsidRDefault="00B234EC">
      <w:pPr>
        <w:ind w:firstLine="567"/>
        <w:jc w:val="both"/>
      </w:pPr>
      <w:r>
        <w:t xml:space="preserve">Prin </w:t>
      </w:r>
      <w:r>
        <w:rPr>
          <w:rStyle w:val="Fontdeparagrafimplicit1"/>
          <w:b/>
          <w:i/>
        </w:rPr>
        <w:t>cererea de chemare în judecată</w:t>
      </w:r>
      <w:r>
        <w:t xml:space="preserve"> înregistrată la data de 05.05.2023, pe rolul Tribunalului </w:t>
      </w:r>
      <w:r w:rsidR="00525589">
        <w:t>X</w:t>
      </w:r>
      <w:r>
        <w:t xml:space="preserve">, Secţia </w:t>
      </w:r>
      <w:r w:rsidR="00525589">
        <w:t>....</w:t>
      </w:r>
      <w:r>
        <w:t xml:space="preserve"> Contencios Administrativ şi Fiscal, reclamantul a solicitat anularea procesului-verbal nr. </w:t>
      </w:r>
      <w:r w:rsidR="00525589">
        <w:t>....</w:t>
      </w:r>
      <w:r>
        <w:t>/28.02.2023 prin care s-a constatat că reclamantul este în imposibilitatea depunerii jurământului de credinţă faţă de România,  susţinând că s-a prezentat pentru a depune jurământul, conform art. 21 din Legea nr. 21/1991 şi că nu îi era opozabilă obligaţia de cunoaştere a limbii române.</w:t>
      </w:r>
    </w:p>
    <w:p w14:paraId="174DF7ED" w14:textId="77777777" w:rsidR="00ED03C9" w:rsidRDefault="00ED03C9">
      <w:pPr>
        <w:ind w:firstLine="709"/>
        <w:jc w:val="both"/>
      </w:pPr>
    </w:p>
    <w:p w14:paraId="252CFC8A" w14:textId="37E7E964" w:rsidR="00ED03C9" w:rsidRDefault="00B234EC">
      <w:pPr>
        <w:ind w:firstLine="709"/>
        <w:jc w:val="both"/>
      </w:pPr>
      <w:r>
        <w:t xml:space="preserve">Prin </w:t>
      </w:r>
      <w:r>
        <w:rPr>
          <w:rStyle w:val="Fontdeparagrafimplicit1"/>
          <w:b/>
        </w:rPr>
        <w:t xml:space="preserve">sentinţa nr. </w:t>
      </w:r>
      <w:r w:rsidR="00525589">
        <w:rPr>
          <w:rStyle w:val="Fontdeparagrafimplicit1"/>
          <w:b/>
        </w:rPr>
        <w:t>....</w:t>
      </w:r>
      <w:r>
        <w:t xml:space="preserve">, Tribunalul </w:t>
      </w:r>
      <w:r w:rsidR="00525589">
        <w:t>X</w:t>
      </w:r>
      <w:r>
        <w:t xml:space="preserve"> a admis cererea de chemare în judecată formulată de</w:t>
      </w:r>
      <w:r>
        <w:rPr>
          <w:rStyle w:val="Fontdeparagrafimplicit1"/>
          <w:i/>
        </w:rPr>
        <w:t xml:space="preserve"> </w:t>
      </w:r>
      <w:r>
        <w:t>partea reclamantă, a anulat</w:t>
      </w:r>
      <w:r>
        <w:rPr>
          <w:rStyle w:val="Fontdeparagrafimplicit1"/>
          <w:i/>
        </w:rPr>
        <w:t xml:space="preserve"> </w:t>
      </w:r>
      <w:r>
        <w:t xml:space="preserve">procesul-verbal nr. </w:t>
      </w:r>
      <w:r w:rsidR="00525589">
        <w:t>....</w:t>
      </w:r>
      <w:r>
        <w:t>/28.02.2023 şi a obligat pârâta să reprogrameze partea reclamantă pentru depunerea jurământului de credinţă faţă de România.</w:t>
      </w:r>
    </w:p>
    <w:p w14:paraId="49E111E0" w14:textId="77777777" w:rsidR="00ED03C9" w:rsidRDefault="00ED03C9">
      <w:pPr>
        <w:ind w:firstLine="709"/>
        <w:jc w:val="both"/>
      </w:pPr>
    </w:p>
    <w:p w14:paraId="5A778CC0" w14:textId="0942AFF8" w:rsidR="00ED03C9" w:rsidRDefault="00B234EC">
      <w:pPr>
        <w:ind w:firstLine="709"/>
        <w:jc w:val="both"/>
      </w:pPr>
      <w:r>
        <w:t xml:space="preserve">Împotriva sentinţei nr. </w:t>
      </w:r>
      <w:r w:rsidR="00525589">
        <w:t>....</w:t>
      </w:r>
      <w:r>
        <w:t xml:space="preserve"> a formulat </w:t>
      </w:r>
      <w:r>
        <w:rPr>
          <w:rStyle w:val="Fontdeparagrafimplicit1"/>
          <w:b/>
        </w:rPr>
        <w:t>recurs</w:t>
      </w:r>
      <w:r>
        <w:t xml:space="preserve"> pârâta Autoritatea Naţională pentru Cetăţenie (ANC). În motivarea recursului, întemeiat pe art. 488 alin. 1 pct. 8 Cod procedură civilă (Cpc), ANC a arătat următoarele:</w:t>
      </w:r>
    </w:p>
    <w:p w14:paraId="375F7B71" w14:textId="771C7EEA" w:rsidR="00ED03C9" w:rsidRDefault="00B234EC">
      <w:pPr>
        <w:ind w:firstLine="709"/>
        <w:jc w:val="both"/>
      </w:pPr>
      <w:r>
        <w:t xml:space="preserve">Cererea intimatei - reclamante de redobândire a cetățeniei române înregistrată la Autoritatea Națională pentru Cetățenie cu nr. </w:t>
      </w:r>
      <w:r w:rsidR="00525589">
        <w:t>....</w:t>
      </w:r>
      <w:r>
        <w:t xml:space="preserve">/2019, a fost aprobată de președintele ANC fiind emis Ordinul nr. </w:t>
      </w:r>
      <w:r w:rsidR="00525589">
        <w:t>....</w:t>
      </w:r>
      <w:r>
        <w:t>/2022.</w:t>
      </w:r>
    </w:p>
    <w:p w14:paraId="650F61C9" w14:textId="77777777" w:rsidR="00ED03C9" w:rsidRDefault="00B234EC">
      <w:pPr>
        <w:ind w:firstLine="709"/>
        <w:jc w:val="both"/>
      </w:pPr>
      <w:r>
        <w:t>Intimata -reclamantă a fost invitată la 28.02.2023 la sediul ANC în vederea depunerii jurământului de credință față de România.</w:t>
      </w:r>
    </w:p>
    <w:p w14:paraId="1A273DA7" w14:textId="77777777" w:rsidR="00ED03C9" w:rsidRDefault="00B234EC">
      <w:pPr>
        <w:ind w:firstLine="709"/>
        <w:jc w:val="both"/>
      </w:pPr>
      <w:r>
        <w:lastRenderedPageBreak/>
        <w:t>Potrivit art.20 alin. (5) din lege, Jurământul de credință se depune în ședință solemnă în fața ministrului justiției sau o președintelui Autorității Naționale pentru Cetățenie ori a unuia dintre cei 2 vicepreședinți oi autorității delegați în acest sens și are următorul conținut: "Jur să fiu devotat patriei și poporului român, să apăr drepturile și interesele naționale, să respect Constituția și legile României."</w:t>
      </w:r>
    </w:p>
    <w:p w14:paraId="6E74FD24" w14:textId="77777777" w:rsidR="00ED03C9" w:rsidRDefault="00B234EC">
      <w:pPr>
        <w:ind w:firstLine="709"/>
        <w:jc w:val="both"/>
      </w:pPr>
      <w:r>
        <w:t>Aceste dispoziții legale au fost interpretate eronat de către instanța de judecată, care a apreciat că este inadmisibilă, din perspectiva Legii nr. 21/1991, verificarea cunoașterii limbii române în codrul ceremoniei oficiale de depunere a jurământului de credință față de România.</w:t>
      </w:r>
    </w:p>
    <w:p w14:paraId="1920473D" w14:textId="77777777" w:rsidR="00ED03C9" w:rsidRDefault="00B234EC">
      <w:pPr>
        <w:ind w:firstLine="709"/>
        <w:jc w:val="both"/>
      </w:pPr>
      <w:r>
        <w:t>Pe de o parte, în cadrul ședinței solemne a depunerii jurământului nu s-a dispus "verificarea cunoașterii limbii române”, așa cum greșit a reținut instanța de judecată, în Procesul-Verbal fiind consemnat "este în imposibilitatea depunerii jurământului de credință față de România pentru că nu cunoaște limba română".</w:t>
      </w:r>
    </w:p>
    <w:p w14:paraId="0659BE10" w14:textId="77777777" w:rsidR="00ED03C9" w:rsidRDefault="00B234EC">
      <w:pPr>
        <w:ind w:firstLine="709"/>
        <w:jc w:val="both"/>
      </w:pPr>
      <w:r>
        <w:t>Așadar, având în vedere că întregul conținut al acestuia, citat mai sus, este în limba română, era necesar să fie rostit în limba română.</w:t>
      </w:r>
    </w:p>
    <w:p w14:paraId="3BDD298E" w14:textId="77777777" w:rsidR="00ED03C9" w:rsidRDefault="00B234EC">
      <w:pPr>
        <w:ind w:firstLine="709"/>
        <w:jc w:val="both"/>
      </w:pPr>
      <w:r>
        <w:t>Eronată este și interpretarea restrictivă a instanței de judecată a textului de lege prevăzut de art. 21 alin. 1) Nedepunerea, din motive imputabile persoanei care o obținut cetățenia română, o jurământului de credință, în termenul prevăzut la art. 20 alin. (2), atrage încetarea efectelor ordinului de acordare sau de redobândire a cetățeniei române față de persoana în cauză.</w:t>
      </w:r>
    </w:p>
    <w:p w14:paraId="2E8FF9D7" w14:textId="77777777" w:rsidR="00ED03C9" w:rsidRDefault="00B234EC">
      <w:pPr>
        <w:ind w:firstLine="709"/>
        <w:jc w:val="both"/>
      </w:pPr>
      <w:r>
        <w:t>Astfel, spre deosebire de instanța de judecată care a considerat că sintagma "nedepunerea, din motive imputabile" este sinonimă doar cu neprezentarea la ceremonie sau refuzul de depunere a jurământului, imposibilitatea persoanei de a se exprima în limba română în vederea rostirii jurământului de credință față de România reprezintă un motiv imputabil reclamantului.</w:t>
      </w:r>
    </w:p>
    <w:p w14:paraId="64706AFF" w14:textId="77777777" w:rsidR="00ED03C9" w:rsidRDefault="00B234EC">
      <w:pPr>
        <w:ind w:firstLine="709"/>
        <w:jc w:val="both"/>
      </w:pPr>
      <w:r>
        <w:t>Instanța de judecată a interpretat eronat și prevederile art. 249 din Codul de procedură civilă. Procesul-Verbal s-a încheiat la data de 28.02.2023, imposibilitatea exprimării în limba română necesară pentru a rosti jurământul de credință în limba română, fiind constatată la acel moment, fără a contesta faptul că reclamanta nu poate învăța la o dată ulterioară.</w:t>
      </w:r>
    </w:p>
    <w:p w14:paraId="47C593D3" w14:textId="77777777" w:rsidR="00ED03C9" w:rsidRDefault="00ED03C9">
      <w:pPr>
        <w:ind w:firstLine="709"/>
        <w:jc w:val="both"/>
      </w:pPr>
    </w:p>
    <w:p w14:paraId="01C4E1AB" w14:textId="77777777" w:rsidR="00ED03C9" w:rsidRDefault="00B234EC">
      <w:pPr>
        <w:ind w:firstLine="709"/>
        <w:jc w:val="both"/>
      </w:pPr>
      <w:r>
        <w:t xml:space="preserve">Partea intimat reclamantă a formulat </w:t>
      </w:r>
      <w:r>
        <w:rPr>
          <w:rStyle w:val="Fontdeparagrafimplicit1"/>
          <w:b/>
        </w:rPr>
        <w:t>întâmpinare</w:t>
      </w:r>
      <w:r>
        <w:t xml:space="preserve"> la cererea de recurs, prin care a solicitat respingerea ca nefondată a acestei căi de atac, pentru următoarele motive:</w:t>
      </w:r>
    </w:p>
    <w:p w14:paraId="791212B1" w14:textId="77777777" w:rsidR="00ED03C9" w:rsidRDefault="00B234EC">
      <w:pPr>
        <w:ind w:firstLine="709"/>
        <w:jc w:val="both"/>
      </w:pPr>
      <w:r>
        <w:t>Intimata arată că nu i s-a permis să depună jurământul de credință, să rostească textul jurământului, fiind eliberat automat Procesul-Verbal contestat.</w:t>
      </w:r>
    </w:p>
    <w:p w14:paraId="45640BA3" w14:textId="26B6876A" w:rsidR="00ED03C9" w:rsidRDefault="00B234EC">
      <w:pPr>
        <w:ind w:firstLine="709"/>
        <w:jc w:val="both"/>
      </w:pPr>
      <w:r>
        <w:t>Întocmirea Constatării nr.</w:t>
      </w:r>
      <w:r w:rsidR="00525589">
        <w:t>....</w:t>
      </w:r>
      <w:r>
        <w:t xml:space="preserve"> din 06.03.2023 privind încetarea efectelor Ordinului nr.</w:t>
      </w:r>
      <w:r w:rsidR="00525589">
        <w:t>....</w:t>
      </w:r>
      <w:r>
        <w:t>/07.01.2022 nu a fost adusă la cunoștință reclamantei. Mai susţine că sunt încălcate prevederile art.21 alin.(2) din Legea nr. 21/1991  nefiind ataşată sesizarea direcției de specialitate din cadrul autorității.</w:t>
      </w:r>
    </w:p>
    <w:p w14:paraId="2A1F3605" w14:textId="77777777" w:rsidR="00ED03C9" w:rsidRDefault="00B234EC">
      <w:pPr>
        <w:ind w:firstLine="709"/>
        <w:jc w:val="both"/>
      </w:pPr>
      <w:r>
        <w:t>Conform art. 20 alin. 2 şi</w:t>
      </w:r>
      <w:r>
        <w:t xml:space="preserve"> art. 21 alin. (l) din Lege,  încetarea efectelor ordinului se face în cazul în care în decurs de 6 luni persoana nu a depus jurământul de credință, dar reclamanta s-a prezentat la data programării, iar constatarea faptul că nu cunoaște limba română este una abuzivă. Pentru redobândirea cetățeniei Române în baza art. 11 este necesar îndeplinirea condițiilor stipulate la art. 8 alin. (1) lit. b), c) și e), precum și ca persoanele care au fost cetățeni români, dar au pierdut cetățenia română din motive neimpu</w:t>
      </w:r>
      <w:r>
        <w:t>tabile lor sau cărora această cetățenie le-a fost ridicată fără voia lor, precum și descendența acestora până la gradul III.</w:t>
      </w:r>
    </w:p>
    <w:p w14:paraId="0A683470" w14:textId="77777777" w:rsidR="00ED03C9" w:rsidRDefault="00B234EC">
      <w:pPr>
        <w:ind w:firstLine="709"/>
        <w:jc w:val="both"/>
      </w:pPr>
      <w:r>
        <w:t>Cu referire la mențiunea pârâtului conform căreia Ordinul prin care a fost aprobată cererea reclamantului de redobândire a cetățeniei Române a fost emisă în urma analizării și verificării condițiilor prevăzute de art. l1, art.8 alin, b), c) și e), prevederile at.8 alin.(l), lit. f) și g) fiind prezumate, reclamanta consideră că nu este o condiție necesară cunoașterea limbii Române în vederea redobândirii cetățenii în baza art. 11. Reclamanta la data depunerii jurământului de credință a putut rosti jurământu</w:t>
      </w:r>
      <w:r>
        <w:t>l de credință în limba română, fapt dovedit prin proba video.</w:t>
      </w:r>
    </w:p>
    <w:p w14:paraId="5AB05F43" w14:textId="77777777" w:rsidR="00ED03C9" w:rsidRDefault="00ED03C9">
      <w:pPr>
        <w:ind w:firstLine="567"/>
        <w:jc w:val="both"/>
      </w:pPr>
    </w:p>
    <w:p w14:paraId="3B437E7B" w14:textId="77777777" w:rsidR="00ED03C9" w:rsidRDefault="00ED03C9">
      <w:pPr>
        <w:ind w:firstLine="567"/>
        <w:jc w:val="both"/>
      </w:pPr>
    </w:p>
    <w:p w14:paraId="2758192A" w14:textId="77777777" w:rsidR="00ED03C9" w:rsidRDefault="00B234EC">
      <w:pPr>
        <w:ind w:firstLine="567"/>
        <w:jc w:val="both"/>
        <w:rPr>
          <w:rStyle w:val="Fontdeparagrafimplicit1"/>
          <w:b/>
          <w:i/>
        </w:rPr>
      </w:pPr>
      <w:r>
        <w:rPr>
          <w:rStyle w:val="Fontdeparagrafimplicit1"/>
          <w:b/>
          <w:i/>
        </w:rPr>
        <w:t>Curtea, asupra recursului reţine următoarele:</w:t>
      </w:r>
    </w:p>
    <w:p w14:paraId="79CA29FC" w14:textId="77777777" w:rsidR="00ED03C9" w:rsidRDefault="00ED03C9">
      <w:pPr>
        <w:ind w:firstLine="567"/>
        <w:jc w:val="both"/>
        <w:rPr>
          <w:rStyle w:val="Fontdeparagrafimplicit1"/>
        </w:rPr>
      </w:pPr>
    </w:p>
    <w:p w14:paraId="5BB99E8F" w14:textId="77777777" w:rsidR="00ED03C9" w:rsidRDefault="00B234EC">
      <w:pPr>
        <w:ind w:firstLine="720"/>
        <w:jc w:val="both"/>
        <w:rPr>
          <w:rStyle w:val="Fontdeparagrafimplicit1"/>
          <w:i/>
          <w:shd w:val="clear" w:color="auto" w:fill="FFFFFF"/>
        </w:rPr>
      </w:pPr>
      <w:r>
        <w:rPr>
          <w:rStyle w:val="Fontdeparagrafimplicit1"/>
          <w:i/>
          <w:shd w:val="clear" w:color="auto" w:fill="FFFFFF"/>
        </w:rPr>
        <w:lastRenderedPageBreak/>
        <w:t xml:space="preserve">Potrivit </w:t>
      </w:r>
      <w:r>
        <w:rPr>
          <w:rStyle w:val="Fontdeparagrafimplicit1"/>
          <w:b/>
          <w:i/>
          <w:shd w:val="clear" w:color="auto" w:fill="FFFFFF"/>
        </w:rPr>
        <w:t>art.</w:t>
      </w:r>
      <w:r>
        <w:rPr>
          <w:rStyle w:val="Fontdeparagrafimplicit1"/>
          <w:i/>
          <w:shd w:val="clear" w:color="auto" w:fill="FFFFFF"/>
        </w:rPr>
        <w:t xml:space="preserve"> </w:t>
      </w:r>
      <w:r>
        <w:rPr>
          <w:rStyle w:val="Fontdeparagrafimplicit1"/>
          <w:b/>
          <w:i/>
          <w:shd w:val="clear" w:color="auto" w:fill="FFFFFF"/>
        </w:rPr>
        <w:t xml:space="preserve">488 alin. 1 pct. 8 din Codul de procedură civilă </w:t>
      </w:r>
      <w:r>
        <w:rPr>
          <w:rStyle w:val="Fontdeparagrafimplicit1"/>
          <w:i/>
          <w:shd w:val="clear" w:color="auto" w:fill="FFFFFF"/>
        </w:rPr>
        <w:t>(Cpc), constituie motiv de casare a sentinţei instanţei de fond încălcarea sau aplicarea greşită a normelor de drept material. Motivul de casare prevăzut de art. 488 alin. 1 pct. 8 Cpc este fondat, pentru considerentele prezentate mai jos:</w:t>
      </w:r>
    </w:p>
    <w:p w14:paraId="7B04B115" w14:textId="1379CC0A" w:rsidR="00ED03C9" w:rsidRDefault="00B234EC">
      <w:pPr>
        <w:ind w:firstLine="720"/>
        <w:jc w:val="both"/>
      </w:pPr>
      <w:r>
        <w:t xml:space="preserve">Partea reclamantă a solicitat redobândirea cetăţeniei române, cerere aprobată prin Ordinul Preşedintelui ANC nr. </w:t>
      </w:r>
      <w:r w:rsidR="00525589">
        <w:t>....</w:t>
      </w:r>
      <w:r>
        <w:t>/2022.</w:t>
      </w:r>
    </w:p>
    <w:p w14:paraId="7E0A6A5C" w14:textId="02C9C8C8" w:rsidR="00ED03C9" w:rsidRDefault="00B234EC">
      <w:pPr>
        <w:ind w:firstLine="720"/>
        <w:jc w:val="both"/>
      </w:pPr>
      <w:r>
        <w:t xml:space="preserve">Prin </w:t>
      </w:r>
      <w:r>
        <w:rPr>
          <w:rStyle w:val="Fontdeparagrafimplicit1"/>
          <w:b/>
        </w:rPr>
        <w:t xml:space="preserve">procesul verbal nr. </w:t>
      </w:r>
      <w:r w:rsidR="00525589">
        <w:rPr>
          <w:rStyle w:val="Fontdeparagrafimplicit1"/>
          <w:b/>
        </w:rPr>
        <w:t>....</w:t>
      </w:r>
      <w:r>
        <w:rPr>
          <w:rStyle w:val="Fontdeparagrafimplicit1"/>
          <w:b/>
        </w:rPr>
        <w:t xml:space="preserve">/28.02.2023 </w:t>
      </w:r>
      <w:r>
        <w:t>emis de Vicepreşedintele ANC s-a reţinut că Direcţia</w:t>
      </w:r>
      <w:r>
        <w:t xml:space="preserve"> de specialitate abilitată în coordonarea ceremoniei de depunere a jurământului a constatat că partea reclamantă nu cunoaşte limba română şi este în imposibilitate de a depune jurământul de credinţă faţă de România.</w:t>
      </w:r>
    </w:p>
    <w:p w14:paraId="709F55D0" w14:textId="77777777" w:rsidR="00ED03C9" w:rsidRDefault="00B234EC">
      <w:pPr>
        <w:ind w:firstLine="709"/>
        <w:jc w:val="both"/>
      </w:pPr>
      <w:r>
        <w:t xml:space="preserve">Potrivit 21 alin. 1) şi 2) din Legea nr.21/1991, </w:t>
      </w:r>
      <w:r>
        <w:rPr>
          <w:rStyle w:val="Fontdeparagrafimplicit1"/>
          <w:color w:val="000000"/>
        </w:rPr>
        <w:t xml:space="preserve">„Nedepunerea, din motive imputabile persoanei care a obţinut cetăţenia română, a jurământului de credinţă, în termenul prevăzut la art. 20 </w:t>
      </w:r>
      <w:hyperlink r:id="rId6" w:history="1">
        <w:r w:rsidR="00ED03C9">
          <w:t>alin. (2)</w:t>
        </w:r>
      </w:hyperlink>
      <w:r>
        <w:rPr>
          <w:rStyle w:val="Fontdeparagrafimplicit1"/>
          <w:color w:val="000000"/>
        </w:rPr>
        <w:t>, atrage încetarea efectelor ordinului de acordare sau de redobândire a cetățeniei române faţă de persoana în cauză.</w:t>
      </w:r>
      <w:r>
        <w:t> </w:t>
      </w:r>
    </w:p>
    <w:p w14:paraId="2BABF949" w14:textId="77777777" w:rsidR="00ED03C9" w:rsidRDefault="00B234EC">
      <w:pPr>
        <w:ind w:firstLine="709"/>
        <w:jc w:val="both"/>
        <w:rPr>
          <w:rStyle w:val="Fontdeparagrafimplicit1"/>
          <w:color w:val="000000"/>
        </w:rPr>
      </w:pPr>
      <w:r>
        <w:t>Constatarea încetării efectelor ordinului de acordare sau de redobândire a cetățeniei române faţă de persoanele care nu au depus jurământul în condiţiile legii se face de către preşedintele Autorităţii Naţionale pentru Cetăţenie, la sesizarea direcţiei de specialitate din cadrul autorităţii, sau, după caz, de şeful misiunii diplomatice ori al oficiului consular</w:t>
      </w:r>
      <w:r>
        <w:rPr>
          <w:rStyle w:val="Fontdeparagrafimplicit1"/>
          <w:color w:val="000000"/>
        </w:rPr>
        <w:t>.</w:t>
      </w:r>
    </w:p>
    <w:p w14:paraId="7F872E92" w14:textId="77777777" w:rsidR="00ED03C9" w:rsidRDefault="00B234EC">
      <w:pPr>
        <w:ind w:firstLine="709"/>
        <w:jc w:val="both"/>
        <w:rPr>
          <w:rStyle w:val="Fontdeparagrafimplicit1"/>
        </w:rPr>
      </w:pPr>
      <w:r>
        <w:rPr>
          <w:rStyle w:val="Fontdeparagrafimplicit1"/>
          <w:color w:val="000000"/>
        </w:rPr>
        <w:t xml:space="preserve">Curtea constată că în mod nelegal prima instanţă a considerat că este inadmisibilă verificarea cunoaşterii limbii române în procedura de depunere a jurământului de credinţă faţă de România. Astfel, rezultă din art. 21 alin. 1 din Legea nr. 21/1991 nedepunerea în termen a jurământului de credinţă, din motive imputabile, atrage încetarea efectelor ordinului de redobândire a cetăţeniei. Legiuitorul nu enumeră aceste motive imputabile, ele urmând să se stabilească în fiecare caz în parte. </w:t>
      </w:r>
    </w:p>
    <w:p w14:paraId="00129B11" w14:textId="77777777" w:rsidR="00ED03C9" w:rsidRDefault="00B234EC">
      <w:pPr>
        <w:ind w:firstLine="709"/>
        <w:jc w:val="both"/>
        <w:rPr>
          <w:rStyle w:val="Fontdeparagrafimplicit1"/>
        </w:rPr>
      </w:pPr>
      <w:r>
        <w:rPr>
          <w:rStyle w:val="Fontdeparagrafimplicit1"/>
          <w:color w:val="000000"/>
        </w:rPr>
        <w:t>Conţinutul jurământului de credinţă este prevăzut de art. 20 alin. 5 din Legea nr. 21/1991 şi este în limba română. Prin urmare, jurământul trebuie rostit în limba română. În acest context, imposibilitatea rostirii în limba română a jurământului întrucât partea reclamantă nu cunoaşte acest jurământ ca şi conţinut exprimabil în limba română reprezintă un motiv imputabil în mod exclusiv părţii reclamante şi conduce la nedepunerea din motive imputabile a jurământului de credinţă. Această situaţie nu trebuie co</w:t>
      </w:r>
      <w:r>
        <w:rPr>
          <w:rStyle w:val="Fontdeparagrafimplicit1"/>
          <w:color w:val="000000"/>
        </w:rPr>
        <w:t>nfundată cu cerinţa cunoaşterii limbii române ca şi condiţie de dobândire a cetăţeniei, condiţie ce presupune cunoştinţe mult mai ample, care nu se reduc la conţinutul jurământului, ci sunt corelate cu cerinţa ca subiectul să posede noţiuni elementare de cultură şi civilizaţie românească, în măsură suficientă pentru a se integra în viaţa socială (art. 8 lit. f din Legea nr. 21/1991), ceea ce presupune un nivel de cunoaştere a limbii române suficient de amplu pentru a putea asigura integrarea în societate, d</w:t>
      </w:r>
      <w:r>
        <w:rPr>
          <w:rStyle w:val="Fontdeparagrafimplicit1"/>
          <w:color w:val="000000"/>
        </w:rPr>
        <w:t xml:space="preserve">ar şi exprimarea în limba română a cunoştinţelor de cultură şi civilizaţie românească. Or, în cauză, din nicio probă nu rezultă că ANC ar fi solicitat părţii reclamante să îndeplinească condiţia cunoaşterii limbii române în sensul arătat anterior. </w:t>
      </w:r>
    </w:p>
    <w:p w14:paraId="64D390BF" w14:textId="77777777" w:rsidR="00ED03C9" w:rsidRDefault="00B234EC">
      <w:pPr>
        <w:ind w:firstLine="709"/>
        <w:jc w:val="both"/>
        <w:rPr>
          <w:rStyle w:val="Fontdeparagrafimplicit1"/>
        </w:rPr>
      </w:pPr>
      <w:r>
        <w:rPr>
          <w:rStyle w:val="Fontdeparagrafimplicit1"/>
          <w:color w:val="000000"/>
        </w:rPr>
        <w:t>Este eronată, aşadar, concluzia primei instanţe în sensul că ANC ar fi stabilit cu încălcarea normelor, o condiţie suplimentară de redobândire privind cunoaşterea limbii române. În cauză nu se pune problema anulării ordinului de redobândire a cetăţeniei, nici a analizării condiţiilor care au stat la baza emiterii ordinului de redobândire a cetăţeniei române (prevăzute de art. 8 alin. 1  lit. b, c, e din lege), ci este vorba despre procedura ulterioară redobândirii, a etapei depunerii jurământului de credinţ</w:t>
      </w:r>
      <w:r>
        <w:rPr>
          <w:rStyle w:val="Fontdeparagrafimplicit1"/>
          <w:color w:val="000000"/>
        </w:rPr>
        <w:t xml:space="preserve">ă. Nedepunerea jurământului din motive imputabile nu este sinonimă doar cu neprezentarea la ceremonie sau cu refuzul de depunere a jurământului, aşa cum susţine în mod eronat partea reclamantă. Imposibilitatea rostirii jurământului în limba română urmare necunoaşterii conţinutului acestuia în limba română reprezintă într-adevăr, aşa cum s-a arătat, unul dintre motivele imputabile persoanei care a redobândit cetăţenia română. </w:t>
      </w:r>
    </w:p>
    <w:p w14:paraId="2364EAB9" w14:textId="77777777" w:rsidR="00ED03C9" w:rsidRDefault="00B234EC">
      <w:pPr>
        <w:widowControl w:val="0"/>
        <w:ind w:firstLine="567"/>
        <w:jc w:val="both"/>
      </w:pPr>
      <w:r>
        <w:t xml:space="preserve">Este eronată şi concluzia primei instanţe potrivit căreia partea reclamantă a probat că poate rosti jurământul în limba română. Astfel, procesul-verbal contestat se bucură de prezumţia de legalitate şi temeinicie şi, deci, de prezumţia că aspectele conţinute în cuprinsul său corespund realităţii. Sarcina probei contrare revenea părţii reclamante, conform art. 249 Cod procedură civilă. Or, partea reclamantă nu a probat că la data şi ora la care s-a derulat în faţa ANC </w:t>
      </w:r>
      <w:r>
        <w:lastRenderedPageBreak/>
        <w:t>ceremonia privind depunerea jurământului aceasta putea să îl rostească în limba română, fiind fără relevanţă o situaţie faptică ulterioară (o înregistrare audio-video ulterioară respectivului moment care să demonstreze contrariul). Aceasta întrucât în cadrul litigiului instanţa analizează legalitatea refuzului ANC la momentul emiterii acelui refuz, iar nu prin prisma situaţiei ulterioare acestui moment, nefiind impedimente ca partea reclamantă să rostească ulterior respectivul jurământ (înregistrarea depusă</w:t>
      </w:r>
      <w:r>
        <w:t xml:space="preserve"> de reclamantă cu data de 19.04.2023) care, de altfel, are un conţinut simplu şi scurt. </w:t>
      </w:r>
    </w:p>
    <w:p w14:paraId="718D7B91" w14:textId="77777777" w:rsidR="00ED03C9" w:rsidRDefault="00B234EC">
      <w:pPr>
        <w:widowControl w:val="0"/>
        <w:ind w:firstLine="567"/>
        <w:jc w:val="both"/>
      </w:pPr>
      <w:r>
        <w:t xml:space="preserve">În ceea ce priveşte susţinerea părţii intimat reclamante conform căreia ANC nu i-a permis să depună jurământul de credinţă, afirmaţia nu este nici dezvoltată, nici probată. Dimpotrivă, rezultă din actele dosarului că ANC a convocat reclamanta pentru depunerea jurământului, acesta neputând fi depus din culpa reclamantei, aşa cum s-a arătat anterior. </w:t>
      </w:r>
    </w:p>
    <w:p w14:paraId="5BCA6B00" w14:textId="3729EF66" w:rsidR="00ED03C9" w:rsidRDefault="00B234EC">
      <w:pPr>
        <w:widowControl w:val="0"/>
        <w:ind w:firstLine="567"/>
        <w:jc w:val="both"/>
      </w:pPr>
      <w:r>
        <w:t xml:space="preserve">Referitor la procedura de comunicare a constatării ANC nr. </w:t>
      </w:r>
      <w:r w:rsidR="00525589">
        <w:t>....</w:t>
      </w:r>
      <w:r>
        <w:t xml:space="preserve">/6.03.2023 (constatarea încetării ordinului ANC nr. </w:t>
      </w:r>
      <w:r w:rsidR="00525589">
        <w:t>...</w:t>
      </w:r>
      <w:r>
        <w:t xml:space="preserve">2022), aceasta este un document ulterior procesului-verbal contestat şi nu face obiectul litigiului de faţă (nu a fost contestat). </w:t>
      </w:r>
    </w:p>
    <w:p w14:paraId="7F77CC9E" w14:textId="77777777" w:rsidR="00ED03C9" w:rsidRDefault="00B234EC">
      <w:pPr>
        <w:widowControl w:val="0"/>
        <w:ind w:firstLine="567"/>
        <w:jc w:val="both"/>
      </w:pPr>
      <w:r>
        <w:t>Cu privire la constatarea Direcţiei de specialitate privind imposibilitatea depunerii jurământului, Curtea observă că în procesul-verbal contestat emis de Vicepreşedintele ANC s-a reţinut că Direcţia de specialitate abilitată în coordonarea ceremoniei de depunere a jurământului a constatat că partea reclamantă nu cunoaşte limba română şi este în imposibilitate de a depune jurământul de credinţă faţă de România. Prin urmare, rezultă chiar din procesul-verbal atacat că acesta a avut la bază constatarea făcută</w:t>
      </w:r>
      <w:r>
        <w:t xml:space="preserve"> de Direcţia de specialitate din cadrul ANC referitor la imposibilitatea depunerii jurământului. În ceea ce priveşte lipsa prezentării de către ANC a unei probe audio-video a depunerii jurământului, Curtea constată că respectiva critică este neîntemeiată din moment ce în Legea nr. 21/1991 nu există dispoziţii care să oblige ANC să înregistreze audio-video respectivul jurământ. De altfel, nici partea reclamantă nu a invocat încălcarea vreunei norme sub acest aspect. </w:t>
      </w:r>
    </w:p>
    <w:p w14:paraId="31F1BFA3" w14:textId="77777777" w:rsidR="00ED03C9" w:rsidRDefault="00B234EC">
      <w:pPr>
        <w:widowControl w:val="0"/>
        <w:ind w:firstLine="567"/>
        <w:jc w:val="both"/>
      </w:pPr>
      <w:r>
        <w:t>În ceea ce priveşte practica judiciară invocată de partea reclamantă (soluţii favorabile opiniei acesteia, dosarele nr. 1404/3/2021 şi nr. 27663/3/2020), Curtea reţine că aceasta reprezintă decizii de speţă, soluţiile fiind pronunţate în funcţie de particularităţile fiecărei speţe şi deci, în raport de constatările ANC corelate cu cunoştinţele/posibilităţile fiecărui reclamant de a rosti jurământul, apreciate de instanţă, iar nu decizii interpretative cu caracter obligatoriu pentru prezenta instanţă, care s</w:t>
      </w:r>
      <w:r>
        <w:t xml:space="preserve">ă fi fost pronunţate de Înalta Curte de Casaţie şi Justiţie în mecanismele de unificare a practicii judiciare. În plus, şi pârâta a invocat practică judiciară favorabilă opiniei sale (dosarul nr. 31972/3/2021). </w:t>
      </w:r>
    </w:p>
    <w:p w14:paraId="22519BF8" w14:textId="77777777" w:rsidR="00ED03C9" w:rsidRDefault="00B234EC">
      <w:pPr>
        <w:widowControl w:val="0"/>
        <w:ind w:firstLine="567"/>
        <w:jc w:val="both"/>
      </w:pPr>
      <w:r>
        <w:t xml:space="preserve">În concluzie, în sarcina ANC nu se poate reţine un refuz nejustificat exprimat prin procesul-verbal contestat şi, în consecinţă, nici o discriminare a părţii reclamantă pe criterii lingvistice. </w:t>
      </w:r>
    </w:p>
    <w:p w14:paraId="2FD94513" w14:textId="77777777" w:rsidR="00ED03C9" w:rsidRDefault="00B234EC">
      <w:pPr>
        <w:widowControl w:val="0"/>
        <w:ind w:firstLine="567"/>
        <w:jc w:val="both"/>
      </w:pPr>
      <w:r>
        <w:t xml:space="preserve">Aşa fiind, Curtea va admite recursul, va casa sentinţa recurată şi în rejudecare va respinge cererea părţii reclamante ca neîntemeiată. </w:t>
      </w:r>
    </w:p>
    <w:p w14:paraId="3D3BA46C" w14:textId="77777777" w:rsidR="00ED03C9" w:rsidRDefault="00ED03C9">
      <w:pPr>
        <w:widowControl w:val="0"/>
        <w:ind w:firstLine="567"/>
        <w:jc w:val="both"/>
      </w:pPr>
    </w:p>
    <w:p w14:paraId="341F97C1" w14:textId="77777777" w:rsidR="00ED03C9" w:rsidRDefault="00ED03C9">
      <w:pPr>
        <w:widowControl w:val="0"/>
        <w:ind w:firstLine="567"/>
        <w:jc w:val="both"/>
      </w:pPr>
    </w:p>
    <w:p w14:paraId="3B0D9CC2" w14:textId="77777777" w:rsidR="00ED03C9" w:rsidRDefault="00B234EC">
      <w:pPr>
        <w:ind w:left="-567"/>
        <w:jc w:val="center"/>
        <w:rPr>
          <w:rStyle w:val="Fontdeparagrafimplicit1"/>
          <w:b/>
        </w:rPr>
      </w:pPr>
      <w:r>
        <w:rPr>
          <w:rStyle w:val="Fontdeparagrafimplicit1"/>
          <w:b/>
        </w:rPr>
        <w:t>PENTRU ACESTE MOTIVE,</w:t>
      </w:r>
    </w:p>
    <w:p w14:paraId="1443898F" w14:textId="77777777" w:rsidR="00ED03C9" w:rsidRDefault="00B234EC">
      <w:pPr>
        <w:ind w:left="-567"/>
        <w:jc w:val="center"/>
        <w:rPr>
          <w:rStyle w:val="Fontdeparagrafimplicit1"/>
          <w:b/>
        </w:rPr>
      </w:pPr>
      <w:r>
        <w:rPr>
          <w:rStyle w:val="Fontdeparagrafimplicit1"/>
          <w:b/>
        </w:rPr>
        <w:t>ÎN NUMELE LEGII</w:t>
      </w:r>
    </w:p>
    <w:p w14:paraId="7E00E692" w14:textId="77777777" w:rsidR="00ED03C9" w:rsidRDefault="00B234EC">
      <w:pPr>
        <w:tabs>
          <w:tab w:val="left" w:pos="851"/>
        </w:tabs>
        <w:ind w:left="-567"/>
        <w:jc w:val="center"/>
        <w:rPr>
          <w:rStyle w:val="Fontdeparagrafimplicit1"/>
          <w:b/>
        </w:rPr>
      </w:pPr>
      <w:r>
        <w:rPr>
          <w:rStyle w:val="Fontdeparagrafimplicit1"/>
          <w:b/>
        </w:rPr>
        <w:t>D E C I D E :</w:t>
      </w:r>
    </w:p>
    <w:p w14:paraId="039A7504" w14:textId="77777777" w:rsidR="00ED03C9" w:rsidRDefault="00ED03C9">
      <w:pPr>
        <w:tabs>
          <w:tab w:val="left" w:pos="851"/>
        </w:tabs>
        <w:ind w:firstLine="993"/>
        <w:jc w:val="center"/>
        <w:rPr>
          <w:rStyle w:val="Fontdeparagrafimplicit1"/>
          <w:b/>
        </w:rPr>
      </w:pPr>
    </w:p>
    <w:p w14:paraId="5787C53C" w14:textId="77777777" w:rsidR="00ED03C9" w:rsidRDefault="00ED03C9">
      <w:pPr>
        <w:tabs>
          <w:tab w:val="left" w:pos="851"/>
        </w:tabs>
        <w:ind w:firstLine="993"/>
        <w:jc w:val="both"/>
        <w:rPr>
          <w:rStyle w:val="Fontdeparagrafimplicit1"/>
        </w:rPr>
      </w:pPr>
    </w:p>
    <w:p w14:paraId="0EA68423" w14:textId="33035A18" w:rsidR="00ED03C9" w:rsidRDefault="00B234EC">
      <w:pPr>
        <w:tabs>
          <w:tab w:val="left" w:pos="851"/>
        </w:tabs>
        <w:ind w:left="-567" w:firstLine="567"/>
        <w:jc w:val="both"/>
      </w:pPr>
      <w:r>
        <w:t xml:space="preserve">Admite recursul formulat de recurenta – pârâtă </w:t>
      </w:r>
      <w:r>
        <w:rPr>
          <w:rStyle w:val="Fontdeparagrafimplicit1"/>
          <w:b/>
        </w:rPr>
        <w:t xml:space="preserve">AUTORITATEA NAŢIONALĂ PENTRU CETĂŢENIE, </w:t>
      </w:r>
      <w:r>
        <w:t xml:space="preserve">având sediul în </w:t>
      </w:r>
      <w:r w:rsidR="00525589">
        <w:t>X</w:t>
      </w:r>
      <w:r>
        <w:t xml:space="preserve">, str. </w:t>
      </w:r>
      <w:r w:rsidR="00525589">
        <w:t>...</w:t>
      </w:r>
      <w:r>
        <w:t xml:space="preserve">, nr. </w:t>
      </w:r>
      <w:r w:rsidR="00525589">
        <w:t>..</w:t>
      </w:r>
      <w:r>
        <w:t xml:space="preserve">, </w:t>
      </w:r>
      <w:r w:rsidR="00525589">
        <w:t>..</w:t>
      </w:r>
      <w:r>
        <w:rPr>
          <w:rStyle w:val="Fontdeparagrafimplicit1"/>
          <w:b/>
        </w:rPr>
        <w:t>,</w:t>
      </w:r>
      <w:r>
        <w:t xml:space="preserve"> împotriva sentinţei civile nr. </w:t>
      </w:r>
      <w:r w:rsidR="00525589">
        <w:t>....</w:t>
      </w:r>
      <w:r>
        <w:t xml:space="preserve">.2023 pronunţată de Tribunalul </w:t>
      </w:r>
      <w:r w:rsidR="00525589">
        <w:t>X</w:t>
      </w:r>
      <w:r>
        <w:t xml:space="preserve"> – Secţia </w:t>
      </w:r>
      <w:r w:rsidR="00525589">
        <w:t>....</w:t>
      </w:r>
      <w:r>
        <w:t xml:space="preserve"> Contencios Administrativ şi Fiscal, în dosarul nr. </w:t>
      </w:r>
      <w:r w:rsidR="00525589">
        <w:t>....</w:t>
      </w:r>
      <w:r>
        <w:t xml:space="preserve"> în contradictoriu cu intimata – reclamantă </w:t>
      </w:r>
      <w:r w:rsidR="00525589">
        <w:rPr>
          <w:rStyle w:val="Fontdeparagrafimplicit1"/>
          <w:b/>
        </w:rPr>
        <w:t>MS</w:t>
      </w:r>
      <w:r>
        <w:rPr>
          <w:rStyle w:val="Fontdeparagrafimplicit1"/>
          <w:b/>
        </w:rPr>
        <w:t xml:space="preserve">, </w:t>
      </w:r>
      <w:r>
        <w:t xml:space="preserve">având domiciliul ales în </w:t>
      </w:r>
      <w:r w:rsidR="00525589">
        <w:t>X</w:t>
      </w:r>
      <w:r>
        <w:t xml:space="preserve">, str. </w:t>
      </w:r>
      <w:r w:rsidR="00525589">
        <w:t>..</w:t>
      </w:r>
      <w:r>
        <w:t xml:space="preserve"> </w:t>
      </w:r>
      <w:r w:rsidR="00525589">
        <w:t>..</w:t>
      </w:r>
      <w:r>
        <w:t xml:space="preserve"> nr. </w:t>
      </w:r>
      <w:r w:rsidR="00525589">
        <w:t>..</w:t>
      </w:r>
      <w:r>
        <w:t xml:space="preserve">, bl. </w:t>
      </w:r>
      <w:r w:rsidR="00525589">
        <w:t>..</w:t>
      </w:r>
      <w:r>
        <w:t xml:space="preserve">, sc. </w:t>
      </w:r>
      <w:r w:rsidR="00525589">
        <w:t>..</w:t>
      </w:r>
      <w:r>
        <w:t xml:space="preserve">, ap. </w:t>
      </w:r>
      <w:r w:rsidR="00525589">
        <w:t>...</w:t>
      </w:r>
      <w:r>
        <w:t xml:space="preserve">, </w:t>
      </w:r>
      <w:r w:rsidR="00525589">
        <w:t>...</w:t>
      </w:r>
      <w:r>
        <w:t xml:space="preserve">.  </w:t>
      </w:r>
    </w:p>
    <w:p w14:paraId="2527F76D" w14:textId="77777777" w:rsidR="00ED03C9" w:rsidRDefault="00B234EC">
      <w:pPr>
        <w:tabs>
          <w:tab w:val="left" w:pos="851"/>
        </w:tabs>
        <w:ind w:left="-567" w:firstLine="567"/>
        <w:jc w:val="both"/>
      </w:pPr>
      <w:r>
        <w:t xml:space="preserve">Casează sentinţa recurată şi, rejudecând: </w:t>
      </w:r>
    </w:p>
    <w:p w14:paraId="094BD9BB" w14:textId="77777777" w:rsidR="00ED03C9" w:rsidRDefault="00B234EC">
      <w:pPr>
        <w:tabs>
          <w:tab w:val="left" w:pos="851"/>
        </w:tabs>
        <w:ind w:left="-567" w:firstLine="567"/>
        <w:jc w:val="both"/>
      </w:pPr>
      <w:r>
        <w:t xml:space="preserve">Respinge cererea ca neîntemeiată. </w:t>
      </w:r>
    </w:p>
    <w:p w14:paraId="3DEC9933" w14:textId="77777777" w:rsidR="00ED03C9" w:rsidRDefault="00B234EC">
      <w:pPr>
        <w:tabs>
          <w:tab w:val="left" w:pos="851"/>
        </w:tabs>
        <w:ind w:left="-567" w:firstLine="567"/>
        <w:jc w:val="both"/>
      </w:pPr>
      <w:r>
        <w:t xml:space="preserve">Definitivă. </w:t>
      </w:r>
    </w:p>
    <w:p w14:paraId="38BE1132" w14:textId="4039BDC9" w:rsidR="00ED03C9" w:rsidRDefault="00B234EC">
      <w:pPr>
        <w:tabs>
          <w:tab w:val="left" w:pos="851"/>
        </w:tabs>
        <w:ind w:left="-567" w:firstLine="567"/>
        <w:jc w:val="both"/>
        <w:rPr>
          <w:rStyle w:val="Fontdeparagrafimplicit1"/>
          <w:b/>
        </w:rPr>
      </w:pPr>
      <w:r>
        <w:t xml:space="preserve">Pronunţată prin punerea soluţiei la dispoziţia părţilor de către grefa instanţei, azi, </w:t>
      </w:r>
      <w:r w:rsidR="00525589">
        <w:t>...</w:t>
      </w:r>
      <w:r>
        <w:t xml:space="preserve">.2025.     </w:t>
      </w:r>
      <w:r>
        <w:rPr>
          <w:rStyle w:val="Fontdeparagrafimplicit1"/>
          <w:b/>
        </w:rPr>
        <w:t xml:space="preserve">        </w:t>
      </w:r>
    </w:p>
    <w:p w14:paraId="6EA67291" w14:textId="77777777" w:rsidR="00ED03C9" w:rsidRDefault="00ED03C9">
      <w:pPr>
        <w:tabs>
          <w:tab w:val="left" w:pos="851"/>
        </w:tabs>
        <w:ind w:firstLine="993"/>
        <w:jc w:val="both"/>
        <w:rPr>
          <w:rStyle w:val="Fontdeparagrafimplicit1"/>
          <w:b/>
        </w:rPr>
      </w:pPr>
    </w:p>
    <w:p w14:paraId="028628DA" w14:textId="77777777" w:rsidR="00ED03C9" w:rsidRDefault="00B234EC">
      <w:pPr>
        <w:ind w:left="-567"/>
        <w:jc w:val="center"/>
        <w:rPr>
          <w:rStyle w:val="Fontdeparagrafimplicit1"/>
          <w:b/>
        </w:rPr>
      </w:pPr>
      <w:r>
        <w:rPr>
          <w:rStyle w:val="Fontdeparagrafimplicit1"/>
          <w:b/>
        </w:rPr>
        <w:t>Preşedinte                                        Judecător                                      Judecător</w:t>
      </w:r>
    </w:p>
    <w:p w14:paraId="6FD9F68E" w14:textId="60650F51" w:rsidR="00ED03C9" w:rsidRDefault="00B234EC">
      <w:pPr>
        <w:ind w:left="-567"/>
        <w:jc w:val="center"/>
        <w:rPr>
          <w:rStyle w:val="Fontdeparagrafimplicit1"/>
          <w:b/>
        </w:rPr>
      </w:pPr>
      <w:r>
        <w:rPr>
          <w:rStyle w:val="Fontdeparagrafimplicit1"/>
          <w:b/>
        </w:rPr>
        <w:t>...                                                         A0017                                           ....</w:t>
      </w:r>
    </w:p>
    <w:p w14:paraId="17D48ABF" w14:textId="50726722" w:rsidR="00ED03C9" w:rsidRDefault="00B234EC">
      <w:pPr>
        <w:ind w:left="-567"/>
        <w:jc w:val="center"/>
        <w:rPr>
          <w:rStyle w:val="Fontdeparagrafimplicit1"/>
          <w:b/>
        </w:rPr>
      </w:pPr>
      <w:r>
        <w:rPr>
          <w:rStyle w:val="Fontdeparagrafimplicit1"/>
          <w:b/>
        </w:rPr>
        <w:t xml:space="preserve"> </w:t>
      </w:r>
    </w:p>
    <w:p w14:paraId="4FDB6DD2" w14:textId="77777777" w:rsidR="00ED03C9" w:rsidRDefault="00ED03C9">
      <w:pPr>
        <w:ind w:left="-567" w:firstLine="567"/>
        <w:jc w:val="center"/>
        <w:rPr>
          <w:rStyle w:val="Fontdeparagrafimplicit1"/>
          <w:b/>
        </w:rPr>
      </w:pPr>
    </w:p>
    <w:p w14:paraId="3010E01D" w14:textId="77777777" w:rsidR="00ED03C9" w:rsidRDefault="00ED03C9">
      <w:pPr>
        <w:ind w:left="-567" w:firstLine="567"/>
        <w:jc w:val="center"/>
        <w:rPr>
          <w:rStyle w:val="Fontdeparagrafimplicit1"/>
          <w:b/>
        </w:rPr>
      </w:pPr>
    </w:p>
    <w:p w14:paraId="127295AD" w14:textId="77777777" w:rsidR="00ED03C9" w:rsidRDefault="00ED03C9">
      <w:pPr>
        <w:ind w:left="-567" w:firstLine="567"/>
        <w:jc w:val="center"/>
        <w:rPr>
          <w:rStyle w:val="Fontdeparagrafimplicit1"/>
          <w:b/>
        </w:rPr>
      </w:pPr>
    </w:p>
    <w:p w14:paraId="50E4B8DB" w14:textId="77777777" w:rsidR="00ED03C9" w:rsidRDefault="00B234EC">
      <w:pPr>
        <w:ind w:left="-567" w:firstLine="567"/>
        <w:jc w:val="center"/>
        <w:rPr>
          <w:rStyle w:val="Fontdeparagrafimplicit1"/>
          <w:b/>
        </w:rPr>
      </w:pPr>
      <w:r>
        <w:rPr>
          <w:rStyle w:val="Fontdeparagrafimplicit1"/>
          <w:b/>
        </w:rPr>
        <w:t>Grefier</w:t>
      </w:r>
    </w:p>
    <w:p w14:paraId="71948D6F" w14:textId="27C55054" w:rsidR="00ED03C9" w:rsidRDefault="00B234EC">
      <w:pPr>
        <w:ind w:left="-567" w:firstLine="567"/>
        <w:jc w:val="center"/>
        <w:rPr>
          <w:rStyle w:val="Fontdeparagrafimplicit1"/>
          <w:b/>
        </w:rPr>
      </w:pPr>
      <w:r>
        <w:rPr>
          <w:rStyle w:val="Fontdeparagrafimplicit1"/>
          <w:b/>
        </w:rPr>
        <w:t>....</w:t>
      </w:r>
    </w:p>
    <w:p w14:paraId="6B02E065" w14:textId="77777777" w:rsidR="00ED03C9" w:rsidRDefault="00ED03C9">
      <w:pPr>
        <w:tabs>
          <w:tab w:val="left" w:pos="851"/>
        </w:tabs>
        <w:ind w:left="-567"/>
        <w:rPr>
          <w:rStyle w:val="Fontdeparagrafimplicit1"/>
        </w:rPr>
      </w:pPr>
    </w:p>
    <w:p w14:paraId="6867734E" w14:textId="77777777" w:rsidR="00ED03C9" w:rsidRDefault="00ED03C9">
      <w:pPr>
        <w:tabs>
          <w:tab w:val="left" w:pos="851"/>
        </w:tabs>
        <w:ind w:firstLine="993"/>
        <w:rPr>
          <w:rStyle w:val="Fontdeparagrafimplicit1"/>
          <w:b/>
        </w:rPr>
      </w:pPr>
    </w:p>
    <w:p w14:paraId="63BF77D6" w14:textId="77777777" w:rsidR="00ED03C9" w:rsidRDefault="00ED03C9">
      <w:pPr>
        <w:tabs>
          <w:tab w:val="left" w:pos="851"/>
        </w:tabs>
        <w:ind w:firstLine="993"/>
        <w:jc w:val="right"/>
        <w:rPr>
          <w:rStyle w:val="Fontdeparagrafimplicit1"/>
          <w:b/>
        </w:rPr>
      </w:pPr>
    </w:p>
    <w:p w14:paraId="43653A4A" w14:textId="77777777" w:rsidR="00ED03C9" w:rsidRDefault="00ED03C9">
      <w:pPr>
        <w:tabs>
          <w:tab w:val="left" w:pos="851"/>
        </w:tabs>
        <w:ind w:left="-567" w:firstLine="567"/>
        <w:jc w:val="right"/>
        <w:rPr>
          <w:rStyle w:val="Fontdeparagrafimplicit1"/>
          <w:b/>
        </w:rPr>
      </w:pPr>
    </w:p>
    <w:p w14:paraId="1D79F1CA" w14:textId="64E7D18D" w:rsidR="00ED03C9" w:rsidRDefault="00B234EC">
      <w:pPr>
        <w:ind w:firstLine="993"/>
        <w:rPr>
          <w:rStyle w:val="Fontdeparagrafimplicit1"/>
          <w:sz w:val="16"/>
        </w:rPr>
      </w:pPr>
      <w:r>
        <w:rPr>
          <w:rStyle w:val="Fontdeparagrafimplicit1"/>
          <w:sz w:val="16"/>
        </w:rPr>
        <w:t>Red.jud.</w:t>
      </w:r>
      <w:r w:rsidR="00525589">
        <w:rPr>
          <w:rStyle w:val="Fontdeparagrafimplicit1"/>
          <w:sz w:val="16"/>
        </w:rPr>
        <w:t>A0017</w:t>
      </w:r>
      <w:r>
        <w:rPr>
          <w:rStyle w:val="Fontdeparagrafimplicit1"/>
          <w:sz w:val="16"/>
        </w:rPr>
        <w:t>. /2 ex./</w:t>
      </w:r>
      <w:r w:rsidR="00525589">
        <w:rPr>
          <w:rStyle w:val="Fontdeparagrafimplicit1"/>
          <w:sz w:val="16"/>
        </w:rPr>
        <w:t>...</w:t>
      </w:r>
      <w:r>
        <w:rPr>
          <w:rStyle w:val="Fontdeparagrafimplicit1"/>
          <w:sz w:val="16"/>
        </w:rPr>
        <w:t>2025</w:t>
      </w:r>
    </w:p>
    <w:p w14:paraId="6A3DA21B" w14:textId="3184C2D5" w:rsidR="00ED03C9" w:rsidRDefault="00B234EC">
      <w:pPr>
        <w:ind w:firstLine="993"/>
        <w:rPr>
          <w:rStyle w:val="Fontdeparagrafimplicit1"/>
          <w:sz w:val="16"/>
        </w:rPr>
      </w:pPr>
      <w:r>
        <w:rPr>
          <w:rStyle w:val="Fontdeparagrafimplicit1"/>
          <w:sz w:val="16"/>
        </w:rPr>
        <w:t xml:space="preserve">Jud. fond </w:t>
      </w:r>
      <w:r w:rsidR="00525589">
        <w:rPr>
          <w:rStyle w:val="Fontdeparagrafimplicit1"/>
          <w:sz w:val="16"/>
        </w:rPr>
        <w:t>....</w:t>
      </w:r>
      <w:r>
        <w:rPr>
          <w:rStyle w:val="Fontdeparagrafimplicit1"/>
          <w:sz w:val="16"/>
        </w:rPr>
        <w:t xml:space="preserve">. – Tribunalul </w:t>
      </w:r>
      <w:r w:rsidR="00525589">
        <w:rPr>
          <w:rStyle w:val="Fontdeparagrafimplicit1"/>
          <w:sz w:val="16"/>
        </w:rPr>
        <w:t>X</w:t>
      </w:r>
    </w:p>
    <w:p w14:paraId="5980C9D6" w14:textId="61575011" w:rsidR="00ED03C9" w:rsidRDefault="00B234EC">
      <w:pPr>
        <w:ind w:firstLine="993"/>
        <w:rPr>
          <w:rStyle w:val="Fontdeparagrafimplicit1"/>
          <w:sz w:val="16"/>
        </w:rPr>
      </w:pPr>
      <w:r>
        <w:rPr>
          <w:rStyle w:val="Fontdeparagrafimplicit1"/>
          <w:sz w:val="16"/>
        </w:rPr>
        <w:t xml:space="preserve">Secţia </w:t>
      </w:r>
      <w:r w:rsidR="00525589">
        <w:rPr>
          <w:rStyle w:val="Fontdeparagrafimplicit1"/>
          <w:sz w:val="16"/>
        </w:rPr>
        <w:t>....</w:t>
      </w:r>
      <w:r>
        <w:rPr>
          <w:rStyle w:val="Fontdeparagrafimplicit1"/>
          <w:sz w:val="16"/>
        </w:rPr>
        <w:t xml:space="preserve"> Contencios Administrativ şi fiscal</w:t>
      </w:r>
    </w:p>
    <w:p w14:paraId="3CCC0364" w14:textId="77777777" w:rsidR="00ED03C9" w:rsidRDefault="00ED03C9">
      <w:pPr>
        <w:ind w:firstLine="993"/>
        <w:rPr>
          <w:rStyle w:val="Fontdeparagrafimplicit1"/>
          <w:sz w:val="16"/>
        </w:rPr>
      </w:pPr>
    </w:p>
    <w:p w14:paraId="79AAD556" w14:textId="77777777" w:rsidR="00ED03C9" w:rsidRDefault="00ED03C9">
      <w:pPr>
        <w:ind w:firstLine="993"/>
        <w:rPr>
          <w:rStyle w:val="Fontdeparagrafimplicit1"/>
          <w:sz w:val="16"/>
        </w:rPr>
      </w:pPr>
    </w:p>
    <w:p w14:paraId="29C7456C" w14:textId="77777777" w:rsidR="00ED03C9" w:rsidRDefault="00ED03C9">
      <w:pPr>
        <w:ind w:firstLine="993"/>
        <w:rPr>
          <w:rStyle w:val="Fontdeparagrafimplicit1"/>
          <w:sz w:val="16"/>
        </w:rPr>
      </w:pPr>
    </w:p>
    <w:p w14:paraId="5CBEF967" w14:textId="77777777" w:rsidR="00ED03C9" w:rsidRDefault="00B234EC">
      <w:pPr>
        <w:ind w:firstLine="993"/>
        <w:jc w:val="right"/>
        <w:rPr>
          <w:rStyle w:val="Fontdeparagrafimplicit1"/>
          <w:sz w:val="16"/>
        </w:rPr>
      </w:pPr>
      <w:r>
        <w:rPr>
          <w:rStyle w:val="Fontdeparagrafimplicit1"/>
          <w:sz w:val="16"/>
        </w:rPr>
        <w:t>lucrat 2 comunicări la data de _____________</w:t>
      </w:r>
    </w:p>
    <w:p w14:paraId="2572D4F6" w14:textId="77777777" w:rsidR="00ED03C9" w:rsidRDefault="00ED03C9">
      <w:pPr>
        <w:ind w:firstLine="993"/>
        <w:jc w:val="right"/>
        <w:rPr>
          <w:rStyle w:val="Fontdeparagrafimplicit1"/>
          <w:sz w:val="16"/>
        </w:rPr>
      </w:pPr>
    </w:p>
    <w:p w14:paraId="4160B477" w14:textId="77777777" w:rsidR="00ED03C9" w:rsidRDefault="00ED03C9">
      <w:pPr>
        <w:ind w:firstLine="993"/>
        <w:jc w:val="right"/>
        <w:rPr>
          <w:rStyle w:val="Fontdeparagrafimplicit1"/>
          <w:sz w:val="16"/>
        </w:rPr>
      </w:pPr>
    </w:p>
    <w:p w14:paraId="35F7FD91" w14:textId="77777777" w:rsidR="00ED03C9" w:rsidRDefault="00B234EC">
      <w:pPr>
        <w:ind w:firstLine="993"/>
        <w:jc w:val="right"/>
        <w:rPr>
          <w:rStyle w:val="Fontdeparagrafimplicit1"/>
        </w:rPr>
      </w:pPr>
      <w:r>
        <w:rPr>
          <w:rStyle w:val="Fontdeparagrafimplicit1"/>
          <w:sz w:val="16"/>
        </w:rPr>
        <w:t>semnătură grefier______________</w:t>
      </w:r>
    </w:p>
    <w:p w14:paraId="05C77055" w14:textId="77777777" w:rsidR="00ED03C9" w:rsidRDefault="00ED03C9">
      <w:pPr>
        <w:tabs>
          <w:tab w:val="left" w:pos="851"/>
        </w:tabs>
        <w:ind w:firstLine="993"/>
        <w:jc w:val="both"/>
        <w:rPr>
          <w:rStyle w:val="Fontdeparagrafimplicit1"/>
          <w:sz w:val="16"/>
        </w:rPr>
      </w:pPr>
    </w:p>
    <w:p w14:paraId="4F2D1963" w14:textId="77777777" w:rsidR="00ED03C9" w:rsidRDefault="00ED03C9">
      <w:pPr>
        <w:rPr>
          <w:rStyle w:val="Fontdeparagrafimplicit1"/>
        </w:rPr>
      </w:pPr>
    </w:p>
    <w:p w14:paraId="1033C0C3" w14:textId="77777777" w:rsidR="00ED03C9" w:rsidRDefault="00ED03C9">
      <w:pPr>
        <w:rPr>
          <w:rStyle w:val="Fontdeparagrafimplicit1"/>
        </w:rPr>
      </w:pPr>
    </w:p>
    <w:bookmarkEnd w:id="0"/>
    <w:p w14:paraId="2C76AB7E" w14:textId="77777777" w:rsidR="00ED03C9" w:rsidRDefault="00ED03C9">
      <w:pPr>
        <w:rPr>
          <w:rStyle w:val="Fontdeparagrafimplicit1"/>
        </w:rPr>
      </w:pPr>
    </w:p>
    <w:p w14:paraId="5F9DD285" w14:textId="77777777" w:rsidR="00ED03C9" w:rsidRDefault="00ED03C9">
      <w:pPr>
        <w:rPr>
          <w:rStyle w:val="Fontdeparagrafimplicit1"/>
        </w:rPr>
      </w:pPr>
    </w:p>
    <w:sectPr w:rsidR="00ED03C9">
      <w:footerReference w:type="default" r:id="rId7"/>
      <w:pgSz w:w="11906" w:h="16838"/>
      <w:pgMar w:top="851" w:right="851"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69C03" w14:textId="77777777" w:rsidR="00B234EC" w:rsidRDefault="00B234EC">
      <w:r>
        <w:separator/>
      </w:r>
    </w:p>
  </w:endnote>
  <w:endnote w:type="continuationSeparator" w:id="0">
    <w:p w14:paraId="67B9C844" w14:textId="77777777" w:rsidR="00B234EC" w:rsidRDefault="00B2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6FB7" w14:textId="77777777" w:rsidR="00ED03C9" w:rsidRDefault="00B234EC">
    <w:pPr>
      <w:pStyle w:val="Subsol1"/>
      <w:jc w:val="center"/>
    </w:pPr>
    <w:r>
      <w:fldChar w:fldCharType="begin"/>
    </w:r>
    <w:r>
      <w:instrText>PAGE   \* MERGEFORMAT</w:instrText>
    </w:r>
    <w:r>
      <w:fldChar w:fldCharType="separate"/>
    </w:r>
    <w:r>
      <w:t>#</w:t>
    </w:r>
    <w:r>
      <w:fldChar w:fldCharType="end"/>
    </w:r>
  </w:p>
  <w:p w14:paraId="0C91B486" w14:textId="77777777" w:rsidR="00ED03C9" w:rsidRDefault="00ED03C9">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423F9" w14:textId="77777777" w:rsidR="00B234EC" w:rsidRDefault="00B234EC">
      <w:r>
        <w:separator/>
      </w:r>
    </w:p>
  </w:footnote>
  <w:footnote w:type="continuationSeparator" w:id="0">
    <w:p w14:paraId="695CD22C" w14:textId="77777777" w:rsidR="00B234EC" w:rsidRDefault="00B234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buc.just.ro/ecris_cdms/document_upload.aspx?id_document=200000005247318&amp;id_departament=54&amp;id_sesiune=5908903&amp;id_user=1485&amp;id_institutie=2&amp;actiune=modifica"/>
  </w:docVars>
  <w:rsids>
    <w:rsidRoot w:val="00ED03C9"/>
    <w:rsid w:val="000B10DC"/>
    <w:rsid w:val="00525589"/>
    <w:rsid w:val="007878A0"/>
    <w:rsid w:val="00B234EC"/>
    <w:rsid w:val="00C32EB4"/>
    <w:rsid w:val="00ED0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3DB96"/>
  <w15:docId w15:val="{C7B3411A-482D-4732-A8DF-A96C2197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13"/>
        <w:tab w:val="right" w:pos="9026"/>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act:136611%2043728848"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2266</Words>
  <Characters>13148</Characters>
  <Application>Microsoft Office Word</Application>
  <DocSecurity>0</DocSecurity>
  <Lines>109</Lines>
  <Paragraphs>30</Paragraphs>
  <ScaleCrop>false</ScaleCrop>
  <Manager/>
  <Company/>
  <LinksUpToDate>false</LinksUpToDate>
  <CharactersWithSpaces>15384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2026-09-03T08:15:00Z</dcterms:created>
  <dcterms:modified xsi:type="dcterms:W3CDTF">2026-09-03T08:15:00Z</dcterms:modified>
  <cp:category/>
  <dc:identifier/>
  <cp:contentStatus/>
  <dc:language/>
  <cp:version/>
</cp:coreProperties>
</file>