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ECB3D" w14:textId="7A201122" w:rsidR="006A4ABD" w:rsidRPr="006A4ABD" w:rsidRDefault="006A4ABD" w:rsidP="006A4ABD">
      <w:pPr>
        <w:spacing w:after="0" w:line="240" w:lineRule="auto"/>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2D57B43C" w14:textId="25597CF9" w:rsidR="006A4ABD" w:rsidRPr="006A4ABD" w:rsidRDefault="006A4ABD" w:rsidP="006A4ABD">
      <w:pPr>
        <w:spacing w:after="0" w:line="240" w:lineRule="auto"/>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 xml:space="preserve">Dosar nr. </w:t>
      </w:r>
      <w:r>
        <w:rPr>
          <w:rFonts w:ascii="Times New Roman" w:eastAsia="Times New Roman" w:hAnsi="Times New Roman" w:cs="Times New Roman"/>
          <w:b/>
          <w:kern w:val="0"/>
          <w:sz w:val="24"/>
          <w:szCs w:val="20"/>
          <w:lang w:val="ro-RO" w:eastAsia="en-GB"/>
          <w14:ligatures w14:val="none"/>
        </w:rPr>
        <w:t>...........</w:t>
      </w:r>
    </w:p>
    <w:p w14:paraId="18AA29CE"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 O M Â N I A</w:t>
      </w:r>
    </w:p>
    <w:p w14:paraId="53128CAA"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09AB44E1" w14:textId="0E5AD3D8"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0A7E2D87" w14:textId="6653AB33" w:rsidR="006A4ABD" w:rsidRPr="006A4ABD" w:rsidRDefault="006A4ABD" w:rsidP="006A4ABD">
      <w:pPr>
        <w:spacing w:after="0" w:line="240" w:lineRule="auto"/>
        <w:jc w:val="center"/>
        <w:rPr>
          <w:rFonts w:ascii="Times New Roman" w:eastAsia="Times New Roman" w:hAnsi="Times New Roman" w:cs="Times New Roman"/>
          <w:kern w:val="0"/>
          <w:sz w:val="24"/>
          <w:szCs w:val="20"/>
          <w:lang w:val="fr-FR"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25A559F4" w14:textId="77777777" w:rsidR="006A4ABD" w:rsidRPr="006A4ABD" w:rsidRDefault="006A4ABD" w:rsidP="006A4ABD">
      <w:pPr>
        <w:spacing w:after="0" w:line="240" w:lineRule="auto"/>
        <w:rPr>
          <w:rFonts w:ascii="Times New Roman" w:eastAsia="Times New Roman" w:hAnsi="Times New Roman" w:cs="Times New Roman"/>
          <w:kern w:val="0"/>
          <w:sz w:val="24"/>
          <w:szCs w:val="20"/>
          <w:lang w:val="ro-RO" w:eastAsia="en-GB"/>
          <w14:ligatures w14:val="none"/>
        </w:rPr>
      </w:pPr>
    </w:p>
    <w:p w14:paraId="5378AB2C" w14:textId="31D53E34" w:rsidR="006A4ABD" w:rsidRPr="006A4ABD" w:rsidRDefault="006A4ABD" w:rsidP="006A4ABD">
      <w:pPr>
        <w:spacing w:after="0" w:line="240" w:lineRule="auto"/>
        <w:jc w:val="center"/>
        <w:rPr>
          <w:rFonts w:ascii="Times New Roman" w:eastAsia="Times New Roman" w:hAnsi="Times New Roman" w:cs="Times New Roman"/>
          <w:b/>
          <w:kern w:val="0"/>
          <w:sz w:val="28"/>
          <w:szCs w:val="20"/>
          <w:lang w:val="ro-RO" w:eastAsia="en-GB"/>
          <w14:ligatures w14:val="none"/>
        </w:rPr>
      </w:pPr>
      <w:r>
        <w:rPr>
          <w:rFonts w:ascii="Times New Roman" w:eastAsia="Times New Roman" w:hAnsi="Times New Roman" w:cs="Times New Roman"/>
          <w:b/>
          <w:kern w:val="0"/>
          <w:sz w:val="28"/>
          <w:szCs w:val="20"/>
          <w:lang w:val="ro-RO" w:eastAsia="en-GB"/>
          <w14:ligatures w14:val="none"/>
        </w:rPr>
        <w:t>HOTĂRÂREA NR. 8</w:t>
      </w:r>
    </w:p>
    <w:p w14:paraId="574BA667" w14:textId="77777777" w:rsidR="006A4ABD" w:rsidRPr="006A4ABD" w:rsidRDefault="006A4ABD" w:rsidP="006A4ABD">
      <w:pPr>
        <w:spacing w:after="0" w:line="240" w:lineRule="auto"/>
        <w:jc w:val="center"/>
        <w:rPr>
          <w:rFonts w:ascii="Times New Roman" w:eastAsia="Times New Roman" w:hAnsi="Times New Roman" w:cs="Times New Roman"/>
          <w:b/>
          <w:kern w:val="0"/>
          <w:sz w:val="28"/>
          <w:szCs w:val="20"/>
          <w:lang w:val="ro-RO" w:eastAsia="en-GB"/>
          <w14:ligatures w14:val="none"/>
        </w:rPr>
      </w:pPr>
    </w:p>
    <w:p w14:paraId="0C3B9B15" w14:textId="385A7F1D"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Şedinţa </w:t>
      </w:r>
      <w:bookmarkStart w:id="0" w:name="tip_sedinta"/>
      <w:r w:rsidRPr="006A4ABD">
        <w:rPr>
          <w:rFonts w:ascii="Times New Roman" w:eastAsia="Times New Roman" w:hAnsi="Times New Roman" w:cs="Times New Roman"/>
          <w:kern w:val="0"/>
          <w:sz w:val="24"/>
          <w:szCs w:val="20"/>
          <w:lang w:val="ro-RO" w:eastAsia="en-GB"/>
          <w14:ligatures w14:val="none"/>
        </w:rPr>
        <w:t>publică</w:t>
      </w:r>
      <w:bookmarkEnd w:id="0"/>
      <w:r w:rsidRPr="006A4ABD">
        <w:rPr>
          <w:rFonts w:ascii="Times New Roman" w:eastAsia="Times New Roman" w:hAnsi="Times New Roman" w:cs="Times New Roman"/>
          <w:kern w:val="0"/>
          <w:sz w:val="24"/>
          <w:szCs w:val="20"/>
          <w:lang w:val="ro-RO" w:eastAsia="en-GB"/>
          <w14:ligatures w14:val="none"/>
        </w:rPr>
        <w:t xml:space="preserve"> din data de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w:t>
      </w:r>
    </w:p>
    <w:p w14:paraId="65B92A0D"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Completul constituit din:</w:t>
      </w:r>
    </w:p>
    <w:p w14:paraId="0B8F221F" w14:textId="1A8B4209"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PREŞEDINTE: </w:t>
      </w:r>
      <w:r>
        <w:rPr>
          <w:rFonts w:ascii="Times New Roman" w:eastAsia="Times New Roman" w:hAnsi="Times New Roman" w:cs="Times New Roman"/>
          <w:kern w:val="0"/>
          <w:sz w:val="24"/>
          <w:szCs w:val="20"/>
          <w:lang w:val="ro-RO" w:eastAsia="en-GB"/>
          <w14:ligatures w14:val="none"/>
        </w:rPr>
        <w:t>A0010</w:t>
      </w:r>
    </w:p>
    <w:p w14:paraId="0D1CBA3C"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22214167" w14:textId="2890762D"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p>
    <w:p w14:paraId="70D6C955"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7AF6B591"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65A066E5" w14:textId="62A09461"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Pe rol se află judecarea cauzei contencios administrativ şi fiscal privind cererea de chemare în judecată formulată de reclamanta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în contradictoriu cu pârâtul MINISTERUL SĂNĂTĂŢII - DIRECŢIA POLITICA MEDICAMENTULUI, A DISPOZITIVELOR ŞI TEHNOLOGIEI MEDICALE, având ca obiect anulare act.</w:t>
      </w:r>
    </w:p>
    <w:p w14:paraId="55985CB2" w14:textId="6E045C53"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La apelul nominal făcut în şedinţa </w:t>
      </w:r>
      <w:bookmarkStart w:id="1" w:name="tip_sedinta_copie_1"/>
      <w:r w:rsidRPr="006A4ABD">
        <w:rPr>
          <w:rFonts w:ascii="Times New Roman" w:eastAsia="Times New Roman" w:hAnsi="Times New Roman" w:cs="Times New Roman"/>
          <w:kern w:val="0"/>
          <w:sz w:val="24"/>
          <w:szCs w:val="20"/>
          <w:lang w:val="ro-RO" w:eastAsia="en-GB"/>
          <w14:ligatures w14:val="none"/>
        </w:rPr>
        <w:t>publică</w:t>
      </w:r>
      <w:bookmarkEnd w:id="1"/>
      <w:r w:rsidRPr="006A4ABD">
        <w:rPr>
          <w:rFonts w:ascii="Times New Roman" w:eastAsia="Times New Roman" w:hAnsi="Times New Roman" w:cs="Times New Roman"/>
          <w:kern w:val="0"/>
          <w:sz w:val="24"/>
          <w:szCs w:val="20"/>
          <w:lang w:val="ro-RO" w:eastAsia="en-GB"/>
          <w14:ligatures w14:val="none"/>
        </w:rPr>
        <w:t xml:space="preserve"> se prezintă reclamanta prin administrator judiciar </w:t>
      </w:r>
      <w:r>
        <w:rPr>
          <w:rFonts w:ascii="Times New Roman" w:eastAsia="Times New Roman" w:hAnsi="Times New Roman" w:cs="Times New Roman"/>
          <w:kern w:val="0"/>
          <w:sz w:val="24"/>
          <w:szCs w:val="20"/>
          <w:lang w:val="ro-RO" w:eastAsia="en-GB"/>
          <w14:ligatures w14:val="none"/>
        </w:rPr>
        <w:t>B</w:t>
      </w:r>
      <w:r w:rsidRPr="006A4ABD">
        <w:rPr>
          <w:rFonts w:ascii="Times New Roman" w:eastAsia="Times New Roman" w:hAnsi="Times New Roman" w:cs="Times New Roman"/>
          <w:kern w:val="0"/>
          <w:sz w:val="24"/>
          <w:szCs w:val="20"/>
          <w:lang w:val="ro-RO" w:eastAsia="en-GB"/>
          <w14:ligatures w14:val="none"/>
        </w:rPr>
        <w:t>, lipsă fiind reprezentantul pârâtului.</w:t>
      </w:r>
    </w:p>
    <w:p w14:paraId="5128FC05"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Procedura de citare este </w:t>
      </w:r>
      <w:bookmarkStart w:id="2" w:name="tip_procedura"/>
      <w:r w:rsidRPr="006A4ABD">
        <w:rPr>
          <w:rFonts w:ascii="Times New Roman" w:eastAsia="Times New Roman" w:hAnsi="Times New Roman" w:cs="Times New Roman"/>
          <w:kern w:val="0"/>
          <w:sz w:val="24"/>
          <w:szCs w:val="20"/>
          <w:lang w:val="ro-RO" w:eastAsia="en-GB"/>
          <w14:ligatures w14:val="none"/>
        </w:rPr>
        <w:t>legal</w:t>
      </w:r>
      <w:bookmarkEnd w:id="2"/>
      <w:r w:rsidRPr="006A4ABD">
        <w:rPr>
          <w:rFonts w:ascii="Times New Roman" w:eastAsia="Times New Roman" w:hAnsi="Times New Roman" w:cs="Times New Roman"/>
          <w:kern w:val="0"/>
          <w:sz w:val="24"/>
          <w:szCs w:val="20"/>
          <w:lang w:val="ro-RO" w:eastAsia="en-GB"/>
          <w14:ligatures w14:val="none"/>
        </w:rPr>
        <w:t xml:space="preserve"> îndeplinită.</w:t>
      </w:r>
    </w:p>
    <w:p w14:paraId="2C59201D"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S-a făcut </w:t>
      </w:r>
      <w:bookmarkStart w:id="3" w:name="tip_doc_despre_cauza"/>
      <w:r w:rsidRPr="006A4ABD">
        <w:rPr>
          <w:rFonts w:ascii="Times New Roman" w:eastAsia="Times New Roman" w:hAnsi="Times New Roman" w:cs="Times New Roman"/>
          <w:kern w:val="0"/>
          <w:sz w:val="24"/>
          <w:szCs w:val="20"/>
          <w:lang w:val="ro-RO" w:eastAsia="en-GB"/>
          <w14:ligatures w14:val="none"/>
        </w:rPr>
        <w:t>referatul</w:t>
      </w:r>
      <w:bookmarkEnd w:id="3"/>
      <w:r w:rsidRPr="006A4ABD">
        <w:rPr>
          <w:rFonts w:ascii="Times New Roman" w:eastAsia="Times New Roman" w:hAnsi="Times New Roman" w:cs="Times New Roman"/>
          <w:kern w:val="0"/>
          <w:sz w:val="24"/>
          <w:szCs w:val="20"/>
          <w:lang w:val="ro-RO" w:eastAsia="en-GB"/>
          <w14:ligatures w14:val="none"/>
        </w:rPr>
        <w:t xml:space="preserve"> cauzei de către </w:t>
      </w:r>
      <w:bookmarkStart w:id="4" w:name="functia_celui_care_f"/>
      <w:r w:rsidRPr="006A4ABD">
        <w:rPr>
          <w:rFonts w:ascii="Times New Roman" w:eastAsia="Times New Roman" w:hAnsi="Times New Roman" w:cs="Times New Roman"/>
          <w:kern w:val="0"/>
          <w:sz w:val="24"/>
          <w:szCs w:val="20"/>
          <w:lang w:val="ro-RO" w:eastAsia="en-GB"/>
          <w14:ligatures w14:val="none"/>
        </w:rPr>
        <w:t>grefier</w:t>
      </w:r>
      <w:bookmarkEnd w:id="4"/>
      <w:r w:rsidRPr="006A4ABD">
        <w:rPr>
          <w:rFonts w:ascii="Times New Roman" w:eastAsia="Times New Roman" w:hAnsi="Times New Roman" w:cs="Times New Roman"/>
          <w:kern w:val="0"/>
          <w:sz w:val="24"/>
          <w:szCs w:val="20"/>
          <w:lang w:val="ro-RO" w:eastAsia="en-GB"/>
          <w14:ligatures w14:val="none"/>
        </w:rPr>
        <w:t xml:space="preserve"> </w:t>
      </w:r>
      <w:bookmarkStart w:id="5" w:name="combo_invedereaza"/>
      <w:r w:rsidRPr="006A4ABD">
        <w:rPr>
          <w:rFonts w:ascii="Times New Roman" w:eastAsia="Times New Roman" w:hAnsi="Times New Roman" w:cs="Times New Roman"/>
          <w:kern w:val="0"/>
          <w:sz w:val="24"/>
          <w:szCs w:val="20"/>
          <w:lang w:val="ro-RO" w:eastAsia="en-GB"/>
          <w14:ligatures w14:val="none"/>
        </w:rPr>
        <w:t>care învederează</w:t>
      </w:r>
      <w:bookmarkEnd w:id="5"/>
      <w:r w:rsidRPr="006A4ABD">
        <w:rPr>
          <w:rFonts w:ascii="Times New Roman" w:eastAsia="Times New Roman" w:hAnsi="Times New Roman" w:cs="Times New Roman"/>
          <w:kern w:val="0"/>
          <w:sz w:val="24"/>
          <w:szCs w:val="20"/>
          <w:lang w:val="ro-RO" w:eastAsia="en-GB"/>
          <w14:ligatures w14:val="none"/>
        </w:rPr>
        <w:t xml:space="preserve"> următoarele: dosarul este la primul termen de judecată; cererea de chemare în judecată a fost timbrată (fila 32 dosar); pârâtul a depus întâmpinare şi precizări, care au fost comunicate; reclamanta a depus răspuns la întâmpinare; se solicită judecarea în lipsă.</w:t>
      </w:r>
    </w:p>
    <w:p w14:paraId="7231B945" w14:textId="4A9C9943"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Reclamanta, prin administrator judiciar, depune cerere de suspendare a judecării cauzei (filele 101 – 104 dosar), solicitând instanței ca în temeiul art.413 alin.1 pct.1 C.pr.civ. să dispună suspendarea până la soluționarea definitivă a dosarului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Întrucât dispoziţiile Ordinului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emis de către Ministrul Sănătății limitează cazurile de suspendare a autorizaţiei de funcționare a farmaciei la doar 5 ipoteze, în condiţiile în care art. 21 din Legea nr. 266/2008 prevede că suspendarea activităţii farmaciei poate fi dispusă pentru motive întemeiate sau motive obiective, a considerat că ordinul de ministru limitează în mod nepermis aceste situaţii, motiv pentru care a solicitat revocarea Ordinului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pe calea plângerii prealabile și, ulterior, anularea acestuia prin cererea de chemare în judecată ce formează obiect al dosarului anterior menționat.</w:t>
      </w:r>
    </w:p>
    <w:p w14:paraId="789D89DE"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4EBF08F3" w14:textId="0DDEC69C"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Instanța, având în vedere caracterul facultativ al cazului de suspendare invocat, întrucât obiectele celor două litigii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şi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sunt diferite, constată că nu se impune suspendarea judecării cauzei, sens în care respinge această cerere, neexistând o legătură evidentă, care să influențeze soluționarea prezentei cauze, între dezlegarea care va fi oferită în dosarul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w:t>
      </w:r>
      <w:r w:rsidRPr="006A4ABD">
        <w:rPr>
          <w:rFonts w:ascii="Times New Roman" w:eastAsia="Times New Roman" w:hAnsi="Times New Roman" w:cs="Times New Roman"/>
          <w:i/>
          <w:kern w:val="0"/>
          <w:sz w:val="24"/>
          <w:szCs w:val="20"/>
          <w:lang w:val="ro-RO" w:eastAsia="en-GB"/>
          <w14:ligatures w14:val="none"/>
        </w:rPr>
        <w:t>reclamanta solicită anularea ordinului de ministru</w:t>
      </w:r>
      <w:r w:rsidRPr="006A4ABD">
        <w:rPr>
          <w:rFonts w:ascii="Times New Roman" w:eastAsia="Times New Roman" w:hAnsi="Times New Roman" w:cs="Times New Roman"/>
          <w:kern w:val="0"/>
          <w:sz w:val="24"/>
          <w:szCs w:val="20"/>
          <w:lang w:val="ro-RO" w:eastAsia="en-GB"/>
          <w14:ligatures w14:val="none"/>
        </w:rPr>
        <w:t>), cu obiectul prezentului litigiu, în care se critică refuzul de realizare a unei operaţiuni administrative, respectiv de notare în anexa la autorizaţia de funcţionare a farmaciei a solicitării de suspendare a activităţii.</w:t>
      </w:r>
    </w:p>
    <w:p w14:paraId="11C7437F"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Curtea constată că pârâtul, prin întâmpinare şi prin completarea la întâmpinare (depusă în termen legal), a invocat excepţia inadmisibilităţii unui capăt de cerere şi excepţia tardivităţii, pe care o califică excepţia prescripţiei dreptului la acţiune, faţă de dispoziţiile art. 11 din Legea nr. 554/2004, excepţii pe care le pune în discuţie.</w:t>
      </w:r>
    </w:p>
    <w:p w14:paraId="24752439"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lastRenderedPageBreak/>
        <w:t>Reclamanta, prin administrator judiciar, solicită respingerea excepţiei tardivităţii. Într-adevăr, pârâtul nu a răspuns la plângerea sa prealabilă în termenul de 30 de zile, iar de la expirarea celor 30 de zile termenul de prescripţie a început să curgă. În schimb, în termenul de prescripţie, pârâtul a formulat răspuns la plângerea prealabilă, ceea ce, din punctul său de vedere, reprezintă un act de recunoaştere. Legea nr. 554/2004 nu derogă de la cazurile de înrerupere a prescripţiei prevăzute de art. 2537 Cod civil, prin urmare termenul de prescripţie a fost întrerupt, începând să curgă un nou termen de prescripţie.</w:t>
      </w:r>
    </w:p>
    <w:p w14:paraId="3CFB6451" w14:textId="3400955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În ceea ce priveşte excepţia prescripţiei, Curtea constată că pârâtul se raportează la comunicarea răspunsului la plângerea prealabilă, fără a depune la dosar nicio dovadă cu privire la data efectuării acestei comunicări. Prin urmare, având în vedere că, deşi invocă excepţia, partea interesată nu propune nicio probă, nicio dovadă în sprijinul excepţiei sale, având în vedere că de la dosarul cauzei nu se poate stabili cu exactitate data, momentul comunicării efective către reclamantă a adresei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/2021 ce formează obiect al contestaţiei,, Curtea constată că nu este întemeiată excepţia şi o respinge ca atare.</w:t>
      </w:r>
    </w:p>
    <w:p w14:paraId="13444774"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În privinţa excepţiei de inadmisibilitate, Curtea pune în discuţie unirea acesteia cu fondul cauzei.</w:t>
      </w:r>
    </w:p>
    <w:p w14:paraId="3D75E051"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Reclamanta, prin administrator judiciar, arată că este de acord cu unirea acestei excepţii cu fondul cauzei.</w:t>
      </w:r>
    </w:p>
    <w:p w14:paraId="6E2B5F96"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Având cuvântul asupra probelor, reclamanta, prin administrator judiciar, arată că pârâtul nu a depus întreaga documentaţie, sens în care o depune (filele 105 – 138 dosar) şi arată că reprezentă documentaţia încărcată în aplicaţia e_guvernare, dar și alte înscrisuri relevante.</w:t>
      </w:r>
    </w:p>
    <w:p w14:paraId="10FEE75E"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Curtea constată că nu este necesară comunicarea acestei documentaţii către pârât având în vedere că în esență sunt aceleași înscrisuri depuse de pârât la dosar în condițiile art.13 din Legea 554/2004 și despre care pârâtul are cunoştinţă; încuviinţează pentru ambele părţi administrarea probei cu înscrisuri şi, nemaifiind alte solicitări, constată terminată cercetarea judecătorească şi acordă cuvântul în dezbateri, pe excepţia inadmisibilităţii şi pe fondul cauzei.</w:t>
      </w:r>
    </w:p>
    <w:p w14:paraId="1DFECDF4" w14:textId="2832E8CB"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Reclamanta, având cuvântul prin administrator judiciar, solicită respingerea excepţiei inadmisibilităţii întrucât, potrivit art. 8 din Legea nr. 554/2004, se poate adresa instanţei de contencios administrativ şi cel care se consideră vătămat într-un drept sau interes legitim prin refuzul de efectuare a unei operaţiuni administrative. Adresa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/25.11.2021 emisă de către pârât în soluţionarea plângerii sale prealabile reprezintă un act emis în exercitarea în concret a atribuţiilor sale şi a Legii nr. 266/2008, prin urmare consideră că excepţia este neîntemeiată, solicitând să fie respinsă.</w:t>
      </w:r>
    </w:p>
    <w:p w14:paraId="532FC415" w14:textId="002724BE"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Pe fond, solicită admiterea acţiunii aşa cum a fost formulată, să fie obligat pârâtul să înscrie în anexa la autorizaţia de funcţionare a farmaciei menţiunea suspendării activităţii pentru o durată de 180 zile. Potrivit Ordinului de ministru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orice reluare de activitate cu schimbare de punct de lucru (art. 8 alin. 7) se va depune cu două luni înainte de exprirarea duratei de suspendare a activităţii cerute de lege. Deci, dacă doreşte să reia activitatea, trebuie mai întâi suspendată deoarece documentaţia trebuie depusă în acest termen de suspendare.</w:t>
      </w:r>
    </w:p>
    <w:p w14:paraId="6A824D8A"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  Interpelată de instanţă să precizeze dacă, urmare a soluţiei definitive pronunţate în procedura falimentului, notarea schimbării titularului de autorizaţie a fost realizată, reclamanta, prin administrator judiciar arată că a fost realizată exact în luna februarie, când a depus documentaţia, acest lucru rezultând din anexa nr. 2, pe care a depus-o pârâtul.</w:t>
      </w:r>
    </w:p>
    <w:p w14:paraId="23E5A743" w14:textId="3AAD0B7E"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Interpelată de instanţă să precizeze dacă apreciază cazurile reglementate de Ordinul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ca fiind exhaustive sau doar orientative, reclamanta, prin administrator judiciar, arată că sunt cu titlu de recomandare, nu este o enumerare exhaustivă, şi nici nu are cum să fie, atâta vreme cât legislaţia primară, în speţă Legea nr. 266/2008 îi dă posibilitatea să justifice un motiv obiectiv, un motiv întemeiat, şi altele decât cele relevate de Ordinul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p>
    <w:p w14:paraId="3C4E800B"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Curtea declară dezbaterile închise, conform art. 394 Cod procedură civilă, şi reţine cauza în pronunţare, pronunţarea urmând a avea loc prin intermediul grefei instanţei. </w:t>
      </w:r>
    </w:p>
    <w:p w14:paraId="2A930382" w14:textId="77777777" w:rsidR="006A4ABD" w:rsidRPr="006A4ABD" w:rsidRDefault="006A4ABD" w:rsidP="006A4ABD">
      <w:pPr>
        <w:spacing w:after="0" w:line="240" w:lineRule="auto"/>
        <w:jc w:val="center"/>
        <w:rPr>
          <w:rFonts w:ascii="Times New Roman" w:eastAsia="Times New Roman" w:hAnsi="Times New Roman" w:cs="Times New Roman"/>
          <w:b/>
          <w:kern w:val="0"/>
          <w:sz w:val="24"/>
          <w:szCs w:val="20"/>
          <w:lang w:val="ro-RO" w:eastAsia="en-GB"/>
          <w14:ligatures w14:val="none"/>
        </w:rPr>
      </w:pPr>
    </w:p>
    <w:p w14:paraId="64FA6013" w14:textId="77777777" w:rsidR="006A4ABD" w:rsidRPr="006A4ABD" w:rsidRDefault="006A4ABD" w:rsidP="006A4ABD">
      <w:pPr>
        <w:spacing w:after="0" w:line="240" w:lineRule="auto"/>
        <w:jc w:val="center"/>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Curtea de apel,</w:t>
      </w:r>
    </w:p>
    <w:p w14:paraId="7444AE89"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p>
    <w:p w14:paraId="09E8C4B8"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I. Situaţia litigioasă:</w:t>
      </w:r>
    </w:p>
    <w:p w14:paraId="41CF7F91" w14:textId="77777777" w:rsidR="006A4ABD" w:rsidRPr="006A4ABD" w:rsidRDefault="006A4ABD" w:rsidP="006A4ABD">
      <w:pPr>
        <w:spacing w:after="0" w:line="240" w:lineRule="auto"/>
        <w:ind w:left="709" w:firstLine="707"/>
        <w:jc w:val="both"/>
        <w:rPr>
          <w:rFonts w:ascii="Times New Roman" w:eastAsia="Times New Roman" w:hAnsi="Times New Roman" w:cs="Times New Roman"/>
          <w:b/>
          <w:kern w:val="0"/>
          <w:sz w:val="24"/>
          <w:szCs w:val="20"/>
          <w:lang w:val="ro-RO" w:eastAsia="en-GB"/>
          <w14:ligatures w14:val="none"/>
        </w:rPr>
      </w:pPr>
    </w:p>
    <w:p w14:paraId="505DA468" w14:textId="1CAFD546"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Reclamanta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societate în reorganizare judiciară, a solicitat pârâtului Ministerul Sănătății, prin cererea încărcată pe platforma electronică a acestuia, sub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24.02.2021, notarea suspendării autorizației de funcționare a farmaciei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pentru o perioadă de 180 de zile, în raport de prevederile art.21 din Legea nr.266/2008 și Ordinul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al Ministerului Sănătății.</w:t>
      </w:r>
    </w:p>
    <w:p w14:paraId="3379159B" w14:textId="239750C5"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După completarea documentației depuse, ministerul pârât, prin Direcția Politica Medicamentului, a Dispozitivelor și Tehnologiilor Medicale, a respins solicitarea de efectuare a operațiunii administrative, comunicându-i reclamantei acest refuz prin adresa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/30.09.2021. Ulterior acestui refuz reclamanta pretinde că a formulat plângere prealabilă, în temeiul art.7 din Legea 554/2004, ce i-a fost respinsă pentru aceleași argumente, potrivit adresei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/25.11.2021.</w:t>
      </w:r>
    </w:p>
    <w:p w14:paraId="473E9D65" w14:textId="2D914125"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Prin cererea de chemare în judecată reclamanta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societate în reorganizare judiciară, a chemat în judecată pârâtul MINISTERUL SĂNĂTĂŢII - Direcţia Politica Medicamentului, a Dispozitivelor şi Tehnologiilor Medicale, solicitând:</w:t>
      </w:r>
    </w:p>
    <w:p w14:paraId="48290D79" w14:textId="1ADBC56F"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1. anularea adresei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/25.11.2021 prin care a fost respinsă contestaţia administrativă formulată împotriva adresei-răspuns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/30.09.2021;</w:t>
      </w:r>
    </w:p>
    <w:p w14:paraId="69F6B65E" w14:textId="2E064590"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2. obligarea pârâtului la înscrierea pe anexa la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a menţiunii privind suspendarea voluntară a autorizaţiei de funcţionare pentru o perioadă de 180 de zile, începând cu data rămânerii definitive a hotărârii judecătoreşti.</w:t>
      </w:r>
    </w:p>
    <w:p w14:paraId="38BF2511"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17FDCCC1"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 xml:space="preserve">II. Apărările părților în proces: </w:t>
      </w:r>
    </w:p>
    <w:p w14:paraId="7EA4B7D7"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p>
    <w:p w14:paraId="102DA7FF"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a) Motivarea cererii de chemare în judecată;</w:t>
      </w:r>
    </w:p>
    <w:p w14:paraId="4292A2E6"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0E80336A" w14:textId="03D7E734"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Prin cererea înregistrată pe platforma PCUe sub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24.02.2021 şi înregistrată la Direcţia Politica Medicamentului, a Dispozitivelor şi Tehnologiilor Medicale sub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/25.02.2021, reclamanta a solicitat suspendarea autorizaţiei de funcţionare a farmaciei pentru o perioadă de 180 de zile, raportat la dispozițiile art. 21 din Legea 266/2008.</w:t>
      </w:r>
    </w:p>
    <w:p w14:paraId="67412586" w14:textId="323701DF"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În susţinerea cererii formulate pretinde că a depus documentele prevăzute la art. 8 din Ordinul M.S.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pentru aprobarea Normelor de aplicare a Legii 266/2008. </w:t>
      </w:r>
    </w:p>
    <w:p w14:paraId="4949727A" w14:textId="49878A3F"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Prin răspunsul înregistrat sub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/30.09.2021, D.P.M.D.T.M. a respins cererea de suspendare pentru următoarele motive:</w:t>
      </w:r>
    </w:p>
    <w:p w14:paraId="21B98245"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în susţinerea cererii de suspendare a fost depus un document care nu mai produce efecte din anul 2011 şi care nu este apreciat valabil de către pârât în anul 2021 pentru justificarea suspendării activităţii;</w:t>
      </w:r>
    </w:p>
    <w:p w14:paraId="64C763A3" w14:textId="3228675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-farmacistul-şef menţionat în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nu este </w:t>
      </w:r>
      <w:r>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 xml:space="preserve">, ci </w:t>
      </w:r>
      <w:r>
        <w:rPr>
          <w:rFonts w:ascii="Times New Roman" w:eastAsia="Times New Roman" w:hAnsi="Times New Roman" w:cs="Times New Roman"/>
          <w:kern w:val="0"/>
          <w:sz w:val="24"/>
          <w:szCs w:val="20"/>
          <w:lang w:val="ro-RO" w:eastAsia="en-GB"/>
          <w14:ligatures w14:val="none"/>
        </w:rPr>
        <w:t>D</w:t>
      </w:r>
      <w:r w:rsidRPr="006A4ABD">
        <w:rPr>
          <w:rFonts w:ascii="Times New Roman" w:eastAsia="Times New Roman" w:hAnsi="Times New Roman" w:cs="Times New Roman"/>
          <w:kern w:val="0"/>
          <w:sz w:val="24"/>
          <w:szCs w:val="20"/>
          <w:lang w:val="ro-RO" w:eastAsia="en-GB"/>
          <w14:ligatures w14:val="none"/>
        </w:rPr>
        <w:t>;</w:t>
      </w:r>
    </w:p>
    <w:p w14:paraId="5046447F" w14:textId="2A6F2823"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 declaraţia administratorului judiciar al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nu poate reprezenta un document care să motiveze cererea de suspendare a activităţii, în înţelesul legii farmaciei şi al legii privind procedura insolvenţei.</w:t>
      </w:r>
    </w:p>
    <w:p w14:paraId="32BEA5A3" w14:textId="2172970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Plângerea prealabilă a fost respinsă prin adresa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/25.11.2021, reclama susținând că se evocă, în esenţă, aceleaşi motive de respingere ca şi în refuzul comunicat prin adresa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/30.09.2021.</w:t>
      </w:r>
    </w:p>
    <w:p w14:paraId="56E52E76"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Reclamanta apreciază ca nefondate şi nelegale motivele de respingere comunicate prin răspunsul la plângerea prealabilă.</w:t>
      </w:r>
    </w:p>
    <w:p w14:paraId="31345350" w14:textId="5C72FEEF"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Arată că faţă de societatea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s-a deschis procedura generală a insolvenţei la data de 05.09.2012. Autorizaţia de funcţionare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a făcut obiectul unui contract de vânzare fond de comerţ încheiat de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şi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în frauda creditorilor.</w:t>
      </w:r>
    </w:p>
    <w:p w14:paraId="3F6CF3DD" w14:textId="145DFF48"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lastRenderedPageBreak/>
        <w:t xml:space="preserve">Prin Sentinţa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(dosar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Tribunalul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constatat reaua-credinţă a părţilor contractante şi a dispus anularea contractului de vânzare fond-comerţ încheiat între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si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Hotărârea Tribunalului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rămas definitivă prin respingerea recursului prin Decizia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Curţii de Apel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p>
    <w:p w14:paraId="51D429EB" w14:textId="503632F2"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Urmare a hotărârilor judecătoreşti menţionate, contractul ce stă la baza transferului autorizaţiei de funcţionare din structura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în cea a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a fost anulat. Totodată,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a fost obligată să restituie averii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w:t>
      </w:r>
    </w:p>
    <w:p w14:paraId="535904E5" w14:textId="71875232"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Pe cale de consecinţă, ca urmare a anulării contractului de vânzare fond comerţ, autorizaţia de funcţionare emisă în structura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de către Ministerul Sănătăţii - DPMDTM a devenit nulă, fiind un act subsecvent contractului anulat, iar Ministerul Sănătăţii - DPMDTM, ca şi autoritate de reglementare şi de supraveghere, luând cunoştinţă de dispoziţia instanţei, avea obligaţia de a restabili ordinea de drept prin luarea măsurilor necesare astfel încât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să redobândească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iar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să înceteze a mai opera o farmacie în baza autorizaţiei de funcţionare pe care a obţinut-o în baza actului desfiinţat.</w:t>
      </w:r>
    </w:p>
    <w:p w14:paraId="191DADF2"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Reclamanta consideră că suspendarea autorizaţiei pentru o perioadă de 180 de zile este o etapă firească şi necesară restabilirii situaţiei anterioare după desfiinţarea actului juridic principal şi pentru repunerea în funcţiune a unităţii farmaceutice în structura societăţii în patrimoniul căreia autorizaţia de funcţionare a revenit după o întrerupere de mai mulţi ani.</w:t>
      </w:r>
    </w:p>
    <w:p w14:paraId="22A6CDD8" w14:textId="1DA7A96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Reclamanta apreciază ca fiind contrară ordinii de drept respingerea cererii de suspendare a autorizaţiei de funcţionare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de către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pârâtul refuzând implicit revenirea în structura societății a autorizaţiei de funcţionare a farmaciei şi, totodată, ar fi continuat să protejeze interesele frauduloase ale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căreia i-ar fi permis să funcţioneze în baza unei autorizaţii de funcţionare devenite nule prin efectul anulării contractului de vanzare fond comerţ. </w:t>
      </w:r>
    </w:p>
    <w:p w14:paraId="7433A265"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În argumentaţia adusă de pârât sunt invocate dispozițiile art. 21 alin. (1) din Legea 266/2008, dar şi cele ale art. 8 alin. (3) din OMS 444/2019, fiind subliniată expresia </w:t>
      </w:r>
      <w:r w:rsidRPr="006A4ABD">
        <w:rPr>
          <w:rFonts w:ascii="Times New Roman" w:eastAsia="Times New Roman" w:hAnsi="Times New Roman" w:cs="Times New Roman"/>
          <w:i/>
          <w:kern w:val="0"/>
          <w:sz w:val="24"/>
          <w:szCs w:val="20"/>
          <w:lang w:val="ro-RO" w:eastAsia="en-GB"/>
          <w14:ligatures w14:val="none"/>
        </w:rPr>
        <w:t>poate aproba</w:t>
      </w:r>
      <w:r w:rsidRPr="006A4ABD">
        <w:rPr>
          <w:rFonts w:ascii="Times New Roman" w:eastAsia="Times New Roman" w:hAnsi="Times New Roman" w:cs="Times New Roman"/>
          <w:kern w:val="0"/>
          <w:sz w:val="24"/>
          <w:szCs w:val="20"/>
          <w:lang w:val="ro-RO" w:eastAsia="en-GB"/>
          <w14:ligatures w14:val="none"/>
        </w:rPr>
        <w:t>, intimatul considerând că nu este obligat să aprobe o cerere de întrerupere a activităţii.</w:t>
      </w:r>
    </w:p>
    <w:p w14:paraId="7BE9EF1B"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Dreptul de apreciere al autorităţii publice nu este unul absolut, context în care reclamanta consideră că refuzurile comunicate îmbracă caracterul nejustificat, în sensul art. 2 lit. i) și n) din Legea 554/2004, atât timp cât legea a recunoscut deţinătorilor de autorizaţii de farmacie dreptul de a întrerupe activitatea pentru o perioadă de cel mult 180 de zile pentru motive întemeiate sau obiective. Autoritatea publică nu poate refuza exercitarea acestui drept după bunul plac pentru că o astfel de abordare dă naștere excesului de putere, care nu este permis într-un stat de drept. Prin urmare, în accepțiunea reclamantei,  expresia </w:t>
      </w:r>
      <w:r w:rsidRPr="006A4ABD">
        <w:rPr>
          <w:rFonts w:ascii="Times New Roman" w:eastAsia="Times New Roman" w:hAnsi="Times New Roman" w:cs="Times New Roman"/>
          <w:i/>
          <w:kern w:val="0"/>
          <w:sz w:val="24"/>
          <w:szCs w:val="20"/>
          <w:lang w:val="ro-RO" w:eastAsia="en-GB"/>
          <w14:ligatures w14:val="none"/>
        </w:rPr>
        <w:t>poate aproba</w:t>
      </w:r>
      <w:r w:rsidRPr="006A4ABD">
        <w:rPr>
          <w:rFonts w:ascii="Times New Roman" w:eastAsia="Times New Roman" w:hAnsi="Times New Roman" w:cs="Times New Roman"/>
          <w:kern w:val="0"/>
          <w:sz w:val="24"/>
          <w:szCs w:val="20"/>
          <w:lang w:val="ro-RO" w:eastAsia="en-GB"/>
          <w14:ligatures w14:val="none"/>
        </w:rPr>
        <w:t>, trebuie interpretată în sensul că Ministerul Sănătăţii este obligat să admită cererea atunci când condiţiile legii sunt îndeplinite.</w:t>
      </w:r>
    </w:p>
    <w:p w14:paraId="5886C6BC" w14:textId="4C6E44BD"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Or, motivele invocate în solicitarea de suspendare a autorizației de funcționare a farmaciei sunt întemeiate și obiective în sensul art.21 alin.1 din Legea 266/2008, respectiv contractul de muncă al farmacistului șef a încetat la data de 21.09.2011, ca urmare a vânzării frauduloase a fondului de comerț la data de 14.09.2011, iar ca urmare a anulării de către judecătorul sindic a acestei operațiuni practic reclamanta a fost pus în situația anterioară, care ca și realitate juridică nu ar putea fi ignorată de către pârât, raportat la principiul consacrat de legiuitor prin art.1254 alin.1 Cod civil și opozabilitatea hotărârilor judecătorești, potrivit art.435 C.pr.civ. Motivul invocat de către pârât, că în susţinerea cererii de suspendare a fost depus un document care nu mai produce efecte din anul 2011, şi care nu poate fi apreciat valabil este  considerat nejustificat de către reclamantă atât timp cât din hotărârile judecătoreşti rezultă în mod clar că autorizaţia de funcţionare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nu a fost în posesia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în toată perioada menţionată întrucât a fost scoasă fraudulos din averea acesteia. În concret, la o analiză simplă ar fi evident că contractul de muncă al farmacistului şef înscris pe autorizaţia de funcţionare a farmaciei a încetat ca urmare a înstrăinării afacerii, iar raportarea la acest act juridic și moment temporal este legală în condițiile în care autorizația de </w:t>
      </w:r>
      <w:r w:rsidRPr="006A4ABD">
        <w:rPr>
          <w:rFonts w:ascii="Times New Roman" w:eastAsia="Times New Roman" w:hAnsi="Times New Roman" w:cs="Times New Roman"/>
          <w:kern w:val="0"/>
          <w:sz w:val="24"/>
          <w:szCs w:val="20"/>
          <w:lang w:val="ro-RO" w:eastAsia="en-GB"/>
          <w14:ligatures w14:val="none"/>
        </w:rPr>
        <w:lastRenderedPageBreak/>
        <w:t>funcționare a reintrat în patrimoniul reclamantei, ca efect al hotărârilor judecătorești, pârâtul apreciind nelegal faptul că documentul nu ar mai produce efecte valabile.</w:t>
      </w:r>
    </w:p>
    <w:p w14:paraId="4582F1BD" w14:textId="7FD2280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Reclamanta consideră că prin soluţia adoptată faţă de plângerea prealabilă, pârâtul omite faptul că motivele întreruperii activităţii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nu este una obişnuită, ci se încadrează în ceea ce art. 21 din Legea farmaciei nr. 266/2008 a numit ’’motive întemeiate”. Faptul că se prezintă în susţinerea suspendării un raport juridic de muncă ce a încetat în anul 2011 este de domeniul logicii, atât timp cât revenirea autorizaţiei de funcţionare în patrimoniul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s-a produs ca urmare a anulării cu efect retroactiv a unui contract de înstrăinare a fondului de comerţ și contrazice răspunsul comunicat de către pârât prin adresa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/26.07.2016 cu privire la aceeaşi autorizaţie de funcţionare, respectiv că " (...) în cazul în care, pe cale judiciară, este anulat contractul de vânzare-cumpărare fond comerţ, părţile din contractul de vânzare-cumpărare sunt repuse în situaţia anterioară semnării contractului. Astfel, întregul fond de comerţ ce a făcut obiectul vânzării reintră în patrimoniul vânzătorului, prezumându-se că înstrăinarea nu a avut loc.”</w:t>
      </w:r>
    </w:p>
    <w:p w14:paraId="4B80B886" w14:textId="173EC9EA"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De asemenea, faptul că persoana farmacistului șef este altul decât cel indicat în autorizația de funcționare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este considerat de către reclamantă un motiv nejustificat și pur formal deoarece a depus în completarea documentației adresa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/10.03.2021 emisă de ITM I</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prin care s-a înaintat extras din REVISAL cu privire la toți salariații săi, printre care și </w:t>
      </w:r>
      <w:r>
        <w:rPr>
          <w:rFonts w:ascii="Times New Roman" w:eastAsia="Times New Roman" w:hAnsi="Times New Roman" w:cs="Times New Roman"/>
          <w:kern w:val="0"/>
          <w:sz w:val="24"/>
          <w:szCs w:val="20"/>
          <w:lang w:val="ro-RO" w:eastAsia="en-GB"/>
          <w14:ligatures w14:val="none"/>
        </w:rPr>
        <w:t>D</w:t>
      </w:r>
      <w:r w:rsidRPr="006A4ABD">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 xml:space="preserve"> ocupând funcția de farmacist șef anterior. Prin urmare, situația legală a fost dovedită, chiar dacă clarificările solicitate de către pârât prin intermediul platformei PCUe nu a vizat și contradicția dintre cele 2 persoane.</w:t>
      </w:r>
    </w:p>
    <w:p w14:paraId="2433D6DB" w14:textId="6A012C64"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În privința argumentelor referitoare la procedura de schimbare a deținătorului autorizației de funcționare, în condițiile art.7 din Ordinul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al Ministerului Sănătății, reclamanta consideră că situația sa factuală și juridică nu se încadrează în situația schimbării deținătorului de autorizație, deoarece a fost repus în situația anterioară ca urmare a afectului produs de anularea vânzării fondului de comerț. În acest context, reclamanta consideră că pentru aceste argumente solicitarea sa de suspendare voluntară a autorizației de funcționare nu putea fi respinsă.</w:t>
      </w:r>
    </w:p>
    <w:p w14:paraId="73C651CB" w14:textId="23A38246"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În drept au fost invocate prevederile art.8 și 10 din Legea 554/2004, precum și dispozițiile incidente din Legea 266/2008 și Ordinul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w:t>
      </w:r>
    </w:p>
    <w:p w14:paraId="1A3CC878"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28E3507A"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3932A98"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b) Apărările formulate de pârât prin întâmpinare:</w:t>
      </w:r>
    </w:p>
    <w:p w14:paraId="2FD5CDA1" w14:textId="77777777" w:rsidR="006A4ABD" w:rsidRPr="006A4ABD" w:rsidRDefault="006A4ABD" w:rsidP="006A4ABD">
      <w:pPr>
        <w:spacing w:after="0" w:line="240" w:lineRule="auto"/>
        <w:ind w:firstLine="709"/>
        <w:jc w:val="both"/>
        <w:rPr>
          <w:rFonts w:ascii="Times New Roman" w:eastAsia="Times New Roman" w:hAnsi="Times New Roman" w:cs="Times New Roman"/>
          <w:color w:val="FF0000"/>
          <w:kern w:val="0"/>
          <w:sz w:val="24"/>
          <w:szCs w:val="20"/>
          <w:lang w:val="ro-RO" w:eastAsia="en-GB"/>
          <w14:ligatures w14:val="none"/>
        </w:rPr>
      </w:pPr>
    </w:p>
    <w:p w14:paraId="383E6D1C"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i/>
          <w:kern w:val="0"/>
          <w:sz w:val="24"/>
          <w:szCs w:val="20"/>
          <w:lang w:val="ro-RO" w:eastAsia="en-GB"/>
          <w14:ligatures w14:val="none"/>
        </w:rPr>
        <w:t>Pârâtul Ministerul Sănătăţii, legal citat, a depus întâmpinare</w:t>
      </w:r>
      <w:r w:rsidRPr="006A4ABD">
        <w:rPr>
          <w:rFonts w:ascii="Times New Roman" w:eastAsia="Times New Roman" w:hAnsi="Times New Roman" w:cs="Times New Roman"/>
          <w:kern w:val="0"/>
          <w:sz w:val="24"/>
          <w:szCs w:val="20"/>
          <w:lang w:val="ro-RO" w:eastAsia="en-GB"/>
          <w14:ligatures w14:val="none"/>
        </w:rPr>
        <w:t>, prin care a invocat excepţia inadmisibilităţii cererii de anulare a răspunsului la plângerea prealabilă, iar pe fond respingerea acţiunii ca neîntemeiate. Prin completarea întâmpinării, pârâtul a invocat și excepția tardivității cererii de anulare a răspunsului la plângerea prealabilă.</w:t>
      </w:r>
    </w:p>
    <w:p w14:paraId="4DEC99EC"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Pârâtul pretinde că răspunsul la plângerea prealabilă nu este un act administrativ, care să poată da naştere, să modifice sau să stingă raporturi juridice, şi nici nu este un refuz nejustificat de soluţionare a unei plângeri referitoare la un drept sau la un interes legitim, astfel încât nu poate forma obiect al acțiunii la instanța de contencios administrativ, din această perspectivă primul capăt de cerere fiind considerat inadmisibil .</w:t>
      </w:r>
    </w:p>
    <w:p w14:paraId="08D9C8E8" w14:textId="3688FFF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În privința excepției tardivității, a invocat faptul că a expediat reclamantei la data de 08.12.2021 răspunsul la plângerea prealabilă, prin adresa nr.</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/25.11.2021, iar termenul de 6 luni prevăzut de art.11 alin.1 lit.c) din Legea 554/2004, a contenciosului administrativ, curge de la data de 29.11.2021, fiind împlinit la data de 30.05.2022, când reclamanta a sesizat instanța de judecată.</w:t>
      </w:r>
    </w:p>
    <w:p w14:paraId="25FD1B6A"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Pe fondul cauzei pârâtul a solicitat respingerea cererii de chemare în judecată ca neîntemeiată.</w:t>
      </w:r>
    </w:p>
    <w:p w14:paraId="7A116EA5" w14:textId="5069B7A2"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Acesta consideră că solicitarea de suspendare voluntară a autorizaţiei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pentru o perioadă de 180 de zile în anul 2022, motivată de un </w:t>
      </w:r>
      <w:r w:rsidRPr="006A4ABD">
        <w:rPr>
          <w:rFonts w:ascii="Times New Roman" w:eastAsia="Times New Roman" w:hAnsi="Times New Roman" w:cs="Times New Roman"/>
          <w:kern w:val="0"/>
          <w:sz w:val="24"/>
          <w:szCs w:val="20"/>
          <w:lang w:val="ro-RO" w:eastAsia="en-GB"/>
          <w14:ligatures w14:val="none"/>
        </w:rPr>
        <w:lastRenderedPageBreak/>
        <w:t xml:space="preserve">contract de muncă al farmacistului şef încetat în anul 2011, nu se încadrează în prevederile legale aplicabile unităţilor farmaceutice (art. 21 din Legea nr. 266/2008, republicată, cu modificările şi completările ulterioare, şi art. 8 alin. (l)-(3) din Normele de aplicare aprobate prin Ordinul ministrului sănătăţii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iar susţinerile societăţii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prin administratorul judiciar </w:t>
      </w:r>
      <w:r>
        <w:rPr>
          <w:rFonts w:ascii="Times New Roman" w:eastAsia="Times New Roman" w:hAnsi="Times New Roman" w:cs="Times New Roman"/>
          <w:kern w:val="0"/>
          <w:sz w:val="24"/>
          <w:szCs w:val="20"/>
          <w:lang w:val="ro-RO" w:eastAsia="en-GB"/>
          <w14:ligatures w14:val="none"/>
        </w:rPr>
        <w:t>F</w:t>
      </w:r>
      <w:r w:rsidRPr="006A4ABD">
        <w:rPr>
          <w:rFonts w:ascii="Times New Roman" w:eastAsia="Times New Roman" w:hAnsi="Times New Roman" w:cs="Times New Roman"/>
          <w:kern w:val="0"/>
          <w:sz w:val="24"/>
          <w:szCs w:val="20"/>
          <w:lang w:val="ro-RO" w:eastAsia="en-GB"/>
          <w14:ligatures w14:val="none"/>
        </w:rPr>
        <w:t xml:space="preserve"> SPRL, nu fac altceva decât să dovedească contrariul celor solicitate, în sensul că această societate nu ar respecta prevederile legale aplicabile unei unităţi farmaceutice.</w:t>
      </w:r>
    </w:p>
    <w:p w14:paraId="09CEB88A"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Autorizaţia de funcţionare farmacie emisă de Ministerul Sănătăţii în temeiul Legii nr. 266/2008, republicată, cu modificările şi completările ulterioare şi a Normelor de aplicare aprobate prin Ordin al ministrului sănătăţii, nu este un simplu act administrativ, ci este un act esenţial pentru ca o unitate farmaceutică să ia fiinţă şi să funcţioneze în temeiul şi spiritul legii farmaciei, iar orice solicitare cu privire la unităţile farmaceutice nu poate fi făcută decât în temeiul şi cu respectarea dispoziţiilor legale specifice acestor categorii de unităti, întrucât, deşi farmaciile comunitare se înfiinţează şi funcţionează în cadrul unei societăţi organizate potrivit prevederilor Legii societăţilor nr. 31/1990, republicată, cu modificările şi completările ulterioare {art. 6 alin. 1 din Legea farmaciei nr. 266/2008, republicată), acestea nu pot fi calificate ca simple societăţi comerciale şi nu pot desfăşura orice tip de activitate, pentru fiecare operaţiune de emitere sau modificare a unei autorizaţii de funcţionare farmacie fiind prevăzute proceduri specifice în normele de aplicare, întrucât aceste societăţi - farmacii activează în domeniul sănătăţii pentru care statul are obligaţia respectării Constituţiei, ca garant al dreptului la ocrotirea sănătăţii, şi care trebuie, prin Ministerul Sănătăţii, să ia măsuri pentru ocrotirea sănătăţii publice, în considerarea faptului că aceste elemente vizează interesul general public referitor la sănătatea cetăţeanului.</w:t>
      </w:r>
    </w:p>
    <w:p w14:paraId="5A8A3EB4" w14:textId="57155DEA"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Astfel, raportat la invocarea de către Ministerul Sănătăţii a dispoziţiilor art. 8 alin. (1) -(3) din Normele privind înfiinţarea, organizarea şi funcţionarea unităţilor farmaceutice, aprobate prin Ordinul ministrului sănătăţii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cu modificările şi completările ulterioare, de aplicare a Legii farmaciei nr. 266/2008, republicată, cu modificările şi completările ulterioare, cu trimitere la activitatea desfăşurată  de o unitate farmaceutică, pârâtul arată faptul că prin această normă, voinţa legiuitorului a fost aceea de a preîntâmpina situaţiile în care o unitate farmaceutică aflată în funcţiune întâmpină dificultăţi şi nu îşi mai poate desfăşura activitatea din motive obiective şi independente de voinţa sa şi pentru a-i da posibilitatea de a-şi întrerupe/suspenda această activitate pe o perioadă limitată de timp pentru redresare, la momentul la care aceste situaţii intervin, însă în niciun caz pentru situaţii care s-au petrecut cu mult timp înainte (în cazul de faţă 11 ani) de a se solicita suspendarea, întrucât acest fapt nu poate dovedi altceva decât că această societate-unitate farmaceutică nu şi-a mai desfăşurat activitatea pentru care a fost autorizată să funcţioneze, într-un anumit loc şi cu un anumit farmacist şef.</w:t>
      </w:r>
    </w:p>
    <w:p w14:paraId="04945E8E" w14:textId="38C03329"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Faptul că, potrivit Sentinţei Civile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pronunţată de Tribunalul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rămasă definitivă la data de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prin Decizia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pronunţată de Curtea de Apel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Secţia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instanţa de judecată a anulat contractul de vânzare cumpărare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/14.09.2011 ce a avut ca obiect transmiterea dreptului de proprietate asupra fondului de comerţ de la adresa din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valorificat prin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emisă de Ministerul Sănătăţii, şi a dispus restituirea acestei autorizaţii în patrimoniul SC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nu înseamnă că acestă situaţie poate rămâne doar la stadiul de reîntoarcere a unui act administrativ în patrimoniul acesteia, ci această situaţie implică ca unitatea farmaceutică să redevină activă, respectiv să funcţioneze în condiţiile stabilite la momentul autorizării sale, întrucât, în caz contrar, intervin dispoziţiile art. 8 alin. (2) din Legea farmaciei nr. 266/2008, republicată, cu modificările şi completările ulterioare coroborat cu art. 3 alin. (15) din Normele privind înfiinţarea, organizarea şi funcţionarea unităţilor farmaceutice, aprobate prin Ordinul ministrului sănătăţii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care prevede că:  </w:t>
      </w:r>
    </w:p>
    <w:p w14:paraId="4AFC14EC"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lastRenderedPageBreak/>
        <w:t>„Autorizaţiile de funcţionare emise în conformitate cu prezentele norme sunt valabile pe perioadă nedeterminată, dacă se menţin neschimbate condiţiile care au stat la baza autorizării.”</w:t>
      </w:r>
    </w:p>
    <w:p w14:paraId="43BB896F" w14:textId="6D40FACA"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La data de 12.02.2021, Ministerul Sănătăţii a emis Anexa I la Autorizaţia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data de 21.12.2010 a farmaciei SC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din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şi a înscris menţiunea:</w:t>
      </w:r>
    </w:p>
    <w:p w14:paraId="0C945027" w14:textId="1CCF728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 „în conformitate cu Sentinţa Civilă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pronunţată de Tribunalul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rămasă definitivă la data de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prin Decizia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pronunţată de Curtea de Apel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Secţia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se anulează contractul de vânzare-cumpărare nr. 111/14.09.2011, încheiat între SC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şi SC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şi implicit a transferului patrimonial de fond de comerţ şi obligă societatea </w:t>
      </w:r>
      <w:r>
        <w:rPr>
          <w:rFonts w:ascii="Times New Roman" w:eastAsia="Times New Roman" w:hAnsi="Times New Roman" w:cs="Times New Roman"/>
          <w:kern w:val="0"/>
          <w:sz w:val="24"/>
          <w:szCs w:val="20"/>
          <w:lang w:val="ro-RO" w:eastAsia="en-GB"/>
          <w14:ligatures w14:val="none"/>
        </w:rPr>
        <w:t>E</w:t>
      </w:r>
      <w:r w:rsidRPr="006A4ABD">
        <w:rPr>
          <w:rFonts w:ascii="Times New Roman" w:eastAsia="Times New Roman" w:hAnsi="Times New Roman" w:cs="Times New Roman"/>
          <w:kern w:val="0"/>
          <w:sz w:val="24"/>
          <w:szCs w:val="20"/>
          <w:lang w:val="ro-RO" w:eastAsia="en-GB"/>
          <w14:ligatures w14:val="none"/>
        </w:rPr>
        <w:t xml:space="preserve"> SRL să restituie în patrimoniul societăţii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autorizaţiile de funcţionare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21.12.2010 respectiv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23.03.2008 emise de Ministerul Sănătăţii”. </w:t>
      </w:r>
    </w:p>
    <w:p w14:paraId="30D3A011" w14:textId="101FA172"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Această situaţie impunea ca societatea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să deţină toate documentele legale pentru a desfăşura activitatea autorizată sau, în cazul în care condiţiile care au stat la baza autorizării iniţiale s-au modificat, să procedeze la solicitarea de modificare a acestora prin depunerea documentelor prevăzute de lege, conform art. 4 şi 7 din Normele privind înfiinţarea, organizarea şi funcţionarea unităţilor farmaceutice, aprobate prin Ordinul ministrului sănătăţii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cu modificările şi completările ulterioare.</w:t>
      </w:r>
    </w:p>
    <w:p w14:paraId="41B072FC"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De altfel, potrivit dispoziţiilor art. 22 lit. d) din Legea farmaciei nr. 266/2008 republicată, cu modificările şi completările ulterioare, în situaţia suspendării activităţii pentru o perioadă mai mare de 180 de zile, farmacia comunitară îşi încetează activitatea prin anularea autorizaţiei de funcţionare emise de Ministerul Sănătăţii.</w:t>
      </w:r>
    </w:p>
    <w:p w14:paraId="2937F9FA"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Astfel, având în vedere că suspendarea autorizaţiei poate interveni pentru o perioadă de cel mult 180 de zile ca urmare a întreruperii activităţii, astfel cum prevăd dispoziţiile art. 8 alin. (1) din Norme, prin depunerea documentelor care dovedesc cerinţele impuse de lege, iar din motivele invocate şi documentele depuse de reclamantă nu rezultă că aceste cerinţe sunt îndeplinite, ci dimpotrivă, rezultă că această societate doreşte să suspende o activitatea farmaceutică pe care nu o prestează, Ministerul nu poate da curs cererii sale şi va proceda la demararea procedurilor de anulare a acestei autorizaţii, întrucât condiţiile care au stat la baza emiterii acestei autorizaţii nu se mai menţin.</w:t>
      </w:r>
    </w:p>
    <w:p w14:paraId="637DA9C9" w14:textId="3DDD7CC2"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De altfel, </w:t>
      </w:r>
      <w:r w:rsidR="00A3782E">
        <w:rPr>
          <w:rFonts w:ascii="Times New Roman" w:eastAsia="Times New Roman" w:hAnsi="Times New Roman" w:cs="Times New Roman"/>
          <w:kern w:val="0"/>
          <w:sz w:val="24"/>
          <w:szCs w:val="20"/>
          <w:lang w:val="ro-RO" w:eastAsia="en-GB"/>
          <w14:ligatures w14:val="none"/>
        </w:rPr>
        <w:t>F</w:t>
      </w:r>
      <w:r w:rsidRPr="006A4ABD">
        <w:rPr>
          <w:rFonts w:ascii="Times New Roman" w:eastAsia="Times New Roman" w:hAnsi="Times New Roman" w:cs="Times New Roman"/>
          <w:kern w:val="0"/>
          <w:sz w:val="24"/>
          <w:szCs w:val="20"/>
          <w:lang w:val="ro-RO" w:eastAsia="en-GB"/>
          <w14:ligatures w14:val="none"/>
        </w:rPr>
        <w:t xml:space="preserve"> SPRL în calitate de administrator judiciar al SC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prin adresa înregistrată la Ministerul Sănătăţii sub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/14.03.2019 a solicitat să ia act de dispoziţiile Sentinţei Civile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pronunţate de Tribunalul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în dosarul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notificând în acest sens Ministerul Sănătăţii, în conformitate cu art. 10 alin. (9)  din Legea nr. 266/2008, fără a continua să depună şi documente ulterioare pentru a fi respectate condiţiile impuse de lege pentru valabilitatea autorizaţiei de funcţionare, cu atât mai mult cu cât Ministerul Sănătăţii poate emite autorizaţii şi efectua înscrieri de menţiuni la acestea, doar în condiţiile în care sunt dovedite cerinţele impuse de legea farmaciei.</w:t>
      </w:r>
    </w:p>
    <w:p w14:paraId="66E7662C"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p>
    <w:p w14:paraId="5647A43D"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III. Mijloace de probă administrate în proces;</w:t>
      </w:r>
    </w:p>
    <w:p w14:paraId="1574947A"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p>
    <w:p w14:paraId="3470B768"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 Părțile au depus la dosarul cauzei înscrisuri, fiindu-le încuviințată administrarea acestui mijloc de probă în proces. Pârâtul a depus la dosar documentația aferentă soluționării cererii reclamantei privind suspendarea activității și de notare a acesteia în anexa la autorizația de funcționare a farmaciei.</w:t>
      </w:r>
    </w:p>
    <w:p w14:paraId="6338D544" w14:textId="77777777" w:rsidR="006A4ABD" w:rsidRPr="006A4ABD" w:rsidRDefault="006A4ABD" w:rsidP="006A4ABD">
      <w:pPr>
        <w:spacing w:after="0" w:line="240" w:lineRule="auto"/>
        <w:rPr>
          <w:rFonts w:ascii="Times New Roman" w:eastAsia="Times New Roman" w:hAnsi="Times New Roman" w:cs="Times New Roman"/>
          <w:kern w:val="0"/>
          <w:sz w:val="24"/>
          <w:szCs w:val="20"/>
          <w:lang w:val="ro-RO" w:eastAsia="en-GB"/>
          <w14:ligatures w14:val="none"/>
        </w:rPr>
      </w:pPr>
    </w:p>
    <w:p w14:paraId="165A6C4B" w14:textId="77777777" w:rsidR="006A4ABD" w:rsidRPr="006A4ABD" w:rsidRDefault="006A4ABD" w:rsidP="006A4ABD">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A4ABD">
        <w:rPr>
          <w:rFonts w:ascii="Times New Roman" w:eastAsia="Times New Roman" w:hAnsi="Times New Roman" w:cs="Times New Roman"/>
          <w:b/>
          <w:kern w:val="0"/>
          <w:sz w:val="24"/>
          <w:szCs w:val="20"/>
          <w:lang w:val="ro-RO" w:eastAsia="en-GB"/>
          <w14:ligatures w14:val="none"/>
        </w:rPr>
        <w:t>IV. Argumentarea soluţiei pronunţate;</w:t>
      </w:r>
    </w:p>
    <w:p w14:paraId="25F943E0"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p>
    <w:p w14:paraId="66ADBEEA"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Raportat la prevederile art.248 alin.1 C.pr.civ., instanța va dezlega cu prioritate excepția de inadmisibilitate invocată de pârât prin întâmpinare.</w:t>
      </w:r>
    </w:p>
    <w:p w14:paraId="32820F58" w14:textId="3E6F1CED"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lastRenderedPageBreak/>
        <w:tab/>
        <w:t xml:space="preserve">Societatea reclamantă a solicitat ministerului pârât să-i aprobe suspendarea voluntară a activității de farmacie pentru o perioadă de 180 de zile și efectuarea operațiunii administrative constând în notarea acestei suspendări în anexa la autorizația de funcționare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Pârâtul a refuzat să dea curs solicitării reclamantei, potrivit răspunsului comunicat acesteia prin adresa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/30.09.2021(fila 34 dosar), context în care nu a fost emis niciun act administrativ în sensul art.2 lit.c din Legea 554/2004 a contenciosului administrativ. </w:t>
      </w:r>
    </w:p>
    <w:p w14:paraId="429371DE" w14:textId="2394BC1A"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Față de refuzul exprimat de ministerul pârât, reclamanta a înțeles să formuleze plângere prealabilă deși aceasta nu era obligatorie, potrivit art.7 alin.5 din Legea 554/2004, a contenciosului administrativ, răspunsul la această plângere fiind comunicat reclamantei prin adresa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/25.11.2021, a cărei anulare o solicită.</w:t>
      </w:r>
    </w:p>
    <w:p w14:paraId="2D8435C1"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Văzând prevederile art.8 alin.1, art.2 alin.1 lit.c) și art.2 alin.2 din Legea contenciosului administrativ, se constată că adresa contestată de reclamantă, nu are natura juridică a unui act administrativ și nu poate forma obiect al acțiunii în contencios administrativ, motiv pentru care excepția de inadmisibilitate, astfel cum a fost opusă de pârât în proces, are caracter întemeiat, urmând a fi admisă și respins ca inadmisibil acest capăt de cerere.</w:t>
      </w:r>
    </w:p>
    <w:p w14:paraId="440EFA5D"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p>
    <w:p w14:paraId="0DA7A60B"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Pe fondul cauzei, curtea de apel urmează a analiza dacă refuzul comunicat de către ministerul pârât la data de 30.09.2021, referitor la cererea de suspendare voluntară a activității de farmacie pentru o perioadă de 180 de zile și efectuarea operațiunii administrative în cuprinsul autorizației de funcționare, îmbracă natura unui refuz nejustificat.</w:t>
      </w:r>
    </w:p>
    <w:p w14:paraId="7399A8D1"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r>
    </w:p>
    <w:p w14:paraId="68EE5C4D" w14:textId="7D6934E2"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Situația de fapt nu a fost contestată de către ministerul pârât, iar din înscrisurile depuse de către reclamantă rezultă că aceasta, în urma soluționării definitive a litigiului ce a format obiect al dosarului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al Tribunalului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fost repusă în situația anterioară celei în care a înstrăinat în anul 2011 fondul de comerț, ce includea și autorizația de funcționare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/21.12.2010. </w:t>
      </w:r>
    </w:p>
    <w:p w14:paraId="1B57D1EA" w14:textId="3225FF71"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Întrucât la data anulării definitive a contractului de vânzare cumpărare fond de comerț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/14.09.2021, prin Decizia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Curții de Apel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reclamanta se afla în procedura reorganizării judiciare, urmare a deschiderii procedurii insolvenței față de aceasta la data de 05.09.2012, s-a solicitat pârâtului, abia la data de 24.02.2021, aprobarea suspendării activității de farmacie comunitară pentru o perioadă de până la 180 de zile, în temeiul art.21 alin.1 din Legea 266/2008, a farmaciei.</w:t>
      </w:r>
    </w:p>
    <w:p w14:paraId="131CAC9E" w14:textId="15C7A353"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 xml:space="preserve">În cererea inițială (fila 105 dosar) și documentația aferentă, reclamanta a invocat situația provocată de insolvență și necesitatea unui timp suplimentar pentru reluarea activității de farmacie, ca urmare a reintrării în patrimoniul său a autorizației de funcționare iar, ulterior, urmare a solicitării pârâtului de completare a documentației, reclamanta a indicat ca și motiv suplimentar încetarea contractului de muncă al farmacistului șef, </w:t>
      </w:r>
      <w:r>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 potrivit extrasului REVISAL, cu indicarea art.8 alin.3 lit.a) din Ordinul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al Ministerului Sănătății.</w:t>
      </w:r>
    </w:p>
    <w:p w14:paraId="4E16DC20" w14:textId="2419ECFF"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Potrivit art.21 alin.1 din Legea nr.266/2008, a farmaciei, pârâtul poate aproba pentru motive întemeiate sau obiective întreruperea activității farmaciei comunitare pe o perioadă de până la 180 de zile, iar prin normele de punere în aplicare a legii, adoptate prin Ordinul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/2019 al Ministerului Sănătății, au fost reglementate și motivele pentru care se poate dispune întreruperea activității farmaciei comunitare (art.8 alin.3 din ordin).</w:t>
      </w:r>
    </w:p>
    <w:p w14:paraId="5E079057" w14:textId="57F6AAC0"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Prin adresa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/30.09.2022 (fila 34 dosar) pârâtul a comunicat refuzul de a aproba cererea de întrerupere a activității, cele 4 argumente fiind circumscrise doar la 2 motive concrete:</w:t>
      </w:r>
    </w:p>
    <w:p w14:paraId="633935D7"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 neîndeplinirea condițiilor legale prin raportare la pretinsa încetare a contractului de muncă al farmacistului șef;</w:t>
      </w:r>
    </w:p>
    <w:p w14:paraId="24D369F3"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 declarația administratorului judiciar, starea de insolvență, nu constituie motive obiective de suspendare a activității.</w:t>
      </w:r>
    </w:p>
    <w:p w14:paraId="5D9457E2"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lastRenderedPageBreak/>
        <w:tab/>
        <w:t>Cu privire la primul motiv, curtea de apel, constată că situația invocată de către reclamant nu justifică aprobarea solicitării de întrerupere a activității. Deși autorizația de funcționare a farmaciei a reintrat în patrimoniul reclamantei, ca efect al hotărârii judecătorești, din data de 06.036.2019, aceasta nu a întreprins niciun demers efectiv de reluare a activității după schimbarea deținătorului autorizației de funcționare, chiar dacă această mențiune a fost operată de ministerul pârât în anexa la autorizație la data de 12.02.2021 (fila 53 dosar). De altfel, conform planului de reorganizare depus de reclamantă la dosar (fila 87 dosar, pagina 8 paragraful 4 din planul de organizare), se urmărește valorificarea (vânzarea) prin licitație a autorizației de funcționare și în niciun caz reluarea activității farmaciei.</w:t>
      </w:r>
    </w:p>
    <w:p w14:paraId="1EFC5351" w14:textId="4356AFB9"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Prin urmare, pretinsa încetare a contractului de muncă al farmacistului-șef sau al asistentului medical de farmacie-șef, fără posibilitatea preluării atribuțiilor de către alt farmacist sau asistent medical de farmacie, conform art.8 alin.3 lit.b din Ordinul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al Ministerului Sănătății, nu justifică aprobarea întreruperii de activitate deoarece reclamanta, după reîntoarcerea autorizației în patrimoniul său, nu a manifestat interes în reluarea activității, iar mențiunile din planul de reorganizare aprobat de judecătorul sindic, confirmă faptul că reclamanta, prin administratorul judiciar, intenționează să revândă autorizația de funcționare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și nu să reia activitatea.</w:t>
      </w:r>
    </w:p>
    <w:p w14:paraId="51151893"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Motivul pentru care reclamanta a solicitat întreruperea activității în temeiul art.8 alin.3 lit.b din ordin implică ca și situație premisă faptul că aceasta desfășoară în concret activitatea de farmacie, context în care intervine încetarea contractului de muncă al farmacistului șef.</w:t>
      </w:r>
    </w:p>
    <w:p w14:paraId="315CAA8D" w14:textId="62E4103A"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 xml:space="preserve">Or, situația de fapt relevă că reclamanta nu desfășoară activitate, iar contractul de muncă al farmacistului șef a încetat la data de 21.09.2011( prin raportare la farmacistul șef </w:t>
      </w:r>
      <w:r w:rsidR="00A3782E">
        <w:rPr>
          <w:rFonts w:ascii="Times New Roman" w:eastAsia="Times New Roman" w:hAnsi="Times New Roman" w:cs="Times New Roman"/>
          <w:kern w:val="0"/>
          <w:sz w:val="24"/>
          <w:szCs w:val="20"/>
          <w:lang w:val="ro-RO" w:eastAsia="en-GB"/>
          <w14:ligatures w14:val="none"/>
        </w:rPr>
        <w:t>D</w:t>
      </w:r>
      <w:r w:rsidRPr="006A4ABD">
        <w:rPr>
          <w:rFonts w:ascii="Times New Roman" w:eastAsia="Times New Roman" w:hAnsi="Times New Roman" w:cs="Times New Roman"/>
          <w:kern w:val="0"/>
          <w:sz w:val="24"/>
          <w:szCs w:val="20"/>
          <w:lang w:val="ro-RO" w:eastAsia="en-GB"/>
          <w14:ligatures w14:val="none"/>
        </w:rPr>
        <w:t xml:space="preserve">, indicată în anexa la autorizația de funcționare a farmaciei), iar în cazul farmacistului șef </w:t>
      </w:r>
      <w:r w:rsidR="00A3782E">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 indicată de reclamantă, la data de 14.02.2011, potrivit datelor din REVISAL, comunicate de către ITM I</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(fila 11 dosar). Prin urmare, pârâtul în mod corect și legal a refuzat să aprobe întreruperea de activitate pentru acest motiv deoarece reclamanta nu a reluat prestarea activității de farmacie și nu a dovedit că încetarea raporturilor de muncă a farmaciștilor șefi a intervenit după momentul reintrării în patrimoniul său a autorizației de funcționare.</w:t>
      </w:r>
    </w:p>
    <w:p w14:paraId="4B07B352" w14:textId="6430F506"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Încetarea contractelor de muncă intervenită în anul 2011, anterior sau ulterior momentului vânzării fondului de comerț și implicit a autorizației de funcționare, nu poate fi invocată ca și temei pertinent, obiectiv în sensul art.21 alin.1 din Legea 266/2008, pentru întreruperea temporară a activității, după ce autorizația de funcționare a reintrat în patrimoniul reclamantei ca efect al hotărârii judecătorești prin care a fost dispusă anularea vânzării fondului de comerț(</w:t>
      </w:r>
      <w:r w:rsidRPr="006A4ABD">
        <w:rPr>
          <w:rFonts w:ascii="Times New Roman" w:eastAsia="Times New Roman" w:hAnsi="Times New Roman" w:cs="Times New Roman"/>
          <w:i/>
          <w:kern w:val="0"/>
          <w:sz w:val="24"/>
          <w:szCs w:val="20"/>
          <w:lang w:val="ro-RO" w:eastAsia="en-GB"/>
          <w14:ligatures w14:val="none"/>
        </w:rPr>
        <w:t>ca și consecință a repunerii în situația anterioară</w:t>
      </w:r>
      <w:r w:rsidRPr="006A4ABD">
        <w:rPr>
          <w:rFonts w:ascii="Times New Roman" w:eastAsia="Times New Roman" w:hAnsi="Times New Roman" w:cs="Times New Roman"/>
          <w:kern w:val="0"/>
          <w:sz w:val="24"/>
          <w:szCs w:val="20"/>
          <w:lang w:val="ro-RO" w:eastAsia="en-GB"/>
          <w14:ligatures w14:val="none"/>
        </w:rPr>
        <w:t>). Modalitatea de interpretare avută în vedere de către reclamată este contrară sensului clar și logic, atât al normei legale cadru (art.21 alin.1 din Legea 266/2008), cât și norma secundară de punere în aplicare a normei legale cadru (art.8 alin.1 și 3 din Ordinul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/2019), dispozițiile legale făcând referire la faptul că întreruperea activității se datorează unui motiv întemeiat sau obiectiv or, reclamanta, astfel cum deja s-a argumentat, nu desfășura în concret activitate de farmacie în baza autorizația </w:t>
      </w:r>
      <w:bookmarkStart w:id="6" w:name="_Hlk114735046"/>
      <w:r w:rsidRPr="006A4ABD">
        <w:rPr>
          <w:rFonts w:ascii="Times New Roman" w:eastAsia="Times New Roman" w:hAnsi="Times New Roman" w:cs="Times New Roman"/>
          <w:kern w:val="0"/>
          <w:sz w:val="24"/>
          <w:szCs w:val="20"/>
          <w:lang w:val="ro-RO" w:eastAsia="en-GB"/>
          <w14:ligatures w14:val="none"/>
        </w:rPr>
        <w:t xml:space="preserve">de funcționare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w:t>
      </w:r>
      <w:bookmarkEnd w:id="6"/>
      <w:r w:rsidRPr="006A4ABD">
        <w:rPr>
          <w:rFonts w:ascii="Times New Roman" w:eastAsia="Times New Roman" w:hAnsi="Times New Roman" w:cs="Times New Roman"/>
          <w:kern w:val="0"/>
          <w:sz w:val="24"/>
          <w:szCs w:val="20"/>
          <w:lang w:val="ro-RO" w:eastAsia="en-GB"/>
          <w14:ligatures w14:val="none"/>
        </w:rPr>
        <w:t>, activitate care să poată fi întreruptă. Repunerea părților în situația anterioară, ca principiu specific regimului nulităților, incident doar în legătură cu raportul juridic născut în urma vânzării fondului de comerț în anul 2011, nu are nicio legătură cu încetarea contractului de muncă a farmaciștilor șefi, eventualele consecințe generate de vânzarea fondului de comerț în anul 2011, asupra raporturilor de muncă ale farmaciștilor șefi, neputând fi invocată și opusă pârâtului după 10 ani.</w:t>
      </w:r>
    </w:p>
    <w:p w14:paraId="0177314D" w14:textId="1BE97AD5"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De asemenea, în mod corect pârâtul a indicat faptul că există o neconcordanță între numele farmacistului șef înscris în anexa la autorizație (</w:t>
      </w:r>
      <w:r w:rsidR="00A3782E">
        <w:rPr>
          <w:rFonts w:ascii="Times New Roman" w:eastAsia="Times New Roman" w:hAnsi="Times New Roman" w:cs="Times New Roman"/>
          <w:kern w:val="0"/>
          <w:sz w:val="24"/>
          <w:szCs w:val="20"/>
          <w:lang w:val="ro-RO" w:eastAsia="en-GB"/>
          <w14:ligatures w14:val="none"/>
        </w:rPr>
        <w:t>D</w:t>
      </w:r>
      <w:r w:rsidRPr="006A4ABD">
        <w:rPr>
          <w:rFonts w:ascii="Times New Roman" w:eastAsia="Times New Roman" w:hAnsi="Times New Roman" w:cs="Times New Roman"/>
          <w:kern w:val="0"/>
          <w:sz w:val="24"/>
          <w:szCs w:val="20"/>
          <w:lang w:val="ro-RO" w:eastAsia="en-GB"/>
          <w14:ligatures w14:val="none"/>
        </w:rPr>
        <w:t xml:space="preserve">, </w:t>
      </w:r>
      <w:r w:rsidRPr="006A4ABD">
        <w:rPr>
          <w:rFonts w:ascii="Times New Roman" w:eastAsia="Times New Roman" w:hAnsi="Times New Roman" w:cs="Times New Roman"/>
          <w:i/>
          <w:kern w:val="0"/>
          <w:sz w:val="24"/>
          <w:szCs w:val="20"/>
          <w:lang w:val="ro-RO" w:eastAsia="en-GB"/>
          <w14:ligatures w14:val="none"/>
        </w:rPr>
        <w:t>fila 54 verso, dosar</w:t>
      </w:r>
      <w:r w:rsidRPr="006A4ABD">
        <w:rPr>
          <w:rFonts w:ascii="Times New Roman" w:eastAsia="Times New Roman" w:hAnsi="Times New Roman" w:cs="Times New Roman"/>
          <w:kern w:val="0"/>
          <w:sz w:val="24"/>
          <w:szCs w:val="20"/>
          <w:lang w:val="ro-RO" w:eastAsia="en-GB"/>
          <w14:ligatures w14:val="none"/>
        </w:rPr>
        <w:t>) și cel indicat de către reclamantă (</w:t>
      </w:r>
      <w:r>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 xml:space="preserve">), deoarece acesta din urmă nu a fost indicat în anexa la autorizație ca fiind angajat al reclamantei, neputându-se stabili dacă a prestat activitatea de farmacist șef la punctul de lucru al reclamantei, pentru care a fost eliberată autorizația din 21.12.2010. Reclamanta deținea mai multe unități farmaceutice la care presta activitate în baza unor autorizații diferite, astfel cum însăși afirmă și dovedește prin planul de organizare, context în care extrasul din </w:t>
      </w:r>
      <w:r w:rsidRPr="006A4ABD">
        <w:rPr>
          <w:rFonts w:ascii="Times New Roman" w:eastAsia="Times New Roman" w:hAnsi="Times New Roman" w:cs="Times New Roman"/>
          <w:kern w:val="0"/>
          <w:sz w:val="24"/>
          <w:szCs w:val="20"/>
          <w:lang w:val="ro-RO" w:eastAsia="en-GB"/>
          <w14:ligatures w14:val="none"/>
        </w:rPr>
        <w:lastRenderedPageBreak/>
        <w:t xml:space="preserve">Revisal (filele 9-11 dosar) nu este concludent în privința locului în care a prestat activitate farmacistul șef </w:t>
      </w:r>
      <w:r w:rsidR="00A3782E">
        <w:rPr>
          <w:rFonts w:ascii="Times New Roman" w:eastAsia="Times New Roman" w:hAnsi="Times New Roman" w:cs="Times New Roman"/>
          <w:kern w:val="0"/>
          <w:sz w:val="24"/>
          <w:szCs w:val="20"/>
          <w:lang w:val="ro-RO" w:eastAsia="en-GB"/>
          <w14:ligatures w14:val="none"/>
        </w:rPr>
        <w:t>C</w:t>
      </w:r>
      <w:r w:rsidRPr="006A4ABD">
        <w:rPr>
          <w:rFonts w:ascii="Times New Roman" w:eastAsia="Times New Roman" w:hAnsi="Times New Roman" w:cs="Times New Roman"/>
          <w:kern w:val="0"/>
          <w:sz w:val="24"/>
          <w:szCs w:val="20"/>
          <w:lang w:val="ro-RO" w:eastAsia="en-GB"/>
          <w14:ligatures w14:val="none"/>
        </w:rPr>
        <w:t>.</w:t>
      </w:r>
    </w:p>
    <w:p w14:paraId="54AB08A6"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4077B28E" w14:textId="5898A155"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În privința stării de insolvență invocată de către reclamantă, ca motiv obiectiv ce ar justifica, în sensul art.21 alin.1 din Legea 266/2008, a farmaciei, întreruperea activității pentru o perioadă de până la 180 de zile, datorită revenirii în patrimoniul său a fondului de comerț și a autorizației de funcționare farmacie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 prin prisma efectelor unei hotărâri judecătorești, curtea de apel constată că în raport de situația concretă a reclamantei, acest motiv nu poate fi considerat obiectiv în accepțiunea prevederii legale mai sus indicate.</w:t>
      </w:r>
    </w:p>
    <w:p w14:paraId="4B09C641" w14:textId="497B528E"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Este necontestat faptul că starea de insolvență a reclamantei a intervenit după ieșirea din patrimoniul său a autorizației de funcționare a farmaciei însă, de la pronunțarea definitivă a Decizia nr.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din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 Curţii de Apel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și până la data de 24.02.2021, când reclamanta a solicitat aprobarea întreruperii de activitate, s-au scurs aproape 2 ani, context în care situația invocată (</w:t>
      </w:r>
      <w:r w:rsidRPr="006A4ABD">
        <w:rPr>
          <w:rFonts w:ascii="Times New Roman" w:eastAsia="Times New Roman" w:hAnsi="Times New Roman" w:cs="Times New Roman"/>
          <w:i/>
          <w:kern w:val="0"/>
          <w:sz w:val="24"/>
          <w:szCs w:val="20"/>
          <w:lang w:val="ro-RO" w:eastAsia="en-GB"/>
          <w14:ligatures w14:val="none"/>
        </w:rPr>
        <w:t>starea de insolvență și necesitatea pregătirii reluării activității</w:t>
      </w:r>
      <w:r w:rsidRPr="006A4ABD">
        <w:rPr>
          <w:rFonts w:ascii="Times New Roman" w:eastAsia="Times New Roman" w:hAnsi="Times New Roman" w:cs="Times New Roman"/>
          <w:kern w:val="0"/>
          <w:sz w:val="24"/>
          <w:szCs w:val="20"/>
          <w:lang w:val="ro-RO" w:eastAsia="en-GB"/>
          <w14:ligatures w14:val="none"/>
        </w:rPr>
        <w:t xml:space="preserve">) nu pot fi considerate ca fiind actuale, de natură a constitui motiv obiectiv de întrerupere a activității, deoarece reclamanta nu a manifestat niciun interes real în a relua activitatea de farmacie. De altfel, planul de reorganizare aprobat de către judecătorul sindic confirmă explicit faptul că reclamanta nu intenționează să reia activitatea, ci să vândă din fondul de comerț autorizația de funcționare a farmaciei nr. </w:t>
      </w:r>
      <w:r>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/21.12.2010.</w:t>
      </w:r>
    </w:p>
    <w:p w14:paraId="51078F31" w14:textId="7F690EF2"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Pe cale de consecință, refuzul exprimat de pârât prin adresa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//30.09.2021 are caracter justificat, fiind argumentat legal și temeinic exprimarea acestui refuz. Soluționarea cererii contrar așteptărilor reclamantei nu reprezintă automat un refuz nejustificat, acest caracter reieșind numai prin raportare la prevederile legale, cu care refuzul ar intra în contradicție (</w:t>
      </w:r>
      <w:r w:rsidRPr="006A4ABD">
        <w:rPr>
          <w:rFonts w:ascii="Times New Roman" w:eastAsia="Times New Roman" w:hAnsi="Times New Roman" w:cs="Times New Roman"/>
          <w:i/>
          <w:kern w:val="0"/>
          <w:sz w:val="24"/>
          <w:szCs w:val="20"/>
          <w:lang w:val="ro-RO" w:eastAsia="en-GB"/>
          <w14:ligatures w14:val="none"/>
        </w:rPr>
        <w:t>Decizia nr.850/2007, ÎCCJ-SCAF</w:t>
      </w:r>
      <w:r w:rsidRPr="006A4ABD">
        <w:rPr>
          <w:rFonts w:ascii="Times New Roman" w:eastAsia="Times New Roman" w:hAnsi="Times New Roman" w:cs="Times New Roman"/>
          <w:kern w:val="0"/>
          <w:sz w:val="24"/>
          <w:szCs w:val="20"/>
          <w:lang w:val="ro-RO" w:eastAsia="en-GB"/>
          <w14:ligatures w14:val="none"/>
        </w:rPr>
        <w:t xml:space="preserve">) or, această situație nu a fost identificată în raport de răspunsul pârâtului din data de 30.09.2021, apărările acestuia fiind întemeiate, cererea de chemare în judecată urmând a fi respinsă din perspectiva celui de al doilea capăt de cerere ca neîntemeiată. </w:t>
      </w:r>
    </w:p>
    <w:p w14:paraId="2A0D3400" w14:textId="77777777" w:rsidR="006A4ABD" w:rsidRPr="006A4ABD" w:rsidRDefault="006A4ABD" w:rsidP="006A4ABD">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5790BEBD"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Pentru aceste motive,</w:t>
      </w:r>
      <w:r w:rsidRPr="006A4ABD">
        <w:rPr>
          <w:rFonts w:ascii="Times New Roman" w:eastAsia="Times New Roman" w:hAnsi="Times New Roman" w:cs="Times New Roman"/>
          <w:kern w:val="0"/>
          <w:sz w:val="24"/>
          <w:szCs w:val="20"/>
          <w:lang w:val="ro-RO" w:eastAsia="en-GB"/>
          <w14:ligatures w14:val="none"/>
        </w:rPr>
        <w:br/>
        <w:t>În numele legii</w:t>
      </w:r>
    </w:p>
    <w:p w14:paraId="66F23139"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bookmarkStart w:id="7" w:name="ce_face_curtea"/>
      <w:r w:rsidRPr="006A4ABD">
        <w:rPr>
          <w:rFonts w:ascii="Times New Roman" w:eastAsia="Times New Roman" w:hAnsi="Times New Roman" w:cs="Times New Roman"/>
          <w:kern w:val="0"/>
          <w:sz w:val="24"/>
          <w:szCs w:val="20"/>
          <w:lang w:val="ro-RO" w:eastAsia="en-GB"/>
          <w14:ligatures w14:val="none"/>
        </w:rPr>
        <w:t>Hotărăşte</w:t>
      </w:r>
      <w:bookmarkEnd w:id="7"/>
      <w:r w:rsidRPr="006A4ABD">
        <w:rPr>
          <w:rFonts w:ascii="Times New Roman" w:eastAsia="Times New Roman" w:hAnsi="Times New Roman" w:cs="Times New Roman"/>
          <w:kern w:val="0"/>
          <w:sz w:val="24"/>
          <w:szCs w:val="20"/>
          <w:lang w:val="ro-RO" w:eastAsia="en-GB"/>
          <w14:ligatures w14:val="none"/>
        </w:rPr>
        <w:t>:</w:t>
      </w:r>
    </w:p>
    <w:p w14:paraId="74574C5E" w14:textId="77777777" w:rsidR="006A4ABD" w:rsidRPr="006A4ABD" w:rsidRDefault="006A4ABD" w:rsidP="006A4ABD">
      <w:pPr>
        <w:spacing w:after="0" w:line="240" w:lineRule="auto"/>
        <w:rPr>
          <w:rFonts w:ascii="Times New Roman" w:eastAsia="Times New Roman" w:hAnsi="Times New Roman" w:cs="Times New Roman"/>
          <w:kern w:val="0"/>
          <w:sz w:val="24"/>
          <w:szCs w:val="20"/>
          <w:lang w:val="ro-RO" w:eastAsia="en-GB"/>
          <w14:ligatures w14:val="none"/>
        </w:rPr>
      </w:pPr>
    </w:p>
    <w:p w14:paraId="5419AB3B" w14:textId="77777777" w:rsidR="006A4ABD" w:rsidRPr="006A4ABD" w:rsidRDefault="006A4ABD" w:rsidP="006A4ABD">
      <w:pPr>
        <w:spacing w:after="0" w:line="240" w:lineRule="auto"/>
        <w:rPr>
          <w:rFonts w:ascii="Times New Roman" w:eastAsia="Times New Roman" w:hAnsi="Times New Roman" w:cs="Times New Roman"/>
          <w:kern w:val="0"/>
          <w:sz w:val="24"/>
          <w:szCs w:val="20"/>
          <w:lang w:val="ro-RO" w:eastAsia="en-GB"/>
          <w14:ligatures w14:val="none"/>
        </w:rPr>
      </w:pPr>
    </w:p>
    <w:p w14:paraId="77CAE4A6" w14:textId="77777777"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Admite excepţia inadmisibilităţii.</w:t>
      </w:r>
    </w:p>
    <w:p w14:paraId="3DB2BBED" w14:textId="25A0027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Respinge ca inadmisibil capătul de cerere având ca obiect anularea adresei nr.</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/25.11.2021 emisă de pârât.</w:t>
      </w:r>
    </w:p>
    <w:p w14:paraId="0CE04440" w14:textId="2817FA39"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Respinge ca neîntemeiat cel de al doilea capăt al cererii de chemare în judecată formulată de către reclamanta </w:t>
      </w:r>
      <w:r>
        <w:rPr>
          <w:rFonts w:ascii="Times New Roman" w:eastAsia="Times New Roman" w:hAnsi="Times New Roman" w:cs="Times New Roman"/>
          <w:kern w:val="0"/>
          <w:sz w:val="24"/>
          <w:szCs w:val="20"/>
          <w:lang w:val="ro-RO" w:eastAsia="en-GB"/>
          <w14:ligatures w14:val="none"/>
        </w:rPr>
        <w:t>A</w:t>
      </w:r>
      <w:r w:rsidRPr="006A4ABD">
        <w:rPr>
          <w:rFonts w:ascii="Times New Roman" w:eastAsia="Times New Roman" w:hAnsi="Times New Roman" w:cs="Times New Roman"/>
          <w:kern w:val="0"/>
          <w:sz w:val="24"/>
          <w:szCs w:val="20"/>
          <w:lang w:val="ro-RO" w:eastAsia="en-GB"/>
          <w14:ligatures w14:val="none"/>
        </w:rPr>
        <w:t xml:space="preserve"> SRL,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/1998, CUI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aflată în reorganizare judiciară, prin administrator judiciar </w:t>
      </w:r>
      <w:r w:rsidR="00A3782E">
        <w:rPr>
          <w:rFonts w:ascii="Times New Roman" w:eastAsia="Times New Roman" w:hAnsi="Times New Roman" w:cs="Times New Roman"/>
          <w:kern w:val="0"/>
          <w:sz w:val="24"/>
          <w:szCs w:val="20"/>
          <w:lang w:val="ro-RO" w:eastAsia="en-GB"/>
          <w14:ligatures w14:val="none"/>
        </w:rPr>
        <w:t>F</w:t>
      </w:r>
      <w:r w:rsidRPr="006A4ABD">
        <w:rPr>
          <w:rFonts w:ascii="Times New Roman" w:eastAsia="Times New Roman" w:hAnsi="Times New Roman" w:cs="Times New Roman"/>
          <w:kern w:val="0"/>
          <w:sz w:val="24"/>
          <w:szCs w:val="20"/>
          <w:lang w:val="ro-RO" w:eastAsia="en-GB"/>
          <w14:ligatures w14:val="none"/>
        </w:rPr>
        <w:t xml:space="preserve"> SPRL, cu sediul în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xml:space="preserve"> în contradictoriu cu pârâtul Ministerul Sănătăţii-Direcţia Politica Medicamentului, a Dispozitivelor şi Tehnologiilor Medicale, cu sediul în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p>
    <w:p w14:paraId="12A6F3DD" w14:textId="77777777"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Cu drept de recurs în termen de 15 zile de la comunicare.</w:t>
      </w:r>
    </w:p>
    <w:p w14:paraId="29E629FF" w14:textId="04509F4C" w:rsidR="006A4ABD" w:rsidRPr="006A4ABD" w:rsidRDefault="006A4ABD" w:rsidP="006A4ABD">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 xml:space="preserve">Cererea de recurs se va depune la Curtea de Apel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w:t>
      </w:r>
    </w:p>
    <w:p w14:paraId="7DE5E4C3" w14:textId="66798C9F" w:rsidR="006A4ABD" w:rsidRPr="006A4ABD" w:rsidRDefault="006A4ABD" w:rsidP="006A4ABD">
      <w:pPr>
        <w:spacing w:after="0" w:line="240" w:lineRule="auto"/>
        <w:jc w:val="both"/>
        <w:rPr>
          <w:rFonts w:ascii="Times New Roman" w:eastAsia="Times New Roman" w:hAnsi="Times New Roman" w:cs="Times New Roman"/>
          <w:kern w:val="0"/>
          <w:sz w:val="24"/>
          <w:szCs w:val="20"/>
          <w:lang w:val="ro-RO" w:eastAsia="en-GB"/>
          <w14:ligatures w14:val="none"/>
        </w:rPr>
      </w:pPr>
      <w:r w:rsidRPr="006A4ABD">
        <w:rPr>
          <w:rFonts w:ascii="Times New Roman" w:eastAsia="Times New Roman" w:hAnsi="Times New Roman" w:cs="Times New Roman"/>
          <w:kern w:val="0"/>
          <w:sz w:val="24"/>
          <w:szCs w:val="20"/>
          <w:lang w:val="ro-RO" w:eastAsia="en-GB"/>
          <w14:ligatures w14:val="none"/>
        </w:rPr>
        <w:tab/>
        <w:t xml:space="preserve">Pronunţată azi, </w:t>
      </w:r>
      <w:r w:rsidR="00A3782E">
        <w:rPr>
          <w:rFonts w:ascii="Times New Roman" w:eastAsia="Times New Roman" w:hAnsi="Times New Roman" w:cs="Times New Roman"/>
          <w:kern w:val="0"/>
          <w:sz w:val="24"/>
          <w:szCs w:val="20"/>
          <w:lang w:val="ro-RO" w:eastAsia="en-GB"/>
          <w14:ligatures w14:val="none"/>
        </w:rPr>
        <w:t>.............</w:t>
      </w:r>
      <w:r w:rsidRPr="006A4ABD">
        <w:rPr>
          <w:rFonts w:ascii="Times New Roman" w:eastAsia="Times New Roman" w:hAnsi="Times New Roman" w:cs="Times New Roman"/>
          <w:kern w:val="0"/>
          <w:sz w:val="24"/>
          <w:szCs w:val="20"/>
          <w:lang w:val="ro-RO" w:eastAsia="en-GB"/>
          <w14:ligatures w14:val="none"/>
        </w:rPr>
        <w:t>, prin punerea soluţiei la dispoziţia grefei instanţei.</w:t>
      </w:r>
    </w:p>
    <w:p w14:paraId="2A456320" w14:textId="60149F1B" w:rsid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3C61FF69" w14:textId="77777777" w:rsidR="00A3782E"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6DF41BCD" w14:textId="6EF1D98A" w:rsidR="00A3782E"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Președinte</w:t>
      </w:r>
    </w:p>
    <w:p w14:paraId="0165A411" w14:textId="082ABCE9" w:rsidR="00A3782E"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A0010</w:t>
      </w:r>
    </w:p>
    <w:p w14:paraId="47005AE0" w14:textId="77777777" w:rsidR="00A3782E"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043F532B" w14:textId="33ADFB57" w:rsidR="00A3782E"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Grefier</w:t>
      </w:r>
    </w:p>
    <w:p w14:paraId="174883C5" w14:textId="198B800A" w:rsidR="00A3782E" w:rsidRPr="006A4ABD" w:rsidRDefault="00A3782E" w:rsidP="006A4ABD">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w:t>
      </w:r>
    </w:p>
    <w:p w14:paraId="42F87E0B" w14:textId="77777777" w:rsidR="006A4ABD" w:rsidRPr="006A4ABD" w:rsidRDefault="006A4ABD" w:rsidP="006A4ABD">
      <w:pPr>
        <w:spacing w:after="0" w:line="240" w:lineRule="auto"/>
        <w:jc w:val="center"/>
        <w:rPr>
          <w:rFonts w:ascii="Times New Roman" w:eastAsia="Times New Roman" w:hAnsi="Times New Roman" w:cs="Times New Roman"/>
          <w:kern w:val="0"/>
          <w:sz w:val="24"/>
          <w:szCs w:val="20"/>
          <w:lang w:val="ro-RO" w:eastAsia="en-GB"/>
          <w14:ligatures w14:val="none"/>
        </w:rPr>
      </w:pPr>
    </w:p>
    <w:p w14:paraId="52084768" w14:textId="19180B6D" w:rsidR="006A4ABD" w:rsidRPr="006A4ABD" w:rsidRDefault="006A4ABD" w:rsidP="006A4ABD">
      <w:pPr>
        <w:spacing w:after="0" w:line="240" w:lineRule="auto"/>
        <w:rPr>
          <w:rFonts w:ascii="Times New Roman" w:eastAsia="Times New Roman" w:hAnsi="Times New Roman" w:cs="Times New Roman"/>
          <w:i/>
          <w:kern w:val="0"/>
          <w:sz w:val="20"/>
          <w:szCs w:val="20"/>
          <w:lang w:val="ro-RO" w:eastAsia="en-GB"/>
          <w14:ligatures w14:val="none"/>
        </w:rPr>
      </w:pPr>
      <w:r w:rsidRPr="006A4ABD">
        <w:rPr>
          <w:rFonts w:ascii="Times New Roman" w:eastAsia="Times New Roman" w:hAnsi="Times New Roman" w:cs="Times New Roman"/>
          <w:i/>
          <w:kern w:val="0"/>
          <w:sz w:val="20"/>
          <w:szCs w:val="20"/>
          <w:lang w:val="ro-RO" w:eastAsia="en-GB"/>
          <w14:ligatures w14:val="none"/>
        </w:rPr>
        <w:lastRenderedPageBreak/>
        <w:t xml:space="preserve">Red. și tehnored. Jud </w:t>
      </w:r>
      <w:r w:rsidR="00A3782E">
        <w:rPr>
          <w:rFonts w:ascii="Times New Roman" w:eastAsia="Times New Roman" w:hAnsi="Times New Roman" w:cs="Times New Roman"/>
          <w:i/>
          <w:kern w:val="0"/>
          <w:sz w:val="20"/>
          <w:szCs w:val="20"/>
          <w:lang w:val="ro-RO" w:eastAsia="en-GB"/>
          <w14:ligatures w14:val="none"/>
        </w:rPr>
        <w:t>A001</w:t>
      </w:r>
      <w:r w:rsidR="00C4606D">
        <w:rPr>
          <w:rFonts w:ascii="Times New Roman" w:eastAsia="Times New Roman" w:hAnsi="Times New Roman" w:cs="Times New Roman"/>
          <w:i/>
          <w:kern w:val="0"/>
          <w:sz w:val="20"/>
          <w:szCs w:val="20"/>
          <w:lang w:val="ro-RO" w:eastAsia="en-GB"/>
          <w14:ligatures w14:val="none"/>
        </w:rPr>
        <w:t>0</w:t>
      </w:r>
    </w:p>
    <w:p w14:paraId="22A851B3" w14:textId="123016B7" w:rsidR="006A4ABD" w:rsidRPr="006A4ABD" w:rsidRDefault="006A4ABD" w:rsidP="006A4ABD">
      <w:pPr>
        <w:spacing w:after="0" w:line="240" w:lineRule="auto"/>
        <w:rPr>
          <w:rFonts w:ascii="Times New Roman" w:eastAsia="Times New Roman" w:hAnsi="Times New Roman" w:cs="Times New Roman"/>
          <w:i/>
          <w:kern w:val="0"/>
          <w:sz w:val="20"/>
          <w:szCs w:val="20"/>
          <w:lang w:val="ro-RO" w:eastAsia="en-GB"/>
          <w14:ligatures w14:val="none"/>
        </w:rPr>
      </w:pPr>
      <w:r w:rsidRPr="006A4ABD">
        <w:rPr>
          <w:rFonts w:ascii="Times New Roman" w:eastAsia="Times New Roman" w:hAnsi="Times New Roman" w:cs="Times New Roman"/>
          <w:i/>
          <w:kern w:val="0"/>
          <w:sz w:val="20"/>
          <w:szCs w:val="20"/>
          <w:lang w:val="ro-RO" w:eastAsia="en-GB"/>
          <w14:ligatures w14:val="none"/>
        </w:rPr>
        <w:t>2 ex. /</w:t>
      </w:r>
      <w:r w:rsidR="00A3782E">
        <w:rPr>
          <w:rFonts w:ascii="Times New Roman" w:eastAsia="Times New Roman" w:hAnsi="Times New Roman" w:cs="Times New Roman"/>
          <w:i/>
          <w:kern w:val="0"/>
          <w:sz w:val="20"/>
          <w:szCs w:val="20"/>
          <w:lang w:val="ro-RO" w:eastAsia="en-GB"/>
          <w14:ligatures w14:val="none"/>
        </w:rPr>
        <w:t>...........</w:t>
      </w:r>
    </w:p>
    <w:p w14:paraId="2E530F9A" w14:textId="3D1A5A64" w:rsidR="006A4ABD" w:rsidRPr="006A4ABD" w:rsidRDefault="006A4ABD" w:rsidP="006A4ABD">
      <w:pPr>
        <w:spacing w:after="0" w:line="240" w:lineRule="auto"/>
        <w:rPr>
          <w:rFonts w:ascii="Times New Roman" w:eastAsia="Times New Roman" w:hAnsi="Times New Roman" w:cs="Times New Roman"/>
          <w:i/>
          <w:kern w:val="0"/>
          <w:sz w:val="20"/>
          <w:szCs w:val="20"/>
          <w:lang w:val="ro-RO" w:eastAsia="en-GB"/>
          <w14:ligatures w14:val="none"/>
        </w:rPr>
      </w:pPr>
      <w:r w:rsidRPr="006A4ABD">
        <w:rPr>
          <w:rFonts w:ascii="Times New Roman" w:eastAsia="Times New Roman" w:hAnsi="Times New Roman" w:cs="Times New Roman"/>
          <w:i/>
          <w:kern w:val="0"/>
          <w:sz w:val="20"/>
          <w:szCs w:val="20"/>
          <w:lang w:val="ro-RO" w:eastAsia="en-GB"/>
          <w14:ligatures w14:val="none"/>
        </w:rPr>
        <w:t>E. 2 com. /</w:t>
      </w:r>
      <w:r w:rsidR="00A3782E">
        <w:rPr>
          <w:rFonts w:ascii="Times New Roman" w:eastAsia="Times New Roman" w:hAnsi="Times New Roman" w:cs="Times New Roman"/>
          <w:i/>
          <w:kern w:val="0"/>
          <w:sz w:val="20"/>
          <w:szCs w:val="20"/>
          <w:lang w:val="ro-RO" w:eastAsia="en-GB"/>
          <w14:ligatures w14:val="none"/>
        </w:rPr>
        <w:t>.............</w:t>
      </w:r>
    </w:p>
    <w:p w14:paraId="6865C85F" w14:textId="77777777" w:rsidR="000C1B57" w:rsidRPr="00A3782E" w:rsidRDefault="000C1B57">
      <w:pPr>
        <w:rPr>
          <w:lang w:val="fr-FR"/>
        </w:rPr>
      </w:pPr>
    </w:p>
    <w:sectPr w:rsidR="000C1B57" w:rsidRPr="00A3782E" w:rsidSect="006A4ABD">
      <w:footerReference w:type="default" r:id="rId6"/>
      <w:pgSz w:w="11906" w:h="16838"/>
      <w:pgMar w:top="1134" w:right="1134"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D89E" w14:textId="77777777" w:rsidR="00C4606D" w:rsidRDefault="00C4606D">
      <w:pPr>
        <w:spacing w:after="0" w:line="240" w:lineRule="auto"/>
      </w:pPr>
      <w:r>
        <w:separator/>
      </w:r>
    </w:p>
  </w:endnote>
  <w:endnote w:type="continuationSeparator" w:id="0">
    <w:p w14:paraId="49F412F2" w14:textId="77777777" w:rsidR="00C4606D" w:rsidRDefault="00C46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A5D0A" w14:textId="77777777" w:rsidR="006A4ABD" w:rsidRDefault="006A4ABD">
    <w:pPr>
      <w:pStyle w:val="Subsol1"/>
      <w:jc w:val="center"/>
    </w:pPr>
    <w:r>
      <w:fldChar w:fldCharType="begin"/>
    </w:r>
    <w:r>
      <w:instrText>PAGE   \* MERGEFORMAT</w:instrText>
    </w:r>
    <w:r>
      <w:fldChar w:fldCharType="separate"/>
    </w:r>
    <w:r>
      <w:t>#</w:t>
    </w:r>
    <w:r>
      <w:fldChar w:fldCharType="end"/>
    </w:r>
  </w:p>
  <w:p w14:paraId="2E201729" w14:textId="77777777" w:rsidR="006A4ABD" w:rsidRDefault="006A4ABD">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7FAD0" w14:textId="77777777" w:rsidR="00C4606D" w:rsidRDefault="00C4606D">
      <w:pPr>
        <w:spacing w:after="0" w:line="240" w:lineRule="auto"/>
      </w:pPr>
      <w:r>
        <w:separator/>
      </w:r>
    </w:p>
  </w:footnote>
  <w:footnote w:type="continuationSeparator" w:id="0">
    <w:p w14:paraId="7B041EDB" w14:textId="77777777" w:rsidR="00C4606D" w:rsidRDefault="00C460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E5"/>
    <w:rsid w:val="00085EB6"/>
    <w:rsid w:val="000C1B57"/>
    <w:rsid w:val="000D553B"/>
    <w:rsid w:val="00104E31"/>
    <w:rsid w:val="001A5039"/>
    <w:rsid w:val="0041047C"/>
    <w:rsid w:val="00446AF8"/>
    <w:rsid w:val="006A4ABD"/>
    <w:rsid w:val="0099392C"/>
    <w:rsid w:val="00A3782E"/>
    <w:rsid w:val="00B65F2B"/>
    <w:rsid w:val="00C452E5"/>
    <w:rsid w:val="00C4606D"/>
    <w:rsid w:val="00D07D59"/>
    <w:rsid w:val="00D448A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EBE"/>
  <w15:chartTrackingRefBased/>
  <w15:docId w15:val="{4F102294-A5B4-4A03-B78D-2D9EAA9F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C45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C45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C452E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C452E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C452E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C452E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C452E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C452E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C452E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452E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C452E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C452E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C452E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C452E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C452E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452E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452E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452E5"/>
    <w:rPr>
      <w:rFonts w:eastAsiaTheme="majorEastAsia" w:cstheme="majorBidi"/>
      <w:color w:val="272727" w:themeColor="text1" w:themeTint="D8"/>
    </w:rPr>
  </w:style>
  <w:style w:type="paragraph" w:styleId="Titlu">
    <w:name w:val="Title"/>
    <w:basedOn w:val="Normal"/>
    <w:next w:val="Normal"/>
    <w:link w:val="TitluCaracter"/>
    <w:uiPriority w:val="10"/>
    <w:qFormat/>
    <w:rsid w:val="00C45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452E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452E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C452E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452E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C452E5"/>
    <w:rPr>
      <w:i/>
      <w:iCs/>
      <w:color w:val="404040" w:themeColor="text1" w:themeTint="BF"/>
    </w:rPr>
  </w:style>
  <w:style w:type="paragraph" w:styleId="Listparagraf">
    <w:name w:val="List Paragraph"/>
    <w:basedOn w:val="Normal"/>
    <w:uiPriority w:val="34"/>
    <w:qFormat/>
    <w:rsid w:val="00C452E5"/>
    <w:pPr>
      <w:ind w:left="720"/>
      <w:contextualSpacing/>
    </w:pPr>
  </w:style>
  <w:style w:type="character" w:styleId="Accentuareintens">
    <w:name w:val="Intense Emphasis"/>
    <w:basedOn w:val="Fontdeparagrafimplicit"/>
    <w:uiPriority w:val="21"/>
    <w:qFormat/>
    <w:rsid w:val="00C452E5"/>
    <w:rPr>
      <w:i/>
      <w:iCs/>
      <w:color w:val="2F5496" w:themeColor="accent1" w:themeShade="BF"/>
    </w:rPr>
  </w:style>
  <w:style w:type="paragraph" w:styleId="Citatintens">
    <w:name w:val="Intense Quote"/>
    <w:basedOn w:val="Normal"/>
    <w:next w:val="Normal"/>
    <w:link w:val="CitatintensCaracter"/>
    <w:uiPriority w:val="30"/>
    <w:qFormat/>
    <w:rsid w:val="00C45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C452E5"/>
    <w:rPr>
      <w:i/>
      <w:iCs/>
      <w:color w:val="2F5496" w:themeColor="accent1" w:themeShade="BF"/>
    </w:rPr>
  </w:style>
  <w:style w:type="character" w:styleId="Referireintens">
    <w:name w:val="Intense Reference"/>
    <w:basedOn w:val="Fontdeparagrafimplicit"/>
    <w:uiPriority w:val="32"/>
    <w:qFormat/>
    <w:rsid w:val="00C452E5"/>
    <w:rPr>
      <w:b/>
      <w:bCs/>
      <w:smallCaps/>
      <w:color w:val="2F5496" w:themeColor="accent1" w:themeShade="BF"/>
      <w:spacing w:val="5"/>
    </w:rPr>
  </w:style>
  <w:style w:type="paragraph" w:customStyle="1" w:styleId="Subsol1">
    <w:name w:val="Subsol1"/>
    <w:basedOn w:val="Normal"/>
    <w:link w:val="SubsolCaracter"/>
    <w:rsid w:val="006A4ABD"/>
    <w:pPr>
      <w:tabs>
        <w:tab w:val="center" w:pos="4536"/>
        <w:tab w:val="right" w:pos="9072"/>
      </w:tabs>
      <w:spacing w:after="0" w:line="240" w:lineRule="auto"/>
    </w:pPr>
    <w:rPr>
      <w:rFonts w:ascii="Times New Roman" w:eastAsia="Times New Roman" w:hAnsi="Times New Roman" w:cs="Times New Roman"/>
      <w:kern w:val="0"/>
      <w:sz w:val="24"/>
      <w:szCs w:val="20"/>
      <w:lang w:val="ro-RO" w:eastAsia="en-GB"/>
      <w14:ligatures w14:val="none"/>
    </w:rPr>
  </w:style>
  <w:style w:type="character" w:customStyle="1" w:styleId="SubsolCaracter">
    <w:name w:val="Subsol Caracter"/>
    <w:link w:val="Subsol1"/>
    <w:rsid w:val="006A4ABD"/>
    <w:rPr>
      <w:rFonts w:ascii="Times New Roman" w:eastAsia="Times New Roman" w:hAnsi="Times New Roman" w:cs="Times New Roman"/>
      <w:kern w:val="0"/>
      <w:sz w:val="24"/>
      <w:szCs w:val="20"/>
      <w:lang w:val="ro-RO" w:eastAsia="en-GB"/>
      <w14:ligatures w14:val="none"/>
    </w:rPr>
  </w:style>
  <w:style w:type="table" w:customStyle="1" w:styleId="TabelNormal1">
    <w:name w:val="Tabel Normal1"/>
    <w:rsid w:val="006A4ABD"/>
    <w:pPr>
      <w:spacing w:after="0" w:line="240" w:lineRule="auto"/>
    </w:pPr>
    <w:rPr>
      <w:rFonts w:ascii="Times New Roman" w:eastAsia="Times New Roman" w:hAnsi="Times New Roman" w:cs="Times New Roman"/>
      <w:kern w:val="0"/>
      <w:szCs w:val="20"/>
      <w:lang w:eastAsia="en-GB"/>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5994</Words>
  <Characters>34768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2026-09-04T07:37:00Z</dcterms:created>
  <dcterms:modified xsi:type="dcterms:W3CDTF">2026-09-04T07:38:00Z</dcterms:modified>
  <cp:category/>
  <dc:identifier/>
  <cp:contentStatus/>
  <dc:language/>
  <cp:version/>
</cp:coreProperties>
</file>