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CE59D1" w14:paraId="25A0DBC6" w14:textId="0647D8C4">
      <w:pPr>
        <w:jc w:val="both"/>
        <w:rPr>
          <w:rStyle w:val="Fontdeparagrafimplicit"/>
          <w:b/>
        </w:rPr>
      </w:pPr>
      <w:r>
        <w:rPr>
          <w:rStyle w:val="Fontdeparagrafimplicit"/>
          <w:b/>
        </w:rPr>
        <w:t xml:space="preserve">Dosar nr. </w:t>
      </w:r>
      <w:r w:rsidR="0078608E">
        <w:rPr>
          <w:rStyle w:val="Fontdeparagrafimplicit"/>
          <w:b/>
        </w:rPr>
        <w:t xml:space="preserve">1 </w:t>
      </w:r>
    </w:p>
    <w:p w:rsidR="00CE59D1" w14:paraId="271BF1A1" w14:textId="3BE93D82">
      <w:pPr>
        <w:jc w:val="both"/>
        <w:rPr>
          <w:rStyle w:val="Fontdeparagrafimplicit"/>
          <w:b/>
        </w:rPr>
      </w:pPr>
      <w:r>
        <w:rPr>
          <w:rStyle w:val="Fontdeparagrafimplicit"/>
          <w:b/>
        </w:rPr>
        <w:t xml:space="preserve">                 </w:t>
      </w:r>
      <w:r w:rsidR="0078608E">
        <w:rPr>
          <w:rStyle w:val="Fontdeparagrafimplicit"/>
          <w:b/>
        </w:rPr>
        <w:t xml:space="preserve"> </w:t>
      </w:r>
    </w:p>
    <w:p w:rsidR="00CE59D1" w14:paraId="761177E4" w14:textId="77777777">
      <w:pPr>
        <w:jc w:val="both"/>
        <w:rPr>
          <w:rStyle w:val="Fontdeparagrafimplicit"/>
          <w:b/>
        </w:rPr>
      </w:pPr>
    </w:p>
    <w:p w:rsidR="00CE59D1" w14:paraId="17314DD5" w14:textId="77777777">
      <w:pPr>
        <w:jc w:val="center"/>
        <w:rPr>
          <w:rStyle w:val="Fontdeparagrafimplicit"/>
          <w:b/>
        </w:rPr>
      </w:pPr>
      <w:r>
        <w:rPr>
          <w:rStyle w:val="Fontdeparagrafimplicit"/>
          <w:b/>
        </w:rPr>
        <w:t>R O M Â N I A</w:t>
      </w:r>
    </w:p>
    <w:p w:rsidR="00CE59D1" w14:paraId="59839C59" w14:textId="1A65C08B">
      <w:pPr>
        <w:jc w:val="center"/>
        <w:rPr>
          <w:rStyle w:val="Fontdeparagrafimplicit"/>
          <w:b/>
        </w:rPr>
      </w:pPr>
      <w:r>
        <w:rPr>
          <w:rStyle w:val="Fontdeparagrafimplicit"/>
          <w:b/>
        </w:rPr>
        <w:t xml:space="preserve">CURTEA DE APEL </w:t>
      </w:r>
      <w:r w:rsidR="0078608E">
        <w:rPr>
          <w:rStyle w:val="Fontdeparagrafimplicit"/>
          <w:b/>
        </w:rPr>
        <w:t xml:space="preserve">                 </w:t>
      </w:r>
      <w:r>
        <w:rPr>
          <w:rStyle w:val="Fontdeparagrafimplicit"/>
          <w:b/>
        </w:rPr>
        <w:t xml:space="preserve">  -  SECŢIA </w:t>
      </w:r>
      <w:r w:rsidR="0078608E">
        <w:rPr>
          <w:rStyle w:val="Fontdeparagrafimplicit"/>
          <w:b/>
        </w:rPr>
        <w:t xml:space="preserve"> </w:t>
      </w:r>
    </w:p>
    <w:p w:rsidR="00CE59D1" w14:paraId="2911F679" w14:textId="77777777">
      <w:pPr>
        <w:jc w:val="center"/>
        <w:rPr>
          <w:rStyle w:val="Fontdeparagrafimplicit"/>
          <w:b/>
        </w:rPr>
      </w:pPr>
    </w:p>
    <w:p w:rsidR="00CE59D1" w14:paraId="31294844" w14:textId="3080E2D3">
      <w:pPr>
        <w:jc w:val="center"/>
        <w:rPr>
          <w:rStyle w:val="Fontdeparagrafimplicit"/>
          <w:b/>
          <w:i/>
        </w:rPr>
      </w:pPr>
      <w:r>
        <w:rPr>
          <w:rStyle w:val="Fontdeparagrafimplicit"/>
          <w:b/>
          <w:i/>
        </w:rPr>
        <w:t xml:space="preserve">SENTINŢA </w:t>
      </w:r>
      <w:r w:rsidR="006A7711">
        <w:rPr>
          <w:rStyle w:val="Fontdeparagrafimplicit"/>
          <w:b/>
          <w:i/>
        </w:rPr>
        <w:t xml:space="preserve"> </w:t>
      </w:r>
      <w:r>
        <w:rPr>
          <w:rStyle w:val="Fontdeparagrafimplicit"/>
          <w:b/>
          <w:i/>
        </w:rPr>
        <w:t xml:space="preserve"> NR. </w:t>
      </w:r>
      <w:r w:rsidR="0078608E">
        <w:rPr>
          <w:rStyle w:val="Fontdeparagrafimplicit"/>
          <w:b/>
          <w:i/>
        </w:rPr>
        <w:t>8</w:t>
      </w:r>
    </w:p>
    <w:p w:rsidR="00CE59D1" w14:paraId="17C6170C" w14:textId="4F88B393">
      <w:pPr>
        <w:jc w:val="center"/>
        <w:rPr>
          <w:rStyle w:val="Fontdeparagrafimplicit"/>
          <w:b/>
        </w:rPr>
      </w:pPr>
      <w:r>
        <w:rPr>
          <w:rStyle w:val="Fontdeparagrafimplicit"/>
          <w:b/>
        </w:rPr>
        <w:t xml:space="preserve">Şedinţa publică de la  </w:t>
      </w:r>
      <w:r w:rsidR="0078608E">
        <w:rPr>
          <w:rStyle w:val="Fontdeparagrafimplicit"/>
          <w:b/>
        </w:rPr>
        <w:t xml:space="preserve"> </w:t>
      </w:r>
    </w:p>
    <w:p w:rsidR="00CE59D1" w14:paraId="256EDFA2" w14:textId="77777777">
      <w:pPr>
        <w:jc w:val="center"/>
        <w:rPr>
          <w:rStyle w:val="Fontdeparagrafimplicit"/>
          <w:b/>
        </w:rPr>
      </w:pPr>
      <w:r>
        <w:rPr>
          <w:rStyle w:val="Fontdeparagrafimplicit"/>
          <w:b/>
        </w:rPr>
        <w:t>Curtea constituită din:</w:t>
      </w:r>
    </w:p>
    <w:p w:rsidR="00CE59D1" w14:paraId="29860D24" w14:textId="1D004447">
      <w:pPr>
        <w:jc w:val="center"/>
        <w:rPr>
          <w:rStyle w:val="Fontdeparagrafimplicit"/>
          <w:b/>
        </w:rPr>
      </w:pPr>
      <w:r>
        <w:rPr>
          <w:rStyle w:val="Fontdeparagrafimplicit"/>
          <w:b/>
        </w:rPr>
        <w:t xml:space="preserve">Preşedinte: </w:t>
      </w:r>
      <w:r>
        <w:rPr>
          <w:rStyle w:val="Fontdeparagrafimplicit"/>
          <w:b/>
        </w:rPr>
        <w:tab/>
      </w:r>
      <w:r w:rsidR="0078608E">
        <w:rPr>
          <w:rStyle w:val="Fontdeparagrafimplicit"/>
          <w:b/>
        </w:rPr>
        <w:t>A0002</w:t>
      </w:r>
    </w:p>
    <w:p w:rsidR="00CE59D1" w14:paraId="16B2D5E7" w14:textId="1E15DA08">
      <w:pPr>
        <w:jc w:val="center"/>
        <w:rPr>
          <w:rStyle w:val="Fontdeparagrafimplicit"/>
          <w:b/>
        </w:rPr>
      </w:pPr>
      <w:r>
        <w:rPr>
          <w:rStyle w:val="Fontdeparagrafimplicit"/>
          <w:b/>
        </w:rPr>
        <w:t>Grefier:</w:t>
      </w:r>
      <w:r>
        <w:rPr>
          <w:rStyle w:val="Fontdeparagrafimplicit"/>
          <w:b/>
        </w:rPr>
        <w:tab/>
      </w:r>
      <w:r w:rsidR="0078608E">
        <w:rPr>
          <w:rStyle w:val="Fontdeparagrafimplicit"/>
          <w:b/>
        </w:rPr>
        <w:t xml:space="preserve"> </w:t>
      </w:r>
    </w:p>
    <w:p w:rsidR="00CE59D1" w14:paraId="65C4BEC1" w14:textId="77777777">
      <w:pPr>
        <w:jc w:val="both"/>
        <w:rPr>
          <w:rStyle w:val="Fontdeparagrafimplicit"/>
          <w:b/>
        </w:rPr>
      </w:pPr>
    </w:p>
    <w:p w:rsidR="00CE59D1" w14:paraId="47D6E906" w14:textId="77777777">
      <w:pPr>
        <w:jc w:val="both"/>
        <w:rPr>
          <w:rStyle w:val="Fontdeparagrafimplicit"/>
          <w:b/>
        </w:rPr>
      </w:pPr>
    </w:p>
    <w:p w:rsidR="00CE59D1" w14:paraId="1AB66F23" w14:textId="69DB9170">
      <w:pPr>
        <w:ind w:firstLine="858"/>
        <w:jc w:val="both"/>
        <w:rPr>
          <w:rStyle w:val="Fontdeparagrafimplicit"/>
          <w:b/>
        </w:rPr>
      </w:pPr>
      <w:r>
        <w:rPr>
          <w:rStyle w:val="Fontdeparagrafimplicit"/>
          <w:b/>
        </w:rPr>
        <w:t xml:space="preserve">Ministerul Public – Parchetul de pe lângă Curtea de Apel </w:t>
      </w:r>
      <w:r w:rsidR="0078608E">
        <w:rPr>
          <w:rStyle w:val="Fontdeparagrafimplicit"/>
          <w:b/>
        </w:rPr>
        <w:t xml:space="preserve">                 </w:t>
      </w:r>
      <w:r>
        <w:rPr>
          <w:rStyle w:val="Fontdeparagrafimplicit"/>
          <w:b/>
        </w:rPr>
        <w:t xml:space="preserve"> - reprezentat prin procuror </w:t>
      </w:r>
      <w:r w:rsidR="0078608E">
        <w:rPr>
          <w:rStyle w:val="Fontdeparagrafimplicit"/>
          <w:b/>
        </w:rPr>
        <w:t xml:space="preserve"> </w:t>
      </w:r>
      <w:r>
        <w:rPr>
          <w:rStyle w:val="Fontdeparagrafimplicit"/>
          <w:b/>
        </w:rPr>
        <w:t>.</w:t>
      </w:r>
    </w:p>
    <w:p w:rsidR="00CE59D1" w14:paraId="63D25107" w14:textId="77777777">
      <w:pPr>
        <w:ind w:firstLine="858"/>
        <w:jc w:val="both"/>
        <w:rPr>
          <w:rStyle w:val="Fontdeparagrafimplicit"/>
        </w:rPr>
      </w:pPr>
    </w:p>
    <w:p w:rsidR="00CE59D1" w14:paraId="167B660B" w14:textId="6F37AEFE">
      <w:pPr>
        <w:ind w:firstLine="858"/>
        <w:jc w:val="both"/>
        <w:rPr>
          <w:rStyle w:val="Fontdeparagrafimplicit"/>
          <w:color w:val="000000"/>
        </w:rPr>
      </w:pPr>
      <w:r>
        <w:t xml:space="preserve">Pe rol, soluţionarea </w:t>
      </w:r>
      <w:r>
        <w:rPr>
          <w:rStyle w:val="Fontdeparagrafimplicit"/>
          <w:color w:val="000000"/>
        </w:rPr>
        <w:t xml:space="preserve">cauzei penale având ca obiect sesizarea nr. </w:t>
      </w:r>
      <w:r w:rsidR="0078608E">
        <w:rPr>
          <w:rStyle w:val="Fontdeparagrafimplicit"/>
          <w:color w:val="000000"/>
        </w:rPr>
        <w:t xml:space="preserve">    </w:t>
      </w:r>
      <w:r>
        <w:rPr>
          <w:rStyle w:val="Fontdeparagrafimplicit"/>
          <w:color w:val="000000"/>
        </w:rPr>
        <w:t xml:space="preserve">/2017 a Parchetului de pe lângă Curtea de Apel </w:t>
      </w:r>
      <w:r w:rsidR="0078608E">
        <w:rPr>
          <w:rStyle w:val="Fontdeparagrafimplicit"/>
          <w:color w:val="000000"/>
        </w:rPr>
        <w:t xml:space="preserve">                 </w:t>
      </w:r>
      <w:r>
        <w:rPr>
          <w:rStyle w:val="Fontdeparagrafimplicit"/>
          <w:color w:val="000000"/>
        </w:rPr>
        <w:t xml:space="preserve"> privind persoana condamnată </w:t>
      </w:r>
      <w:r w:rsidR="0078608E">
        <w:rPr>
          <w:rStyle w:val="Fontdeparagrafimplicit"/>
          <w:b/>
          <w:color w:val="000000"/>
        </w:rPr>
        <w:t xml:space="preserve">2 </w:t>
      </w:r>
      <w:r>
        <w:rPr>
          <w:rStyle w:val="Fontdeparagrafimplicit"/>
          <w:color w:val="000000"/>
        </w:rPr>
        <w:t xml:space="preserve">, prin care se solicită a se aprecia cu privire la cererea de transfer formulată de autorităţile judiciare </w:t>
      </w:r>
      <w:r w:rsidR="006A7711">
        <w:rPr>
          <w:rStyle w:val="Fontdeparagrafimplicit"/>
          <w:color w:val="000000"/>
        </w:rPr>
        <w:t xml:space="preserve">   </w:t>
      </w:r>
      <w:r>
        <w:rPr>
          <w:rStyle w:val="Fontdeparagrafimplicit"/>
          <w:color w:val="000000"/>
        </w:rPr>
        <w:t xml:space="preserve"> şi la punerea în executare a acesteia.</w:t>
      </w:r>
    </w:p>
    <w:p w:rsidR="00CE59D1" w14:paraId="17066813" w14:textId="52837F14">
      <w:pPr>
        <w:ind w:firstLine="858"/>
        <w:jc w:val="both"/>
      </w:pPr>
      <w:r>
        <w:rPr>
          <w:rStyle w:val="Fontdeparagrafimplicit"/>
          <w:color w:val="000000"/>
        </w:rPr>
        <w:t xml:space="preserve">La apelul nominal făcut în şedinţa publică a răspuns </w:t>
      </w:r>
      <w:r>
        <w:t xml:space="preserve">persoana condamnată </w:t>
      </w:r>
      <w:r w:rsidR="0078608E">
        <w:rPr>
          <w:rStyle w:val="Fontdeparagrafimplicit"/>
          <w:b/>
          <w:color w:val="000000"/>
        </w:rPr>
        <w:t xml:space="preserve">2 </w:t>
      </w:r>
      <w:r>
        <w:rPr>
          <w:rStyle w:val="Fontdeparagrafimplicit"/>
          <w:b/>
          <w:color w:val="000000"/>
        </w:rPr>
        <w:t>,</w:t>
      </w:r>
      <w:r>
        <w:rPr>
          <w:rStyle w:val="Fontdeparagrafimplicit"/>
          <w:color w:val="000000"/>
        </w:rPr>
        <w:t xml:space="preserve"> personal, aflat în stare de detenţie, asistată juridic de</w:t>
      </w:r>
      <w:r>
        <w:t xml:space="preserve"> apărător din oficiu, avocat </w:t>
      </w:r>
      <w:r w:rsidR="0078608E">
        <w:t xml:space="preserve">              </w:t>
      </w:r>
      <w:r>
        <w:t>, cu delegaţie pentru asistenţă juridică obligatorie depusă la dosar.</w:t>
      </w:r>
    </w:p>
    <w:p w:rsidR="00CE59D1" w14:paraId="6BD35D98" w14:textId="77777777">
      <w:pPr>
        <w:ind w:firstLine="858"/>
        <w:jc w:val="both"/>
      </w:pPr>
      <w:r>
        <w:t xml:space="preserve">Procedura de citare este legal îndeplinită. </w:t>
      </w:r>
    </w:p>
    <w:p w:rsidR="00CE59D1" w14:paraId="26BA6F01" w14:textId="77777777">
      <w:pPr>
        <w:ind w:firstLine="858"/>
        <w:jc w:val="both"/>
        <w:rPr>
          <w:rStyle w:val="Fontdeparagrafimplicit"/>
          <w:b/>
        </w:rPr>
      </w:pPr>
      <w:r>
        <w:t>S-a făcut referatul cauzei de către grefierul de şedinţă, după care:</w:t>
      </w:r>
    </w:p>
    <w:p w:rsidR="00CE59D1" w14:paraId="59414AA9" w14:textId="77777777">
      <w:pPr>
        <w:ind w:firstLine="858"/>
        <w:jc w:val="both"/>
        <w:rPr>
          <w:rStyle w:val="Fontdeparagrafimplicit"/>
          <w:i/>
        </w:rPr>
      </w:pPr>
      <w:r>
        <w:rPr>
          <w:rStyle w:val="Fontdeparagrafimplicit"/>
          <w:b/>
          <w:i/>
        </w:rPr>
        <w:t>Nefiind cereri prealabile de formulat, probe de solicitat sau excepţii de invocat, Curtea constată cauza în stare de judecată şi acordă cuvântul în dezbateri.</w:t>
      </w:r>
      <w:r>
        <w:rPr>
          <w:rStyle w:val="Fontdeparagrafimplicit"/>
          <w:i/>
        </w:rPr>
        <w:t xml:space="preserve"> </w:t>
      </w:r>
    </w:p>
    <w:p w:rsidR="00CE59D1" w14:paraId="38DA124E" w14:textId="67D12E94">
      <w:pPr>
        <w:ind w:firstLine="858"/>
        <w:jc w:val="both"/>
      </w:pPr>
      <w:r>
        <w:rPr>
          <w:rStyle w:val="Fontdeparagrafimplicit"/>
          <w:b/>
        </w:rPr>
        <w:t>Reprezentantul Ministerului Public</w:t>
      </w:r>
      <w:r>
        <w:t xml:space="preserve">, având cuvântul, arată că faţă de relaţiile comunicate şi, de asemenea, faţă de solicitarea, formulată în scris, de Parchetul de pe lângă Curtea de Apel </w:t>
      </w:r>
      <w:r w:rsidR="0078608E">
        <w:t xml:space="preserve">                 </w:t>
      </w:r>
      <w:r>
        <w:t xml:space="preserve">, pune concluzii de respingere a cererii de recunoaştere a sentinţei penale pronunţată de către autorităţile statului solicitant şi a punerii în executare a acesteia, având în vedere soluţia definitivă, pronunţată de Curtea de Apel </w:t>
      </w:r>
      <w:r w:rsidR="0078608E">
        <w:t xml:space="preserve">              </w:t>
      </w:r>
      <w:r>
        <w:t>.</w:t>
      </w:r>
    </w:p>
    <w:p w:rsidR="00CE59D1" w14:paraId="20FD1D2B" w14:textId="70C11675">
      <w:pPr>
        <w:ind w:firstLine="858"/>
        <w:jc w:val="both"/>
        <w:rPr>
          <w:rStyle w:val="Fontdeparagrafimplicit"/>
        </w:rPr>
      </w:pPr>
      <w:r>
        <w:rPr>
          <w:rStyle w:val="Fontdeparagrafimplicit"/>
          <w:b/>
        </w:rPr>
        <w:t>Apărătorul persoanei condamnate</w:t>
      </w:r>
      <w:r>
        <w:t xml:space="preserve"> </w:t>
      </w:r>
      <w:r w:rsidR="0078608E">
        <w:rPr>
          <w:rStyle w:val="Fontdeparagrafimplicit"/>
          <w:b/>
          <w:color w:val="000000"/>
        </w:rPr>
        <w:t xml:space="preserve">2 </w:t>
      </w:r>
      <w:r>
        <w:rPr>
          <w:rStyle w:val="Fontdeparagrafimplicit"/>
          <w:color w:val="000000"/>
        </w:rPr>
        <w:t xml:space="preserve"> se raliază întrutotul concluziilor reprezentantului Ministerului Public, în sensul respingerii sesizării Parchetului de pe lângă Curtea de Apel </w:t>
      </w:r>
      <w:r w:rsidR="0078608E">
        <w:rPr>
          <w:rStyle w:val="Fontdeparagrafimplicit"/>
          <w:color w:val="000000"/>
        </w:rPr>
        <w:t xml:space="preserve">                 </w:t>
      </w:r>
      <w:r>
        <w:rPr>
          <w:rStyle w:val="Fontdeparagrafimplicit"/>
          <w:color w:val="000000"/>
        </w:rPr>
        <w:t xml:space="preserve">, având în vedere că soluţia pronunţată de Curtea de Apel </w:t>
      </w:r>
      <w:r w:rsidR="0078608E">
        <w:rPr>
          <w:rStyle w:val="Fontdeparagrafimplicit"/>
          <w:color w:val="000000"/>
        </w:rPr>
        <w:t xml:space="preserve">              </w:t>
      </w:r>
      <w:r>
        <w:rPr>
          <w:rStyle w:val="Fontdeparagrafimplicit"/>
          <w:color w:val="000000"/>
        </w:rPr>
        <w:t xml:space="preserve"> este definitivă.</w:t>
      </w:r>
    </w:p>
    <w:p w:rsidR="00CE59D1" w14:paraId="2954C481" w14:textId="188614FA">
      <w:pPr>
        <w:ind w:firstLine="858"/>
        <w:jc w:val="both"/>
        <w:rPr>
          <w:rStyle w:val="Fontdeparagrafimplicit"/>
        </w:rPr>
      </w:pPr>
      <w:r>
        <w:rPr>
          <w:rStyle w:val="Fontdeparagrafimplicit"/>
          <w:b/>
        </w:rPr>
        <w:t xml:space="preserve">Condamnatul persoană solicitată </w:t>
      </w:r>
      <w:r w:rsidR="0078608E">
        <w:rPr>
          <w:rStyle w:val="Fontdeparagrafimplicit"/>
          <w:b/>
        </w:rPr>
        <w:t xml:space="preserve">2 </w:t>
      </w:r>
      <w:r>
        <w:rPr>
          <w:rStyle w:val="Fontdeparagrafimplicit"/>
          <w:b/>
          <w:color w:val="000000"/>
        </w:rPr>
        <w:t>,</w:t>
      </w:r>
      <w:r>
        <w:rPr>
          <w:rStyle w:val="Fontdeparagrafimplicit"/>
          <w:color w:val="000000"/>
        </w:rPr>
        <w:t xml:space="preserve"> personal, având cuvântul, arată că este de acord cu concluziile apărătorului său.</w:t>
      </w:r>
    </w:p>
    <w:p w:rsidR="00CE59D1" w14:paraId="34034016" w14:textId="77777777">
      <w:pPr>
        <w:ind w:firstLine="858"/>
        <w:jc w:val="both"/>
      </w:pPr>
      <w:r>
        <w:t xml:space="preserve">Dezbaterile declarându-se închise, Curtea reţine cauza în pronunţare.  </w:t>
      </w:r>
    </w:p>
    <w:p w:rsidR="00CE59D1" w14:paraId="7BBE60CF" w14:textId="77777777">
      <w:pPr>
        <w:ind w:firstLine="709"/>
        <w:jc w:val="both"/>
      </w:pPr>
    </w:p>
    <w:p w:rsidR="00CE59D1" w14:paraId="5194D6B7" w14:textId="77777777">
      <w:pPr>
        <w:ind w:firstLine="709"/>
        <w:jc w:val="center"/>
        <w:rPr>
          <w:rStyle w:val="Fontdeparagrafimplicit"/>
          <w:b/>
        </w:rPr>
      </w:pPr>
      <w:r>
        <w:rPr>
          <w:rStyle w:val="Fontdeparagrafimplicit"/>
          <w:b/>
        </w:rPr>
        <w:t>C U R T E A ,</w:t>
      </w:r>
    </w:p>
    <w:p w:rsidR="00CE59D1" w14:paraId="55FE0B83" w14:textId="77777777">
      <w:pPr>
        <w:ind w:firstLine="709"/>
        <w:jc w:val="both"/>
        <w:rPr>
          <w:rStyle w:val="Fontdeparagrafimplicit"/>
          <w:b/>
        </w:rPr>
      </w:pPr>
    </w:p>
    <w:p w:rsidR="00CE59D1" w14:paraId="0E0C830D" w14:textId="77777777">
      <w:pPr>
        <w:ind w:firstLine="858"/>
        <w:jc w:val="both"/>
      </w:pPr>
      <w:r>
        <w:t>Deliberând asupra sesizării de faţă, constată următoarele:</w:t>
      </w:r>
    </w:p>
    <w:p w:rsidR="00CE59D1" w14:paraId="110C30C3" w14:textId="170029A5">
      <w:pPr>
        <w:ind w:firstLine="851"/>
        <w:jc w:val="both"/>
      </w:pPr>
      <w:r>
        <w:t xml:space="preserve">La data de </w:t>
      </w:r>
      <w:r w:rsidR="006A7711">
        <w:t xml:space="preserve">    </w:t>
      </w:r>
      <w:r>
        <w:t xml:space="preserve">.2017, s-a înregistrat pe rolul acestei Curţi sesizarea Parchetului de pe lângă Curtea de Apel </w:t>
      </w:r>
      <w:r w:rsidR="0078608E">
        <w:t xml:space="preserve">                 </w:t>
      </w:r>
      <w:r>
        <w:t xml:space="preserve">, privind recunoaşterea şi punerea în executare a sentinţei penale din data de </w:t>
      </w:r>
      <w:r w:rsidR="009F6FD8">
        <w:t xml:space="preserve"> </w:t>
      </w:r>
      <w:r>
        <w:t xml:space="preserve">.10.2008 a Curţii de Apel din </w:t>
      </w:r>
      <w:r w:rsidR="0078608E">
        <w:t xml:space="preserve">B </w:t>
      </w:r>
      <w:r>
        <w:t xml:space="preserve"> prin care numitul </w:t>
      </w:r>
      <w:r w:rsidR="0078608E">
        <w:t xml:space="preserve">2 </w:t>
      </w:r>
      <w:r>
        <w:t xml:space="preserve"> a fost condamnat la pedeapsa închisorii de 2 ani şi 8 luni închisoare.</w:t>
      </w:r>
    </w:p>
    <w:p w:rsidR="00CE59D1" w14:paraId="1BB774AB" w14:textId="1D31DD56">
      <w:pPr>
        <w:ind w:firstLine="858"/>
        <w:jc w:val="both"/>
      </w:pPr>
      <w:r>
        <w:t>Pentru o mai bună administrare a justiţiei a fost anexat dosarul nr.</w:t>
      </w:r>
      <w:r w:rsidR="0078608E">
        <w:t xml:space="preserve">   </w:t>
      </w:r>
      <w:r>
        <w:t xml:space="preserve">, întocmit în cauză de către Parchetul de pe lângă Curtea de Apel </w:t>
      </w:r>
      <w:r w:rsidR="0078608E">
        <w:t xml:space="preserve">                 </w:t>
      </w:r>
      <w:r>
        <w:t>.</w:t>
      </w:r>
    </w:p>
    <w:p w:rsidR="00CE59D1" w14:paraId="68039711" w14:textId="77777777">
      <w:pPr>
        <w:ind w:firstLine="858"/>
        <w:jc w:val="both"/>
        <w:rPr>
          <w:rStyle w:val="Fontdeparagrafimplicit"/>
          <w:b/>
        </w:rPr>
      </w:pPr>
      <w:r>
        <w:rPr>
          <w:rStyle w:val="Fontdeparagrafimplicit"/>
          <w:b/>
        </w:rPr>
        <w:t>Examinând actele şi lucrările efectuate în acest dosar, prin prisma dispoziţiilor legale incidente în speţa dedusă judecăţii, Curtea reţine şi constată următoarele:</w:t>
      </w:r>
    </w:p>
    <w:p w:rsidR="00CE59D1" w14:paraId="6CC743EF" w14:textId="08377767">
      <w:pPr>
        <w:ind w:firstLine="851"/>
        <w:jc w:val="both"/>
      </w:pPr>
      <w:r>
        <w:t xml:space="preserve">Prin adresa nr. </w:t>
      </w:r>
      <w:r w:rsidR="0078608E">
        <w:t xml:space="preserve">  </w:t>
      </w:r>
      <w:r>
        <w:t xml:space="preserve"> Ministerul Justiţiei - Direcţia Drept Internaţional şi Cooperare Judiciară - Serviciul Cooperare judiciară internaţională în materie penală a transmis Parchetului de pe lângă </w:t>
      </w:r>
      <w:r>
        <w:t xml:space="preserve">Curtea de Apel </w:t>
      </w:r>
      <w:r w:rsidR="0078608E">
        <w:t xml:space="preserve">                 </w:t>
      </w:r>
      <w:r>
        <w:t xml:space="preserve">, în conformitate cu dispoziţiile Legii nr. 302/2004 rep., cererea formulată de Ministerul Justiţiei din Republica </w:t>
      </w:r>
      <w:r w:rsidR="0078608E">
        <w:t xml:space="preserve">I </w:t>
      </w:r>
      <w:r>
        <w:t xml:space="preserve"> prin care se solicită recunoaşterea şi executarea sentinţei penale din data de </w:t>
      </w:r>
      <w:r w:rsidR="009F6FD8">
        <w:t xml:space="preserve"> </w:t>
      </w:r>
      <w:r>
        <w:t xml:space="preserve">.10.2008 a Curţii de Apel din </w:t>
      </w:r>
      <w:r w:rsidR="0078608E">
        <w:t xml:space="preserve">B </w:t>
      </w:r>
      <w:r>
        <w:t xml:space="preserve"> prin care numitul </w:t>
      </w:r>
      <w:r w:rsidR="0078608E">
        <w:t xml:space="preserve">2 </w:t>
      </w:r>
      <w:r>
        <w:t xml:space="preserve"> a fost condamnat la pedeapsa închisorii de 2 ani şi 8 luni închisoare.</w:t>
      </w:r>
    </w:p>
    <w:p w:rsidR="00CE59D1" w14:paraId="33862315" w14:textId="77777777">
      <w:pPr>
        <w:ind w:firstLine="851"/>
        <w:jc w:val="both"/>
      </w:pPr>
      <w:r>
        <w:t>Cererea formulată de autorităţile italiene a fost însoţită de următoarele documente: certificatul menţionat în disp. art. 4 din Decizia-cadru 2008/909/JAI, copii de pe sentinţele de condamnare, dovada rămânerii definitive a hotărârii, ordinul de executare şi notificarea persoanei condamnate conform Anexei II din Decizia Cadru.</w:t>
      </w:r>
    </w:p>
    <w:p w:rsidR="00CE59D1" w14:paraId="3BFCAED3" w14:textId="53BACAC1">
      <w:pPr>
        <w:ind w:firstLine="851"/>
        <w:jc w:val="both"/>
      </w:pPr>
      <w:r>
        <w:t xml:space="preserve">Din verificările efectuate în temeiul dispoziţiilor art. 153 al. 2 din Legea nr.302/2004 rep., a rezultat că persoana condamnată nu a fost urmărită şi judecată în România pentru faptele care fac obiectul sentinţei penale din data de </w:t>
      </w:r>
      <w:r w:rsidR="009F6FD8">
        <w:t xml:space="preserve"> </w:t>
      </w:r>
      <w:r>
        <w:t xml:space="preserve">.10.2008 a Curţii de Apel din </w:t>
      </w:r>
      <w:r w:rsidR="0078608E">
        <w:t xml:space="preserve">B </w:t>
      </w:r>
      <w:r>
        <w:t xml:space="preserve"> conform fişei de cazier judiciar a acesteia. De asemenea, nu s-a putut stabili prin interogarea bazei de date ECRIS GLOBAL PERSONS SEARCH dacă persoana condamnată este cercetată în România pentru faptele care fac obiectul sentinţei mai sus menţionate şi nici pentru alte fapte penale.</w:t>
      </w:r>
    </w:p>
    <w:p w:rsidR="00CE59D1" w14:paraId="67CBB874" w14:textId="77777777">
      <w:pPr>
        <w:ind w:firstLine="851"/>
        <w:jc w:val="both"/>
      </w:pPr>
      <w:r>
        <w:t>Din verificările efectuate de Ministerul Justiţiei, a rezultat că persoana condamnată este cetăţean român, fiind astfel îndeplinită condiţia prev. de art. 3 pct. 1 lit. a din Convenţia europeană asupra transferării persoanelor condamnate adoptată la Strasbourg şi art. 155 al. 1 lit. c din Legea nr.302/2004 rep.</w:t>
      </w:r>
    </w:p>
    <w:p w:rsidR="00CE59D1" w14:paraId="0D703840" w14:textId="77777777">
      <w:pPr>
        <w:ind w:firstLine="851"/>
        <w:jc w:val="both"/>
      </w:pPr>
      <w:r>
        <w:t>Din informaţiile şi documentele comunicate de statul de condamnare, în aplicarea Convenţiei europene asupra transferării persoanelor condamnate adoptată la Strasbourg în anul 1983, au rezultat următoarele:</w:t>
      </w:r>
    </w:p>
    <w:p w:rsidR="00CE59D1" w14:paraId="252A9744" w14:textId="0A352CFC">
      <w:pPr>
        <w:ind w:firstLine="851"/>
        <w:jc w:val="both"/>
      </w:pPr>
      <w:r>
        <w:t xml:space="preserve">Prin sentinţa nr. </w:t>
      </w:r>
      <w:r w:rsidR="0078608E">
        <w:t xml:space="preserve">   </w:t>
      </w:r>
      <w:r>
        <w:t xml:space="preserve"> a Tribunalului din </w:t>
      </w:r>
      <w:r w:rsidR="0078608E">
        <w:t xml:space="preserve">B </w:t>
      </w:r>
      <w:r>
        <w:t xml:space="preserve">, parţial reformată prin sentinţa nr. </w:t>
      </w:r>
      <w:r w:rsidR="0078608E">
        <w:t xml:space="preserve">   </w:t>
      </w:r>
      <w:r>
        <w:t xml:space="preserve"> din data de </w:t>
      </w:r>
      <w:r w:rsidR="009F6FD8">
        <w:t xml:space="preserve"> </w:t>
      </w:r>
      <w:r>
        <w:t xml:space="preserve">.10.2008 a Curţii de Apel din </w:t>
      </w:r>
      <w:r w:rsidR="0078608E">
        <w:t xml:space="preserve">B </w:t>
      </w:r>
      <w:r>
        <w:t xml:space="preserve">, numitul </w:t>
      </w:r>
      <w:r w:rsidR="0078608E">
        <w:t>2</w:t>
      </w:r>
      <w:r>
        <w:t xml:space="preserve"> a fost condamnat la pedeapsa închisorii de 2 ani şi 8 luni închisoare şi 240 de euro amendă pentru săvârşirea infracţiunilor de furt din locuinţă prin efracţie prev. de art. 624 bis din Codul penal italian şi infracţiunea de deţinere şi port fără autorizaţie într-un loc public a unei puşti de vânătoare calibru </w:t>
      </w:r>
      <w:r w:rsidR="0078608E">
        <w:t xml:space="preserve"> </w:t>
      </w:r>
      <w:r>
        <w:t xml:space="preserve">, marca </w:t>
      </w:r>
      <w:r w:rsidR="0078608E">
        <w:t xml:space="preserve"> </w:t>
      </w:r>
      <w:r>
        <w:t>, precum şi deţinerea în mod ilegal de cartuşe, fapte prev. de art. 81 din Codul penal italian, art. 10,12,14 din Legea 497/745.</w:t>
      </w:r>
    </w:p>
    <w:p w:rsidR="00CE59D1" w14:paraId="6DF9BF07" w14:textId="1785A3C1">
      <w:pPr>
        <w:ind w:firstLine="851"/>
        <w:jc w:val="both"/>
      </w:pPr>
      <w:r>
        <w:t xml:space="preserve">în fapt, s-a reţinut că în data de </w:t>
      </w:r>
      <w:r w:rsidR="0094691B">
        <w:t xml:space="preserve">   </w:t>
      </w:r>
      <w:r>
        <w:t xml:space="preserve">.09.2007, în timp ce se afla în </w:t>
      </w:r>
      <w:r w:rsidR="0078608E">
        <w:t xml:space="preserve">B </w:t>
      </w:r>
      <w:r>
        <w:t xml:space="preserve">, persoana transferabilă a fost oprită pentru un control în timp ce se afla în automobilul marca </w:t>
      </w:r>
      <w:r w:rsidR="0078608E">
        <w:t xml:space="preserve"> </w:t>
      </w:r>
      <w:r>
        <w:t xml:space="preserve">, cu nr. de înmatriculare </w:t>
      </w:r>
      <w:r w:rsidR="0078608E">
        <w:t xml:space="preserve"> </w:t>
      </w:r>
      <w:r>
        <w:t xml:space="preserve"> </w:t>
      </w:r>
      <w:r w:rsidR="0078608E">
        <w:t xml:space="preserve"> </w:t>
      </w:r>
      <w:r>
        <w:t xml:space="preserve">, proprietatea numitului </w:t>
      </w:r>
      <w:r w:rsidR="0078608E">
        <w:t xml:space="preserve"> </w:t>
      </w:r>
      <w:r>
        <w:t xml:space="preserve">, iar în autoturism au fost găsite o armă şi o cutie cu 60 de cartuşe calibrul </w:t>
      </w:r>
      <w:r w:rsidR="0078608E">
        <w:t xml:space="preserve"> </w:t>
      </w:r>
      <w:r>
        <w:t xml:space="preserve"> pentru arme de vânătoare. Din cercetările ulterioare a reieşit că arma de vânătoare provenea din furtul comis în locuinţa numitului </w:t>
      </w:r>
      <w:r w:rsidR="0078608E">
        <w:t xml:space="preserve">    </w:t>
      </w:r>
      <w:r>
        <w:t>.</w:t>
      </w:r>
    </w:p>
    <w:p w:rsidR="00CE59D1" w14:paraId="212259A5" w14:textId="77777777">
      <w:pPr>
        <w:ind w:firstLine="851"/>
        <w:jc w:val="both"/>
      </w:pPr>
      <w:r>
        <w:t>Această sentinţă a rămas definitivă la data de 20.09.2009.</w:t>
      </w:r>
    </w:p>
    <w:p w:rsidR="00CE59D1" w14:paraId="3DD5CA36" w14:textId="77777777">
      <w:pPr>
        <w:ind w:firstLine="851"/>
        <w:jc w:val="both"/>
      </w:pPr>
      <w:r>
        <w:t>Având în vedere cele de mai sus, se constată că este îndeplinită condiţia prev. de art. 3 pct. 1 lit. b din Convenţia europeană asupra transferării persoanelor condamnate adoptată la Strasbourg şi art. 155 lit. a din Legea nr. 302/2004 rep.</w:t>
      </w:r>
    </w:p>
    <w:p w:rsidR="00CE59D1" w14:paraId="4DBB4718" w14:textId="77777777">
      <w:pPr>
        <w:ind w:firstLine="851"/>
        <w:jc w:val="both"/>
      </w:pPr>
      <w:r>
        <w:t>Examinând materialul cauzei, se constată că în cauză condiţia dublei incriminări prevăzute de art. 155 lit. b din Legea nr. 302/2004 şi art. 3 pct. 1 lit. e din Convenţia europeană asupra transferării persoanelor condamnate adoptată la Strasbourg este îndeplinită, faptele reţinute în sarcina persoanei condamnate având corespondent în legislaţia penală română, realizând conţinutul constitutiv al infracţiunilor prev. de art. 228 alin. 1 rap. la art. 229 alin. 1 lit. d, alin. 2 lit. b Cp., art. 342 din Cp., iar persoana condamnată ar fi fost sancţionabilă şi potrivit legislaţiei române.</w:t>
      </w:r>
    </w:p>
    <w:p w:rsidR="00CE59D1" w14:paraId="24A33684" w14:textId="77777777">
      <w:pPr>
        <w:ind w:firstLine="851"/>
        <w:jc w:val="both"/>
      </w:pPr>
      <w:r>
        <w:t>Din situaţia executării pedepsei comunicată de autorităţile italiene a rezultat că persoana condamnată a fost arestată preventiv 1 an, 5 luni şi 24 de zile de la 02.04.2007 până la 25.02.2009, dată la care a evadat din arestul la domiciliu, iar pedeapsa rămasă de executat este de 1 an, 2 luni şi 6 zile. În consecinţă, este îndeplinită condiţia prev. de art. 3 lit. c din Convenţia europeană asupra transferării persoanelor condamnate adoptată la Strasbourg.</w:t>
      </w:r>
    </w:p>
    <w:p w:rsidR="00CE59D1" w14:paraId="246F34C8" w14:textId="77777777">
      <w:pPr>
        <w:ind w:firstLine="851"/>
        <w:jc w:val="both"/>
      </w:pPr>
      <w:r>
        <w:t>Sentinţa de condamnare a fost notificată persoanei condamnate.</w:t>
      </w:r>
    </w:p>
    <w:p w:rsidR="00CE59D1" w14:paraId="5948936D" w14:textId="140BF60F">
      <w:pPr>
        <w:ind w:firstLine="851"/>
        <w:jc w:val="both"/>
      </w:pPr>
      <w:r>
        <w:t xml:space="preserve">Din actele dosarului, rezultă că la data de </w:t>
      </w:r>
      <w:r w:rsidR="009F6FD8">
        <w:t xml:space="preserve"> </w:t>
      </w:r>
      <w:r>
        <w:t xml:space="preserve">.02.2015 persoana condamnată a formulat cerere de recunoaştere a hotărârii judecătoreşti de condamnare pronunţate de Curtea de Apel din </w:t>
      </w:r>
      <w:r w:rsidR="0078608E">
        <w:t xml:space="preserve">B </w:t>
      </w:r>
      <w:r>
        <w:t xml:space="preserve"> care face obiectul prezentei cauze, contopirea pedepselor şi deducerea perioadei executate, cererea fiind înregistrată sub nr. </w:t>
      </w:r>
      <w:r w:rsidR="0078608E">
        <w:t xml:space="preserve">   </w:t>
      </w:r>
      <w:r>
        <w:t xml:space="preserve">/2015 la Judecătoria </w:t>
      </w:r>
      <w:r w:rsidR="0078608E">
        <w:t xml:space="preserve">              </w:t>
      </w:r>
      <w:r>
        <w:t xml:space="preserve">. </w:t>
      </w:r>
    </w:p>
    <w:p w:rsidR="00CE59D1" w14:paraId="504CB455" w14:textId="50AB9F32">
      <w:pPr>
        <w:ind w:firstLine="851"/>
        <w:jc w:val="both"/>
      </w:pPr>
      <w:r>
        <w:t xml:space="preserve">Prin sentinţa penală nr. </w:t>
      </w:r>
      <w:r w:rsidR="0078608E">
        <w:t xml:space="preserve">    </w:t>
      </w:r>
      <w:r>
        <w:t xml:space="preserve">.05.2015, a fost admisă cererea formulată de persoana condamnată </w:t>
      </w:r>
      <w:r w:rsidR="0078608E">
        <w:t xml:space="preserve">2 </w:t>
      </w:r>
      <w:r>
        <w:t xml:space="preserve">, s-a recunoscut sentinţa din data de </w:t>
      </w:r>
      <w:r w:rsidR="0078608E">
        <w:t xml:space="preserve"> </w:t>
      </w:r>
      <w:r>
        <w:t xml:space="preserve">.01.2008, irevocabilă la data de 20.10.2008, pronunţată de către Curtea de Apel din </w:t>
      </w:r>
      <w:r w:rsidR="0078608E">
        <w:t xml:space="preserve">B </w:t>
      </w:r>
      <w:r>
        <w:t xml:space="preserve"> prin care acesta a fost condamnat la pedeapsa închisorii de 2 ani şi 8 luni închisoare şi 240 de euro amendă pentru săvârşirea infracţiunilor de furt dintr-o locuinţă agravat prin efracţie, deţinere şi port fără autorizaţie, într-un loc public, a unei puşti de vânătoare calibru 12, marca </w:t>
      </w:r>
      <w:r w:rsidR="0078608E">
        <w:t xml:space="preserve"> </w:t>
      </w:r>
      <w:r>
        <w:t xml:space="preserve">, prev. de art. 81 din Codul penal </w:t>
      </w:r>
      <w:r w:rsidR="009F6FD8">
        <w:t xml:space="preserve"> </w:t>
      </w:r>
      <w:r>
        <w:t xml:space="preserve"> şi art. 10-12-14 din Legea 497/74 şi deţinerea fără autorizaţie a unui nr. de 60 de cartuşe calibru </w:t>
      </w:r>
      <w:r w:rsidR="0078608E">
        <w:t xml:space="preserve"> </w:t>
      </w:r>
      <w:r>
        <w:t xml:space="preserve">, mărcile </w:t>
      </w:r>
      <w:r w:rsidR="0078608E">
        <w:t xml:space="preserve"> </w:t>
      </w:r>
      <w:r>
        <w:t xml:space="preserve"> şi </w:t>
      </w:r>
      <w:r w:rsidR="0078608E">
        <w:t xml:space="preserve"> </w:t>
      </w:r>
      <w:r>
        <w:t xml:space="preserve">, </w:t>
      </w:r>
      <w:r w:rsidR="0078608E">
        <w:t xml:space="preserve"> </w:t>
      </w:r>
      <w:r>
        <w:t xml:space="preserve">, prevăzute de art. 697 din Codul penal </w:t>
      </w:r>
      <w:r w:rsidR="009F6FD8">
        <w:t xml:space="preserve"> </w:t>
      </w:r>
      <w:r>
        <w:t xml:space="preserve">, s-a constatat că infracţiunile pentru care a fost condamnat prin hotărârea pronunţată de Curtea de Apel din </w:t>
      </w:r>
      <w:r w:rsidR="0078608E">
        <w:t xml:space="preserve">B </w:t>
      </w:r>
      <w:r>
        <w:t xml:space="preserve"> sunt concurente cu infracţiunile din s.p.  /2014 pronunţată de Judecătoria </w:t>
      </w:r>
      <w:r w:rsidR="0078608E">
        <w:t xml:space="preserve">              </w:t>
      </w:r>
      <w:r>
        <w:t xml:space="preserve">, definitivă prin decizia penală nr.  /2014 pronunţată de Tribunalul                  , precum şi cu infracţiunea din decizia   din data de 10.11.2010, recunoscută prin s.p.  /2014 pronunţată de Judecătoria </w:t>
      </w:r>
      <w:r w:rsidR="0078608E">
        <w:t xml:space="preserve">              </w:t>
      </w:r>
      <w:r>
        <w:t xml:space="preserve">, definitivă prin decizia penală  /2015 pronunţată de Tribunalul                  , s-a dispus descontopirea pedepsei rezultante de 15 ani închisoare aplicată prin s.p. nr.  /2014 pronunţată de Judecătoria </w:t>
      </w:r>
      <w:r w:rsidR="0078608E">
        <w:t xml:space="preserve">              </w:t>
      </w:r>
      <w:r>
        <w:t>, definitivă prin decizia penală nr.  /2015 pronunţată de Tribunalul                   şi s-a dispus contopirea pedepselor de 2 ani şi 8 luni închisoare şi 240 de euro amendă, de 15 ani închisoare şi de 3 luni închisoare în pedeapsa de 15 ani închisoare şi 240 de euro, s-a dispus deducerea perioadelor de arest preventiv la zi, anularea mandatelor emise în baza hotărârilor mai sus menţionate şi emiterea unui nou mandat.</w:t>
      </w:r>
    </w:p>
    <w:p w:rsidR="00CE59D1" w14:paraId="29AF04C3" w14:textId="6373F48F">
      <w:pPr>
        <w:ind w:firstLine="851"/>
        <w:jc w:val="both"/>
      </w:pPr>
      <w:r>
        <w:t xml:space="preserve">Faţă de împrejurarea că hotărârea pronunțată de instanța </w:t>
      </w:r>
      <w:r w:rsidR="0078608E">
        <w:t xml:space="preserve">I </w:t>
      </w:r>
      <w:r>
        <w:t xml:space="preserve"> a făcut anterior obiectul unei recunoașteri, existând deci autoritate de lucru judecat, Curtea urmează a respinge cererea formulată de autorităţile italiene, cheltuielile judiciare efectuate în prezentul proces urmând a rămâne în sarcina statului.</w:t>
      </w:r>
    </w:p>
    <w:p w:rsidR="00CE59D1" w14:paraId="3A566530" w14:textId="77777777">
      <w:pPr>
        <w:jc w:val="both"/>
      </w:pPr>
    </w:p>
    <w:p w:rsidR="00CE59D1" w14:paraId="1F74ACB2" w14:textId="77777777">
      <w:pPr>
        <w:pStyle w:val="Style1"/>
        <w:widowControl/>
        <w:tabs>
          <w:tab w:val="right" w:pos="8342"/>
        </w:tabs>
        <w:spacing w:line="317" w:lineRule="exact"/>
        <w:jc w:val="center"/>
        <w:rPr>
          <w:rStyle w:val="FontStyle11"/>
          <w:b/>
        </w:rPr>
      </w:pPr>
      <w:r>
        <w:rPr>
          <w:rStyle w:val="FontStyle11"/>
          <w:b/>
        </w:rPr>
        <w:t>PENTRU ACESTE MOTIVE,</w:t>
      </w:r>
    </w:p>
    <w:p w:rsidR="00CE59D1" w14:paraId="5A11DC5D" w14:textId="77777777">
      <w:pPr>
        <w:pStyle w:val="Style1"/>
        <w:widowControl/>
        <w:tabs>
          <w:tab w:val="right" w:pos="8342"/>
        </w:tabs>
        <w:spacing w:line="317" w:lineRule="exact"/>
        <w:jc w:val="center"/>
        <w:rPr>
          <w:rStyle w:val="FontStyle11"/>
          <w:b/>
        </w:rPr>
      </w:pPr>
      <w:r>
        <w:rPr>
          <w:rStyle w:val="FontStyle11"/>
          <w:b/>
        </w:rPr>
        <w:t>ÎN NUMELE LEGII,</w:t>
      </w:r>
    </w:p>
    <w:p w:rsidR="00CE59D1" w14:paraId="7A3FC25C" w14:textId="77777777">
      <w:pPr>
        <w:pStyle w:val="Style1"/>
        <w:widowControl/>
        <w:tabs>
          <w:tab w:val="right" w:pos="8342"/>
        </w:tabs>
        <w:spacing w:line="317" w:lineRule="exact"/>
        <w:jc w:val="center"/>
        <w:rPr>
          <w:rStyle w:val="FontStyle11"/>
          <w:b/>
        </w:rPr>
      </w:pPr>
      <w:r>
        <w:rPr>
          <w:rStyle w:val="FontStyle11"/>
          <w:b/>
        </w:rPr>
        <w:t>HOTĂRĂŞTE:</w:t>
      </w:r>
    </w:p>
    <w:p w:rsidR="00CE59D1" w14:paraId="7B1036CF" w14:textId="77777777">
      <w:pPr>
        <w:jc w:val="both"/>
        <w:rPr>
          <w:rStyle w:val="FontStyle11"/>
        </w:rPr>
      </w:pPr>
    </w:p>
    <w:p w:rsidR="00CE59D1" w14:paraId="381398EA" w14:textId="258965AC">
      <w:pPr>
        <w:ind w:firstLine="858"/>
        <w:jc w:val="both"/>
      </w:pPr>
      <w:r>
        <w:t xml:space="preserve">În temeiul disp. art. 160 raportat la art.151 din Legea nr. 302/2004 respinge cererea de recunoaştere a sentinţei penale din data de </w:t>
      </w:r>
      <w:r w:rsidR="009F6FD8">
        <w:t xml:space="preserve"> </w:t>
      </w:r>
      <w:r>
        <w:t xml:space="preserve">.10.2008 a Curţii de Apel din </w:t>
      </w:r>
      <w:r w:rsidR="0078608E">
        <w:t xml:space="preserve">B </w:t>
      </w:r>
      <w:r>
        <w:t xml:space="preserve"> în vederea punerii în executare, privind transferul persoanei condamnate 2, [cetăţean român, născut la data de   în judeţ                  , domiciliat în judeţ                  ,  , nr.  , CNP:  , încarcerat în Penitenciarul  ]. </w:t>
      </w:r>
    </w:p>
    <w:p w:rsidR="00CE59D1" w14:paraId="62DE0A45" w14:textId="77777777">
      <w:pPr>
        <w:ind w:firstLine="858"/>
        <w:jc w:val="both"/>
      </w:pPr>
      <w:r>
        <w:t>Cu drept de apel în 10 zile de la pronunţare, atât pentru procuror, cât şi pentru persoana condamnată.</w:t>
      </w:r>
    </w:p>
    <w:p w:rsidR="00CE59D1" w14:paraId="7B3CDAEB" w14:textId="77777777">
      <w:pPr>
        <w:ind w:firstLine="858"/>
        <w:jc w:val="both"/>
      </w:pPr>
      <w:r>
        <w:t>Cheltuielile judiciare rămân în sarcina statului.</w:t>
      </w:r>
    </w:p>
    <w:p w:rsidR="00CE59D1" w14:paraId="68A7721D" w14:textId="1025B362">
      <w:pPr>
        <w:ind w:firstLine="858"/>
        <w:jc w:val="both"/>
      </w:pPr>
      <w:r>
        <w:t>Pronunţată în şedinţă publică, azi   .</w:t>
      </w:r>
    </w:p>
    <w:p w:rsidR="00CE59D1" w14:paraId="7AD1AF67" w14:textId="77777777">
      <w:pPr>
        <w:ind w:firstLine="851"/>
        <w:jc w:val="both"/>
        <w:rPr>
          <w:rStyle w:val="Fontdeparagrafimplicit"/>
          <w:b/>
        </w:rPr>
      </w:pPr>
      <w:r>
        <w:rPr>
          <w:rStyle w:val="Fontdeparagrafimplicit"/>
          <w:b/>
        </w:rPr>
        <w:t>Preşedinte,</w:t>
      </w:r>
    </w:p>
    <w:p w:rsidR="00CE59D1" w14:paraId="5942FFB2" w14:textId="3BAFF062">
      <w:pPr>
        <w:jc w:val="both"/>
        <w:rPr>
          <w:rStyle w:val="Fontdeparagrafimplicit"/>
          <w:b/>
        </w:rPr>
      </w:pPr>
      <w:r>
        <w:rPr>
          <w:rStyle w:val="Fontdeparagrafimplicit"/>
          <w:b/>
        </w:rPr>
        <w:t>A0002</w:t>
      </w:r>
    </w:p>
    <w:p w:rsidR="00CE59D1" w14:paraId="7A584479" w14:textId="77777777">
      <w:pPr>
        <w:jc w:val="both"/>
        <w:rPr>
          <w:rStyle w:val="Fontdeparagrafimplicit"/>
          <w:b/>
        </w:rPr>
      </w:pPr>
    </w:p>
    <w:p w:rsidR="00CE59D1" w14:paraId="2747DCFB" w14:textId="77777777">
      <w:pPr>
        <w:jc w:val="both"/>
        <w:rPr>
          <w:rStyle w:val="Fontdeparagrafimplicit"/>
          <w:b/>
        </w:rPr>
      </w:pPr>
      <w:r>
        <w:rPr>
          <w:rStyle w:val="Fontdeparagrafimplicit"/>
          <w:b/>
        </w:rPr>
        <w:t xml:space="preserve">                                                                                    Grefier,</w:t>
      </w:r>
    </w:p>
    <w:p w:rsidR="00CE59D1" w14:paraId="0AF548F3" w14:textId="580AC0C9">
      <w:pPr>
        <w:jc w:val="both"/>
        <w:rPr>
          <w:rStyle w:val="Fontdeparagrafimplicit"/>
          <w:b/>
        </w:rPr>
      </w:pPr>
      <w:r>
        <w:rPr>
          <w:rStyle w:val="Fontdeparagrafimplicit"/>
          <w:b/>
        </w:rPr>
        <w:t xml:space="preserve">                                                                                  </w:t>
      </w:r>
    </w:p>
    <w:p w:rsidR="00CE59D1" w14:paraId="7EFC5BDA" w14:textId="77777777">
      <w:pPr>
        <w:jc w:val="both"/>
        <w:rPr>
          <w:rStyle w:val="Fontdeparagrafimplicit"/>
          <w:b/>
        </w:rPr>
      </w:pPr>
    </w:p>
    <w:p w:rsidR="00CE59D1" w14:paraId="325CC8A3" w14:textId="77777777">
      <w:pPr>
        <w:jc w:val="both"/>
        <w:rPr>
          <w:rStyle w:val="Fontdeparagrafimplicit"/>
          <w:b/>
        </w:rPr>
      </w:pPr>
    </w:p>
    <w:p w:rsidR="00CE59D1" w14:paraId="2C89D43B" w14:textId="77777777">
      <w:pPr>
        <w:ind w:firstLine="858"/>
        <w:jc w:val="both"/>
        <w:rPr>
          <w:rStyle w:val="Fontdeparagrafimplicit"/>
        </w:rPr>
      </w:pPr>
    </w:p>
    <w:p w:rsidR="00CE59D1" w14:paraId="3E9FAC0F" w14:textId="2CDE5349">
      <w:pPr>
        <w:jc w:val="both"/>
        <w:rPr>
          <w:rStyle w:val="Fontdeparagrafimplicit"/>
          <w:sz w:val="20"/>
        </w:rPr>
      </w:pPr>
      <w:r>
        <w:rPr>
          <w:rStyle w:val="Fontdeparagrafimplicit"/>
          <w:sz w:val="20"/>
        </w:rPr>
        <w:t>Red.A0002</w:t>
      </w:r>
    </w:p>
    <w:p w:rsidR="00CE59D1" w14:paraId="0E988003" w14:textId="40D6FE8A">
      <w:pPr>
        <w:jc w:val="both"/>
        <w:rPr>
          <w:rStyle w:val="Fontdeparagrafimplicit"/>
          <w:sz w:val="20"/>
        </w:rPr>
      </w:pPr>
      <w:r>
        <w:rPr>
          <w:rStyle w:val="Fontdeparagrafimplicit"/>
          <w:sz w:val="20"/>
        </w:rPr>
        <w:t xml:space="preserve">Dact. </w:t>
      </w:r>
    </w:p>
    <w:p w:rsidR="00CE59D1" w14:paraId="0B73AE49" w14:textId="77777777">
      <w:pPr>
        <w:jc w:val="both"/>
        <w:rPr>
          <w:rStyle w:val="Fontdeparagrafimplicit"/>
        </w:rPr>
      </w:pPr>
      <w:r>
        <w:rPr>
          <w:rStyle w:val="Fontdeparagrafimplicit"/>
          <w:sz w:val="20"/>
        </w:rPr>
        <w:t>Ex.5</w:t>
      </w:r>
    </w:p>
    <w:sectPr>
      <w:footerReference w:type="default" r:id="rId4"/>
      <w:pgSz w:w="11906" w:h="16838"/>
      <w:pgMar w:top="1134" w:right="567"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9D1" w14:paraId="28EF0F05" w14:textId="77777777">
    <w:pPr>
      <w:pStyle w:val="Subsol"/>
      <w:jc w:val="center"/>
    </w:pPr>
    <w:r>
      <w:fldChar w:fldCharType="begin"/>
    </w:r>
    <w:r>
      <w:instrText>PAGE   \* MERGEFORMAT</w:instrText>
    </w:r>
    <w:r>
      <w:fldChar w:fldCharType="separate"/>
    </w:r>
    <w:r>
      <w:t>#</w:t>
    </w:r>
    <w:r>
      <w:fldChar w:fldCharType="end"/>
    </w:r>
  </w:p>
  <w:p w:rsidR="00CE59D1" w14:paraId="761FF0DB"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9D1"/>
    <w:rsid w:val="00360FD2"/>
    <w:rsid w:val="00473DF1"/>
    <w:rsid w:val="006A7711"/>
    <w:rsid w:val="006E292E"/>
    <w:rsid w:val="0078608E"/>
    <w:rsid w:val="009427C7"/>
    <w:rsid w:val="0094691B"/>
    <w:rsid w:val="009F6FD8"/>
    <w:rsid w:val="00B225E0"/>
    <w:rsid w:val="00CE59D1"/>
  </w:rsids>
  <w:docVars>
    <w:docVar w:name="url" w:val="http://10.1.48.53:80/ecris_cdms/document_upload.aspx?id_document=200000002689151&amp;id_departament=2&amp;id_sesiune=2300715&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1C487D8"/>
  <w15:docId w15:val="{31C33FCF-0767-4D5E-BFD9-36927BAA3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tyle1">
    <w:name w:val="Style1"/>
    <w:basedOn w:val="Normal"/>
    <w:pPr>
      <w:widowControl w:val="0"/>
      <w:spacing w:line="331" w:lineRule="exact"/>
      <w:jc w:val="both"/>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FontStyle11">
    <w:name w:val="Font Style11"/>
    <w:rPr>
      <w:rFonts w:ascii="Times New Roman" w:hAnsi="Times New Roman"/>
      <w:sz w:val="24"/>
    </w:rPr>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30</ap:TotalTime>
  <ap:Pages>1</ap:Pages>
  <ap:Words>1565</ap:Words>
  <ap:Characters>8924</ap:Characters>
  <ap:Application>Microsoft Office Word</ap:Application>
  <ap:DocSecurity>0</ap:DocSecurity>
  <ap:Lines>74</ap:Lines>
  <ap:Paragraphs>20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10469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