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28</w:t>
      </w:r>
    </w:p>
    <w:p>
      <w:pPr>
        <w:pStyle w:val="Normal"/>
        <w:rPr>
          <w:b/>
        </w:rPr>
      </w:pPr>
      <w:r>
        <w:rPr>
          <w:b/>
        </w:rPr>
        <w:t>Dosar nr. D1</w:t>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fr-FR"/>
        </w:rPr>
      </w:pPr>
      <w:r>
        <w:rPr>
          <w:b/>
        </w:rPr>
        <w:t>SECŢIA ....</w:t>
      </w:r>
    </w:p>
    <w:p>
      <w:pPr>
        <w:pStyle w:val="Normal"/>
        <w:rPr>
          <w:b/>
        </w:rPr>
      </w:pPr>
      <w:r>
        <w:rPr>
          <w:b/>
        </w:rPr>
      </w:r>
    </w:p>
    <w:p>
      <w:pPr>
        <w:pStyle w:val="Normal"/>
        <w:jc w:val="center"/>
        <w:rPr>
          <w:b/>
        </w:rPr>
      </w:pPr>
      <w:bookmarkStart w:name="tip_incheiere" w:id="0"/>
      <w:r>
        <w:rPr>
          <w:b/>
        </w:rPr>
        <w:t>DECIZIE</w:t>
      </w:r>
      <w:bookmarkEnd w:id="0"/>
      <w:r>
        <w:rPr>
          <w:b/>
        </w:rPr>
        <w:t xml:space="preserve"> Nr. ...</w:t>
      </w:r>
    </w:p>
    <w:p>
      <w:pPr>
        <w:pStyle w:val="Normal"/>
        <w:jc w:val="center"/>
        <w:rPr>
          <w:b/>
        </w:rPr>
      </w:pPr>
      <w:r>
        <w:rPr>
          <w:b/>
        </w:rPr>
        <w:t>Şedinţa </w:t>
      </w:r>
      <w:bookmarkStart w:name="tip_sedinta" w:id="1"/>
      <w:r>
        <w:rPr>
          <w:b/>
        </w:rPr>
        <w:t>publică</w:t>
      </w:r>
      <w:bookmarkEnd w:id="1"/>
      <w:r>
        <w:rPr>
          <w:b/>
        </w:rPr>
        <w:t xml:space="preserve"> de la ... </w:t>
      </w:r>
    </w:p>
    <w:p>
      <w:pPr>
        <w:pStyle w:val="Normal"/>
        <w:jc w:val="center"/>
        <w:rPr>
          <w:b/>
        </w:rPr>
      </w:pPr>
      <w:r>
        <w:rPr>
          <w:b/>
        </w:rPr>
        <w:t>Completul compus din:</w:t>
      </w:r>
    </w:p>
    <w:p>
      <w:pPr>
        <w:pStyle w:val="Normal"/>
        <w:jc w:val="center"/>
        <w:rPr>
          <w:b/>
        </w:rPr>
      </w:pPr>
      <w:r>
        <w:rPr>
          <w:b/>
        </w:rPr>
        <w:t>PREŞEDINTE A0006</w:t>
      </w:r>
    </w:p>
    <w:p>
      <w:pPr>
        <w:pStyle w:val="Normal"/>
        <w:jc w:val="center"/>
        <w:rPr>
          <w:b/>
        </w:rPr>
      </w:pPr>
      <w:r>
        <w:rPr>
          <w:b/>
        </w:rPr>
        <w:t>Judecător ...</w:t>
      </w:r>
    </w:p>
    <w:p>
      <w:pPr>
        <w:pStyle w:val="Normal"/>
        <w:jc w:val="center"/>
        <w:rPr>
          <w:b/>
        </w:rPr>
      </w:pPr>
      <w:r>
        <w:rPr>
          <w:b/>
        </w:rPr>
        <w:t>Judecător ...</w:t>
      </w:r>
    </w:p>
    <w:p>
      <w:pPr>
        <w:pStyle w:val="Normal"/>
        <w:jc w:val="center"/>
        <w:rPr>
          <w:b/>
        </w:rPr>
      </w:pPr>
      <w:r>
        <w:rPr>
          <w:b/>
        </w:rPr>
        <w:t>Grefier ...</w:t>
      </w:r>
    </w:p>
    <w:p>
      <w:pPr>
        <w:pStyle w:val="Normal"/>
        <w:jc w:val="center"/>
        <w:rPr/>
      </w:pPr>
      <w:r>
        <w:rPr/>
      </w:r>
    </w:p>
    <w:p>
      <w:pPr>
        <w:pStyle w:val="Normal"/>
        <w:jc w:val="center"/>
        <w:rPr/>
      </w:pPr>
      <w:r>
        <w:rPr/>
      </w:r>
    </w:p>
    <w:p>
      <w:pPr>
        <w:pStyle w:val="Normal"/>
        <w:ind w:firstLine="708"/>
        <w:jc w:val="both"/>
        <w:rPr/>
      </w:pPr>
      <w:r>
        <w:rPr/>
        <w:t xml:space="preserve">Pe rol se află soluţionarea recursului formulat de recurenta-pârâtă </w:t>
      </w:r>
      <w:r>
        <w:rPr>
          <w:b/>
        </w:rPr>
        <w:t>SC A1 SRL</w:t>
      </w:r>
      <w:r>
        <w:rPr/>
        <w:t xml:space="preserve"> împotriva sentinţei civile nr. SC1 pronunţată de Tribunalul ..., Secţia ... în dosarul nr. D1, în contradictoriu cu intimata-reclamantă </w:t>
      </w:r>
      <w:r>
        <w:rPr>
          <w:b/>
        </w:rPr>
        <w:t>DIRECŢIA SANITAR VETERINARĂ ŞI PENTRU SIGURANŢA ALIMENTELOR...</w:t>
      </w:r>
      <w:r>
        <w:rPr/>
        <w:t>, având ca obiect acţiune în răspundere contractuală suma în cuantum de 3534,55 lei.</w:t>
      </w:r>
    </w:p>
    <w:p>
      <w:pPr>
        <w:pStyle w:val="Normal"/>
        <w:ind w:firstLine="720"/>
        <w:jc w:val="both"/>
        <w:rPr/>
      </w:pPr>
      <w:r>
        <w:rPr/>
        <w:t>Dezbaterile au avut loc în şedinţa publică din data de 06.03.2018, fiind consemnate în încheierea de şedinţă de la acea dată, care face parte integrantă din prezenta, când instanţa, având nevoie de timp pentru a delibera, a amânat pronunţarea la data de 20.03.2018 .</w:t>
      </w:r>
    </w:p>
    <w:p>
      <w:pPr>
        <w:pStyle w:val="Normal"/>
        <w:ind w:firstLine="720"/>
        <w:jc w:val="both"/>
        <w:rPr/>
      </w:pPr>
      <w:r>
        <w:rPr/>
        <w:t>Cu privire la cererea de  redeschidere a dezbaterilor, motivată pe dispoziţiile art. 392-394 Cod de procedură civilă, văzând dispoziţiile art. 395 şi 394 din Codul de procedură civilă , Curtea va dispune respingerea acesteia şi va  reţine cauza spre deliberare şi pronunţare</w:t>
      </w:r>
    </w:p>
    <w:p>
      <w:pPr>
        <w:pStyle w:val="Normal"/>
        <w:jc w:val="both"/>
        <w:rPr/>
      </w:pPr>
      <w:r>
        <w:rPr/>
      </w:r>
    </w:p>
    <w:p>
      <w:pPr>
        <w:pStyle w:val="Normal"/>
        <w:jc w:val="center"/>
        <w:rPr>
          <w:b/>
        </w:rPr>
      </w:pPr>
      <w:r>
        <w:rPr>
          <w:b/>
        </w:rPr>
        <w:t>CURTEA,</w:t>
      </w:r>
    </w:p>
    <w:p>
      <w:pPr>
        <w:pStyle w:val="Normal"/>
        <w:jc w:val="center"/>
        <w:rPr/>
      </w:pPr>
      <w:r>
        <w:rPr/>
      </w:r>
    </w:p>
    <w:p>
      <w:pPr>
        <w:pStyle w:val="Normal"/>
        <w:ind w:firstLine="708"/>
        <w:jc w:val="both"/>
        <w:rPr/>
      </w:pPr>
      <w:r>
        <w:rPr/>
        <w:t>Deliberând asupra recursului de faţă constată următoarele:</w:t>
      </w:r>
    </w:p>
    <w:p>
      <w:pPr>
        <w:pStyle w:val="Normal"/>
        <w:ind w:firstLine="708"/>
        <w:jc w:val="both"/>
        <w:rPr>
          <w:color w:val="000000"/>
        </w:rPr>
      </w:pPr>
      <w:r>
        <w:rPr>
          <w:b/>
        </w:rPr>
        <w:t>Prin sentinţa nr. SC1 din  ..., pronunţată de Tribunalul  ..., Secţia   ... în dosarul nr. D1</w:t>
      </w:r>
      <w:r>
        <w:rPr/>
        <w:t xml:space="preserve"> s-a admis acţiunea</w:t>
      </w:r>
      <w:r>
        <w:rPr>
          <w:color w:val="000000"/>
        </w:rPr>
        <w:t xml:space="preserve"> formulată de reclamanta DIRECŢIA SANITARĂ VETERINARĂ ŞI PENTRU SIGURANŢA ALIMENTELOR..., în contradictoriu cu pârâta SC A1 SRL.</w:t>
      </w:r>
    </w:p>
    <w:p>
      <w:pPr>
        <w:pStyle w:val="Normal"/>
        <w:ind w:firstLine="708"/>
        <w:jc w:val="both"/>
        <w:rPr/>
      </w:pPr>
      <w:r>
        <w:rPr/>
        <w:t xml:space="preserve">A fost obligată pârâta să plătească reclamantei suma de  2.999,68 lei reprezentând contravaloarea a 2.700 doze de vaccin antirabic precum şi 534,87 lei reprezentând penalităţi pentru perioada octombrie 2014 - februarie 2015. </w:t>
      </w:r>
    </w:p>
    <w:p>
      <w:pPr>
        <w:pStyle w:val="Normal"/>
        <w:ind w:firstLine="708"/>
        <w:jc w:val="both"/>
        <w:rPr/>
      </w:pPr>
      <w:r>
        <w:rPr>
          <w:b/>
        </w:rPr>
        <w:t xml:space="preserve">Împotriva sentinţei sentinţa nr. SC1 din  ..., pronunţată de Tribunalul  ..., Secţia   ... în dosarul nr. D1 </w:t>
      </w:r>
      <w:r>
        <w:rPr/>
        <w:t xml:space="preserve">a formulat recurs pârâta </w:t>
      </w:r>
      <w:r>
        <w:rPr>
          <w:b/>
        </w:rPr>
        <w:t>SC A1 SRL</w:t>
      </w:r>
      <w:r>
        <w:rPr/>
        <w:t>.</w:t>
      </w:r>
    </w:p>
    <w:p>
      <w:pPr>
        <w:pStyle w:val="Normal"/>
        <w:ind w:firstLine="708"/>
        <w:jc w:val="both"/>
        <w:rPr/>
      </w:pPr>
      <w:r>
        <w:rPr/>
        <w:t>În motivare, recurenta a susţinut că prin acţiunea promovată pe rolul Judecătoriei   ..., la data de 12.04.2017, reclamanta a solicitat instanţei obligarea subscrisei la plata sumei de 3534,55 lei, compusă din suma de 2999,68 lei-debit principal reprezentând contravaloare doze vaccin şi suma de 534,87 lei- penalităţi calculate pentru perioada octombrie 2014-februarie 2015, precum şi cheltuieli de judecată.</w:t>
      </w:r>
    </w:p>
    <w:p>
      <w:pPr>
        <w:pStyle w:val="Normal"/>
        <w:ind w:firstLine="708"/>
        <w:jc w:val="both"/>
        <w:rPr/>
      </w:pPr>
      <w:r>
        <w:rPr/>
        <w:t>Prin sentinţa SC2 a Judecătoriei   ... a fost admisă excepţia necompetenţei materiale a instanţei şi declinată cauza în favoarea Tribunalului ,...</w:t>
      </w:r>
    </w:p>
    <w:p>
      <w:pPr>
        <w:pStyle w:val="Normal"/>
        <w:ind w:firstLine="708"/>
        <w:jc w:val="both"/>
        <w:rPr/>
      </w:pPr>
      <w:r>
        <w:rPr/>
        <w:t>Prin sentinţa SC3/... emisă de Tribunalul  ... în dosar nr.D1 a fost admisă acţiunea reclamantei, cu încălcarea normelor de drept material.</w:t>
      </w:r>
    </w:p>
    <w:p>
      <w:pPr>
        <w:pStyle w:val="Normal"/>
        <w:ind w:firstLine="708"/>
        <w:jc w:val="both"/>
        <w:rPr/>
      </w:pPr>
      <w:r>
        <w:rPr/>
        <w:t>S-a apreciat că sentinţa pronunţată este esenţialmente nelegală, pentru considerentele ce vor fi succede:</w:t>
      </w:r>
    </w:p>
    <w:p>
      <w:pPr>
        <w:pStyle w:val="Normal"/>
        <w:ind w:firstLine="708"/>
        <w:jc w:val="both"/>
        <w:rPr/>
      </w:pPr>
      <w:r>
        <w:rPr/>
        <w:t>S-a considerat că este incident în prezenta cauză art.488 alin.l pct.8 din Codul de procedură civilă "când hotărârea a fost dată cu încălcarea sau aplicarea greşită a normelor de drept material".</w:t>
      </w:r>
    </w:p>
    <w:p>
      <w:pPr>
        <w:pStyle w:val="Normal"/>
        <w:ind w:firstLine="708"/>
        <w:jc w:val="both"/>
        <w:rPr/>
      </w:pPr>
      <w:r>
        <w:rPr/>
        <w:t>In mod nelegal prima instanţă a răstălmăcit normele de drept invocate, apreciind diferit asupra acestora, în condiţiile în care nu a administrat niciun probatoriu.</w:t>
      </w:r>
    </w:p>
    <w:p>
      <w:pPr>
        <w:pStyle w:val="Normal"/>
        <w:ind w:firstLine="708"/>
        <w:jc w:val="both"/>
        <w:rPr/>
      </w:pPr>
      <w:r>
        <w:rPr/>
        <w:t>Nu trebuia reţinută susţinerea instanţei, de la fila 7, paragraful 6, întrucât nu este reală, nefiind susţinută de probatoriul administrat, de legislaţia în vigoare.</w:t>
      </w:r>
    </w:p>
    <w:p>
      <w:pPr>
        <w:pStyle w:val="Normal"/>
        <w:ind w:firstLine="708"/>
        <w:jc w:val="both"/>
        <w:rPr/>
      </w:pPr>
      <w:r>
        <w:rPr/>
        <w:t>Pentru implementarea programului de prevenire si combatere a Rabiei, anual se efectuează acţiuni specifice, stabilite pe etape de desfăşurare, acţiuni coordonate de personalul de specialitate din cadrul D.S.V.S.A judeţeană in colaborare cu Direcţia Silvica Judeţeană, A.LVJP.S., responsabilii Fondurilor de vânătoare private, Direcţia de Sănătate Publica si proprietarii de animale, acţiuni care sunt direcţionate, prioritar.</w:t>
      </w:r>
    </w:p>
    <w:p>
      <w:pPr>
        <w:pStyle w:val="Normal"/>
        <w:ind w:firstLine="708"/>
        <w:jc w:val="both"/>
        <w:rPr/>
      </w:pPr>
      <w:r>
        <w:rPr/>
        <w:t>Programul cifric ar trebui să fie întocmit de către DSVSA.... anual şi are la bază "o medie anuală din ultimii 3 ani, calculată la data de 31 martie a fiecărui an, a efectivelor de specii şi categorii de animale şi nu a efectivelor existente în stoc la un moment dat"( a se vedea art.31 din Programul strategic, Ordinul 35 ).</w:t>
      </w:r>
    </w:p>
    <w:p>
      <w:pPr>
        <w:pStyle w:val="Normal"/>
        <w:ind w:firstLine="708"/>
        <w:jc w:val="both"/>
        <w:rPr/>
      </w:pPr>
      <w:r>
        <w:rPr/>
        <w:t>Iată că, nici din acest punct de vedere subscrisa nu are vreo culpă, din cele invocate de către reclamantă ( cum că s-ar fi estimat un efectiv mai mare şi s-ar fi solicitat nejustificat mai multe doze de vaccin) şi acreditate de către instanţă, rezultând că acea solicitare din anul 2014, a fost efectuată conform planului cifric din anul curent.</w:t>
      </w:r>
    </w:p>
    <w:p>
      <w:pPr>
        <w:pStyle w:val="Normal"/>
        <w:ind w:firstLine="708"/>
        <w:jc w:val="both"/>
        <w:rPr/>
      </w:pPr>
      <w:r>
        <w:rPr/>
        <w:t>Mai mult, nu prezintă importanţă faptul că DSVSA.... a fost sancţionată de către Curtea de Conturi şi, drept consecinţă, subscrisa ar fi bună de plată, întrucât, între Curtea de Conturi şi subscrisa nu există nicio relaţie de subordonare sau de verificare; dacă prima a găsit reclamantei anumite nereguli, acestea sunt de strictă interpretare şi în legătură cu actul de control, pe care DSVSA.... nu l-a contestat şi, deci, însuşit. în atari condiţii, persoanele găsite vinovate ar trebui să răspundă, în deplină concordanţă cu legislaţia în vigoare aferentă Curţii.</w:t>
      </w:r>
    </w:p>
    <w:p>
      <w:pPr>
        <w:pStyle w:val="Normal"/>
        <w:ind w:firstLine="708"/>
        <w:jc w:val="both"/>
        <w:rPr/>
      </w:pPr>
      <w:r>
        <w:rPr/>
        <w:t>Nu s-a regăsit în actul de control al Curţii de Conturi-Camera de Conturi ... vreo impunere sau sancţiune în sarcina subscrisei, astfel, că, întemeierea acţiunii pe acest act de control a fost total nejustificată şi nu poate constitui temei al vreunei răspunderi.</w:t>
      </w:r>
    </w:p>
    <w:p>
      <w:pPr>
        <w:pStyle w:val="Normal"/>
        <w:ind w:firstLine="708"/>
        <w:jc w:val="both"/>
        <w:rPr/>
      </w:pPr>
      <w:r>
        <w:rPr/>
        <w:t>Vaccinarea profilactica antirabica a câinilor, a pisicilor, a dihorilor domestici, a câinilor de la stana, a animalelor din adăposturile speciale, a animalelor din grădinile zoologice si circuri, este obligaţia proprietarilor sau a deţinătorilor acestora, cu respectarea legislaţiei specifice in vigoare.</w:t>
      </w:r>
    </w:p>
    <w:p>
      <w:pPr>
        <w:pStyle w:val="Normal"/>
        <w:ind w:firstLine="708"/>
        <w:jc w:val="both"/>
        <w:rPr/>
      </w:pPr>
      <w:r>
        <w:rPr/>
        <w:t>Pentru ca aceasta importanta acţiune sa se desfăşoare in conformitate cu legislaţia specifica in vigoare, Legea 258 / 2013 si Ordinul Preşedintelui A.N.S.V.S.A nr. 1 din 2014, obliga ca circulaţia câinilor pe teritoriul României sa se efectueze numai daca sunt identificaţi, înregistraţi si vaccinaţi antirabic, însoţiţi de carnete de sănătate.</w:t>
      </w:r>
    </w:p>
    <w:p>
      <w:pPr>
        <w:pStyle w:val="Normal"/>
        <w:ind w:firstLine="708"/>
        <w:jc w:val="both"/>
        <w:rPr/>
      </w:pPr>
      <w:r>
        <w:rPr/>
        <w:t>Nu ar trebui reţinută susţinerea instanţei, cum că, ar fi trebuit să se procedeze la microcipare, pentru că ar exista anumite acte legislative, întrucât, dacă la o simplă lecturare chiar Ordinul 1/2014 al ANSVSA, Publicat in Monitorul Oficial Partea I nr. 31 din 15 ianuarie 2014, se distinge între obligaţiile proprietarilor şi cele ale medicilor veterinari; acestea se exclud şi nu se completează.</w:t>
      </w:r>
    </w:p>
    <w:p>
      <w:pPr>
        <w:pStyle w:val="Normal"/>
        <w:ind w:firstLine="708"/>
        <w:jc w:val="both"/>
        <w:rPr/>
      </w:pPr>
      <w:r>
        <w:rPr/>
        <w:t>In contextul legislaţiei specifice in vigoare ( ORDINUL 1/07.01.2014 şi LEGEA 258/2013 ) proprietarii de câini au următoarele obligaţii:</w:t>
      </w:r>
    </w:p>
    <w:p>
      <w:pPr>
        <w:pStyle w:val="Normal"/>
        <w:ind w:firstLine="708"/>
        <w:jc w:val="both"/>
        <w:rPr/>
      </w:pPr>
      <w:r>
        <w:rPr/>
        <w:t xml:space="preserve">• </w:t>
      </w:r>
      <w:r>
        <w:rPr/>
        <w:t>sa identifice, sa înregistreze animalele in R.E.C.S. si sa le vaccineze antirabic in termen de 90 zile de la fătare sau înainte de vânzarea, donarea cu titlu gratuit sau scoaterea in spatii publice a acestora; ( ART. 7 CAPJI DIN ORDINUL 1/2014 )</w:t>
      </w:r>
    </w:p>
    <w:p>
      <w:pPr>
        <w:pStyle w:val="Normal"/>
        <w:ind w:firstLine="708"/>
        <w:jc w:val="both"/>
        <w:rPr/>
      </w:pPr>
      <w:r>
        <w:rPr/>
        <w:t xml:space="preserve">• </w:t>
      </w:r>
      <w:r>
        <w:rPr/>
        <w:t>câinii cu vârsta mai mare de 90 de zile care nu au fost identificaţi înregistraţi si vaccinaţi contra rabiei conform normelor in vigoare, vor fi prezentaţi medicului veterinar pentru a se identifica si înregistra in R.E.C.S si vaccina, înainte de vânzarea, donarea, sau scoaterea in spatii publice a acestora;</w:t>
      </w:r>
    </w:p>
    <w:p>
      <w:pPr>
        <w:pStyle w:val="Normal"/>
        <w:ind w:firstLine="708"/>
        <w:jc w:val="both"/>
        <w:rPr/>
      </w:pPr>
      <w:r>
        <w:rPr/>
        <w:t xml:space="preserve">• </w:t>
      </w:r>
      <w:r>
        <w:rPr/>
        <w:t>sa solicite operatorului R.E.C.S. identificarea electronica a câinelui cu microcip aprobat conform prezentelor norme, efectuarea acţiunilor sanitare veterinare obligatorii, înregistrarea in R.E.C.S., eliberarea carnetului de sănătate si a paşaportului după caz;</w:t>
      </w:r>
    </w:p>
    <w:p>
      <w:pPr>
        <w:pStyle w:val="Normal"/>
        <w:ind w:firstLine="708"/>
        <w:jc w:val="both"/>
        <w:rPr/>
      </w:pPr>
      <w:r>
        <w:rPr/>
        <w:t xml:space="preserve">• </w:t>
      </w:r>
      <w:r>
        <w:rPr/>
        <w:t>sa notifice medicului veterinar de libera practica utilizator R.E.C.S., in termen de 7 zile, evenimentele referitoare la animal: vânzare, cumpărare, pierdere, dispariţie, furt, donaţie, moartea pentru a fi operate aceste modificări;</w:t>
      </w:r>
    </w:p>
    <w:p>
      <w:pPr>
        <w:pStyle w:val="Normal"/>
        <w:ind w:firstLine="708"/>
        <w:jc w:val="both"/>
        <w:rPr/>
      </w:pPr>
      <w:r>
        <w:rPr/>
        <w:t xml:space="preserve">• </w:t>
      </w:r>
      <w:r>
        <w:rPr/>
        <w:t>sa deţină carnetul de sănătate a câinelui completat la zi in cazul deplasării animalelor in spatiile publice pe teritoriul României.</w:t>
      </w:r>
    </w:p>
    <w:p>
      <w:pPr>
        <w:pStyle w:val="Normal"/>
        <w:ind w:firstLine="708"/>
        <w:jc w:val="both"/>
        <w:rPr/>
      </w:pPr>
      <w:r>
        <w:rPr/>
        <w:t>Microciparea şi înregistrarea patrupedelor în Registrul de Evidenţă a Câinilor cu Stăpân este contracost şi se realizează de către medicii veterinari de liberă practică. Tarifele diferă în funcţie de fiecare cabinet în parte, fiind cuprinse între 40 şi 50 de lei. în schimb, campania de vaccinare antirabică este gratuită, costurile fiind suportate de la bugetul de stat.</w:t>
      </w:r>
    </w:p>
    <w:p>
      <w:pPr>
        <w:pStyle w:val="Normal"/>
        <w:ind w:firstLine="708"/>
        <w:jc w:val="both"/>
        <w:rPr/>
      </w:pPr>
      <w:r>
        <w:rPr/>
        <w:t>Este incorect raţionamentul instanţei preluat de la reclamantă cum că nu s-ar fi efectuat microciparea, neintroducând niciun câine în RECS (a se vedea explicaţiile anterioare privind obligaţia proprietarilor de a aduce câinele la microcipare ), subscrisa conformându-se legii.</w:t>
      </w:r>
    </w:p>
    <w:p>
      <w:pPr>
        <w:pStyle w:val="Normal"/>
        <w:ind w:firstLine="708"/>
        <w:jc w:val="both"/>
        <w:rPr/>
      </w:pPr>
      <w:r>
        <w:rPr/>
        <w:t>Este adevărat că în conformitate cu art. 13A4 din OUG 155/2001 se stipulează ca acţiunea de vaccinare a câinilor cu stăpân şi a celor ce urmează să fie daţi spre adopţie se efectuează numai după identificarea acestora, identificare care presupune, în conformitate cu Ordinul nr. 1/2014 pentru aprobarea normelor privind identificarea şi înregistrarea câinilor cu stăpân; microciparea şi înregistrarea în RECS.</w:t>
      </w:r>
    </w:p>
    <w:p>
      <w:pPr>
        <w:pStyle w:val="Normal"/>
        <w:ind w:firstLine="708"/>
        <w:jc w:val="both"/>
        <w:rPr/>
      </w:pPr>
      <w:r>
        <w:rPr/>
        <w:t>Or, obligaţia de identificare a câinilor cu stăpân a fost stabilită, potrivit art. 8 alin.4 din OUG 185/2001 în sarcina proprietarilor sau deţinătorilor de câini persoane fizice sau juridice, iar nu în sarcina medicilor veterinari, respectiv cabinetelor medicale veterinare, precum în speţă, cum eronat susţine instanţa.</w:t>
      </w:r>
    </w:p>
    <w:p>
      <w:pPr>
        <w:pStyle w:val="Normal"/>
        <w:ind w:firstLine="708"/>
        <w:jc w:val="both"/>
        <w:rPr/>
      </w:pPr>
      <w:r>
        <w:rPr/>
        <w:t>Prin urmare în condiţiile în care vaccinarea contra rabiei nu poate avea loc decât după microciparea câinilor, microcipare ce presupune cheltuieli separate pe care proprietarii sau deţinătorii de animale nu înţeleg să şi le asume, nu poate fi imputabilă subscrisei neutilizarea dozelor de vaccin.</w:t>
      </w:r>
    </w:p>
    <w:p>
      <w:pPr>
        <w:pStyle w:val="Normal"/>
        <w:ind w:firstLine="708"/>
        <w:jc w:val="both"/>
        <w:rPr/>
      </w:pPr>
      <w:r>
        <w:rPr/>
        <w:t>Nu are nicio relevanţă acea "minută" întocmită de către DSVSA.... şi semnată eronat de către subscrisa prin reprezentant, întrucât subscrisa nu este angajat al reclamantei DSVSA.... ci colaborator şi nu-i pot fi imputate niciun fel de acţiuni, pentru că nu există temei juridic,</w:t>
      </w:r>
    </w:p>
    <w:p>
      <w:pPr>
        <w:pStyle w:val="Normal"/>
        <w:ind w:firstLine="708"/>
        <w:jc w:val="both"/>
        <w:rPr/>
      </w:pPr>
      <w:r>
        <w:rPr/>
        <w:t xml:space="preserve">Nu poate fi reţinută o culpă a medicului veterinar pentru că nu ar fi utilizat toate vaccinurile aflate în depozit la acesta, pentru că nu are suport juridic ( a se vedea </w:t>
      </w:r>
      <w:hyperlink r:id="rId2">
        <w:r>
          <w:rPr>
            <w:rStyle w:val="ListLabel1"/>
          </w:rPr>
          <w:t>cap.II</w:t>
        </w:r>
      </w:hyperlink>
      <w:r>
        <w:rPr/>
        <w:t xml:space="preserve">, art.7 din Ordinul 1/2014 ), acesta NEAVÂND OBLIGAŢIA LEGALĂ DE A MICROC1PA, ci, doar de a acorda sprijin efectiv proprietarului şi de a monta cipul, dacă proprietarul vine cu câinele la el. </w:t>
      </w:r>
    </w:p>
    <w:p>
      <w:pPr>
        <w:pStyle w:val="Normal"/>
        <w:ind w:firstLine="708"/>
        <w:jc w:val="both"/>
        <w:rPr/>
      </w:pPr>
      <w:r>
        <w:rPr/>
        <w:t>Nici faptul că subscrisa nu a restituit dozele de vaccin înainte de expirare, în condiţiile nefolosirii acestora, nu poate fi privită ca o culpă a cabinetului veterinar, reclamanta neputând preciza un temei juridic sau o procedură de restituire a dozelor, modalităţi şi termene de restituire.</w:t>
      </w:r>
    </w:p>
    <w:p>
      <w:pPr>
        <w:pStyle w:val="Normal"/>
        <w:ind w:firstLine="708"/>
        <w:jc w:val="both"/>
        <w:rPr/>
      </w:pPr>
      <w:r>
        <w:rPr/>
        <w:t>Mai mult, pentru campania 2013-2015, DSVSA.... nu a aplicat legislaţia în vigoare ( a se vedea cap.IV art.16, pct.8 Ordinul 1/2014 - " După data de 31.12.2014 este interzisă deţinerea de câini neidentificati si neînregistraţi" ).</w:t>
      </w:r>
    </w:p>
    <w:p>
      <w:pPr>
        <w:pStyle w:val="Normal"/>
        <w:ind w:firstLine="708"/>
        <w:jc w:val="both"/>
        <w:rPr/>
      </w:pPr>
      <w:r>
        <w:rPr/>
        <w:t>S-a solicitat ca instanţa de control judiciar să constate, pe baza probatoriului administrat faptul că, deşi ANSVSA a solicitat note de serviciu pentru campania de vaccinare antirabică 2014-2015, impunând direcţiilor să transmită măsurile aplicate în cazul în care activitatea de identificare şi vaccinare a câinilor cu stăpân a fost refuzată de către proprietari precum şi valoarea totală a amenzilor aplicate, ca urmare a refuzului de identificare şi vaccinare a câinilor cu stăpân, acestea nu s-au conformat ( în speţă DSVSA.... ), nefiind depuse niciun fel de dovezi în acest sens.</w:t>
      </w:r>
    </w:p>
    <w:p>
      <w:pPr>
        <w:pStyle w:val="Normal"/>
        <w:ind w:firstLine="708"/>
        <w:jc w:val="both"/>
        <w:rPr/>
      </w:pPr>
      <w:r>
        <w:rPr/>
        <w:t>Un alt aspect neclarificat de către instanţă a fost acela al penalităţilor, care, încep să curgă din luna octombrie 2014 ( deşi au fost achiziţionate de către DSVSA.... în data de 17.10.2014 şi primite de către subscrisa la data de 20.10.2014 ) şi se termină în luna februarie 2015.</w:t>
      </w:r>
    </w:p>
    <w:p>
      <w:pPr>
        <w:pStyle w:val="Normal"/>
        <w:ind w:firstLine="708"/>
        <w:jc w:val="both"/>
        <w:rPr/>
      </w:pPr>
      <w:r>
        <w:rPr/>
        <w:t>In dovedirea recursului s-a solicitat încuviinţarea probei cu înscrisuri, precum şi orice altă probă admisibilă în materie.</w:t>
      </w:r>
    </w:p>
    <w:p>
      <w:pPr>
        <w:pStyle w:val="Normal"/>
        <w:ind w:firstLine="708"/>
        <w:jc w:val="both"/>
        <w:rPr/>
      </w:pPr>
      <w:r>
        <w:rPr/>
        <w:t>In drept, recursul a fost întemeiat pe dispoziţiile art.488 alin.l pct.8 codul de procedură civilă, CEDO.</w:t>
      </w:r>
    </w:p>
    <w:p>
      <w:pPr>
        <w:pStyle w:val="Normal"/>
        <w:ind w:firstLine="708"/>
        <w:jc w:val="both"/>
        <w:rPr/>
      </w:pPr>
      <w:r>
        <w:rPr/>
        <w:t>La data de 07.02.2018, intimata-reclamantă DIRECŢIA SANITAR VETERINARĂ ŞI PENTRU SIGURANŢA ALIMENTELOR... a formulat întâmpinare  prin care a solicitat respingerea recursului ca neîntemeiat.</w:t>
      </w:r>
    </w:p>
    <w:p>
      <w:pPr>
        <w:pStyle w:val="Normal"/>
        <w:ind w:firstLine="708"/>
        <w:jc w:val="both"/>
        <w:rPr/>
      </w:pPr>
      <w:r>
        <w:rPr/>
        <w:t>În motivarea întâmpinării, intimatul a învederat că solicită admiterea inadmisibilitatii recursului, a constatării nulităţii acestuia deoarece s-a considerat ca motivele invocate nu se încadrează în motivele de casare prevăzute de art.488 alin.l pct.8 noul cod pr civ .</w:t>
      </w:r>
    </w:p>
    <w:p>
      <w:pPr>
        <w:pStyle w:val="Normal"/>
        <w:ind w:firstLine="708"/>
        <w:jc w:val="both"/>
        <w:rPr/>
      </w:pPr>
      <w:r>
        <w:rPr/>
        <w:t>Pe fondul cauzei s-a considerat că Sentinţa civilă nr.SC3 /... pronunţata de Tribunalul  ... ca fiind temeinica si legala, cu respectarea si aplicarea corecta a normelor de drept material, pronunţând hotărârea dupa analiza înscrisurilor depuse la dosarul cauzei., respectiv acordul cadru care reglementează raportul juridic intre cele doua parti, bonul de consum, din care rezulta cantitatea de vaccin ridicata, înscrisurile curţii de conturi din care rezulta faptul ca recurentul nu a efectuat vaccinarea antirabica „nefolosind" vaccinul acordat de stat, prejudiciind astfel bugetul de stat cu suma de 3534,55 lei .</w:t>
      </w:r>
    </w:p>
    <w:p>
      <w:pPr>
        <w:pStyle w:val="Normal"/>
        <w:ind w:firstLine="708"/>
        <w:jc w:val="both"/>
        <w:rPr/>
      </w:pPr>
      <w:r>
        <w:rPr/>
        <w:t>Astfel, din conţinutul înscrisurilor existente la dosar rezulta fara tăgada, ca obligaţia medicului veterinar este de a efectua acţiunile decontate de stat .</w:t>
      </w:r>
    </w:p>
    <w:p>
      <w:pPr>
        <w:pStyle w:val="Normal"/>
        <w:ind w:firstLine="708"/>
        <w:jc w:val="both"/>
        <w:rPr/>
      </w:pPr>
      <w:r>
        <w:rPr/>
        <w:t>Având in vedere ca in RECS Curtea de Conturi, nu a găsit nici-un câine vaccinat de către recurentă faptul ca a ţinut vaccinul pana la expirare, astfel s-a considerat ca in mod corect s-a stabilit ca si prejudiciu contravaloarea vaccinurilor decontate de stat, astfel că, în atare operează răspunderea contractuală a acestuia.</w:t>
      </w:r>
    </w:p>
    <w:p>
      <w:pPr>
        <w:pStyle w:val="Normal"/>
        <w:ind w:firstLine="708"/>
        <w:jc w:val="both"/>
        <w:rPr/>
      </w:pPr>
      <w:r>
        <w:rPr/>
        <w:t>S-a considerat că apelanta nu face altceva decat sa reia apărările formulate la fondul cauzei susţinând in continuare ca nu este obligaţia medicului veterinar de a microcipa câinii, încercând sa induca in eroare instanţa, ignorând prevederile contractuale, potrivit cărora medicul veterinar are obligaţia de a microcipa si vaccina câinii.</w:t>
      </w:r>
    </w:p>
    <w:p>
      <w:pPr>
        <w:pStyle w:val="Normal"/>
        <w:ind w:firstLine="708"/>
        <w:jc w:val="both"/>
        <w:rPr/>
      </w:pPr>
      <w:r>
        <w:rPr/>
        <w:t>Apărările ca obligaţia de microcipare este doar a proprietarilor de câni, nu poate fii reţinuta raportat la prevederile contractual (medicul veterinar este obligat de a efectua acţiunea de identificarea animalelor"(microcipare şi introducere în RECS ) luând toate masurile de îndeplinire a obligaţiilor.</w:t>
      </w:r>
    </w:p>
    <w:p>
      <w:pPr>
        <w:pStyle w:val="Normal"/>
        <w:ind w:firstLine="708"/>
        <w:jc w:val="both"/>
        <w:rPr/>
      </w:pPr>
      <w:r>
        <w:rPr/>
        <w:t>Potrivit prevederilor art.l6 pct.8 cap.IV din Ordinul 1/2014 precizează in mod expres, fiind o prevedere imperativă faptul ca dupa data de 31.12.2014 este interzisa deţinerea de câini neidentificaţi şi neînregistrati.</w:t>
      </w:r>
    </w:p>
    <w:p>
      <w:pPr>
        <w:pStyle w:val="Normal"/>
        <w:ind w:firstLine="708"/>
        <w:jc w:val="both"/>
        <w:rPr/>
      </w:pPr>
      <w:r>
        <w:rPr/>
        <w:t xml:space="preserve">Astfel, este culpa exclusivă a medicului veterinar de a folosi dozele de vaccin antirabic, de neindeplinirea clauzelor contractuale, situaţie in care se impunea răspunderea contractuală, si respectiv recuperarea prejudiciului cauzat ca urmare a nevaccinarii. </w:t>
      </w:r>
    </w:p>
    <w:p>
      <w:pPr>
        <w:pStyle w:val="Normal"/>
        <w:ind w:firstLine="708"/>
        <w:jc w:val="both"/>
        <w:rPr/>
      </w:pPr>
      <w:r>
        <w:rPr/>
        <w:t>In anul 2014 paratului i s-a prelungit Contractul de Concesiune pentru CSV  .... , având obligaţia potrivit clauzelor contractual a presta activităţile sanitar veterinare prevăzute in Programul Strategic (DECONTATE DE STAT ), Inclusiv vaccinarea antirabica la câinii cu stapan. Potrivit prevederilor legale vaccinarea antirabică la câinii cu stăpân, se efectuează numai dupa microciparea acestora, în conformitate cu Legea 258/2013. Art.13, alin.4 "acţiunea de vaccinare antirabica a câinilor cu stapan si a celor ce urmează sa fie dati spre adopţie se efectuează numai dupa identificarea acestora " care modifica OUG 155/2001 art.8, alin 4; "Proprietarii sau deţinătorii de câini, persoane fizice sau persoane juridice, au obligaţia identificării acestora prin microcipare sau prin alt mijloc de identificare stabilit de către Autoritatea Naţionala Sanitara Veterinara si pentru Siguranţa Alimentelor,"</w:t>
      </w:r>
    </w:p>
    <w:p>
      <w:pPr>
        <w:pStyle w:val="Normal"/>
        <w:ind w:firstLine="708"/>
        <w:jc w:val="both"/>
        <w:rPr/>
      </w:pPr>
      <w:r>
        <w:rPr/>
        <w:t>Conform prevederilor pct. 13 din Ordinul ANSVSA nr.29/2014 costurile manoperei de vaccinare sunt suportate din bugetul de stat, respectiv asigurate de ANSVSA .</w:t>
      </w:r>
    </w:p>
    <w:p>
      <w:pPr>
        <w:pStyle w:val="Normal"/>
        <w:ind w:left="-540" w:firstLine="540"/>
        <w:jc w:val="both"/>
        <w:rPr/>
      </w:pPr>
      <w:r>
        <w:rPr/>
        <w:t>Pentru a asigura această campanie de vaccinare, DSVSA  ...., prin procedura de licitaţie deschisă a achiziţionat 100.000 de doze de vaccin antirabic în baza contractului de furnizare de produse nr. ...5/09.10.2014 încheiat cu furnizorul SC B1 SA în valoare totala de 139.520 lei inclusiv TVA (anexa nr. 10). Dozele de vaccin achiziţionate cu factura nr. ...5/17.10.2014 (anexa nr. 11) achitată cu OP din 25.11.2014 (anexa. 12) au avut termen de valabilitate,până în august 2015.</w:t>
        <w:tab/>
      </w:r>
    </w:p>
    <w:p>
      <w:pPr>
        <w:pStyle w:val="Normal"/>
        <w:ind w:left="-540" w:firstLine="540"/>
        <w:jc w:val="both"/>
        <w:rPr/>
      </w:pPr>
      <w:r>
        <w:rPr/>
        <w:t>Dozele de vaccin antirabic achiziţionate,au fost repartizate de către DSVSA  .... medicilor veterinari concesionari din circumscripţii, pe bază de bonuri de transfer la CSVC  .... -2700 doze, în conformitate cu prevederile lit. B pct. 1.1 din anexa la Ordinul nr. 5/2014 pentru aprobarea procedurii privind decontarea acţiunilor sanitar veterinare. Repartizarea acestor doze prin bonuri de transfer s-a făcut în funcţie de necesarul specificat în programul cifric anual întocmit de către medicii veterinari concesionari pe flecare circumscripţie, avizat de Serviciul de Sănătate Animală şi aprobat de directorul executiv, document care a avut rolul şi de referat de necesitate ce a stat la baza demarării procedurii de licitaţie în vederea atribuirii contractului de furnizare vaccin antirabic.</w:t>
      </w:r>
    </w:p>
    <w:p>
      <w:pPr>
        <w:pStyle w:val="Normal"/>
        <w:ind w:left="-540" w:firstLine="540"/>
        <w:jc w:val="both"/>
        <w:rPr/>
      </w:pPr>
      <w:r>
        <w:rPr/>
        <w:t xml:space="preserve">Auditorii publici externi ai Curţii de Conturi, analizând consumul de doze de vaccin utilizate de către medicii veterinari concesionari în campania octombrie 2014 -februarie 2015 au constatat că CSVC ... -2700 doze din totalul de 100.000 de doze achiziţionate de DSVSA  .... şi transferate acestora, nu au fost utilizate aceste doze, domnul doctor G1 nemicrocipând şi neintroducând niciun câine in RECS. Aceste doze au rămas în stoc la dispoziţia medicului veterinar concesionar iar în luna august 2015 dozele rămase în stoc au expirat nemaiputând-fi utilizate pentru următoarea campanie de vaccinare. </w:t>
      </w:r>
    </w:p>
    <w:p>
      <w:pPr>
        <w:pStyle w:val="Normal"/>
        <w:ind w:left="-540" w:firstLine="540"/>
        <w:jc w:val="both"/>
        <w:rPr/>
      </w:pPr>
      <w:r>
        <w:rPr/>
        <w:t>Nemicrociparea efectivului de carnasiere, ce urmau a fi vaccinate antirabic, este nejustificată întrucât la data întocmirii programului cifric aferent anului 2014 erau în vigoare următoarele prevederi legislative coroborate:- art. 13</w:t>
      </w:r>
      <w:r>
        <w:rPr>
          <w:rFonts w:ascii="Times New (W1)" w:hAnsi="Times New (W1)"/>
          <w:vertAlign w:val="superscript"/>
        </w:rPr>
        <w:t>A</w:t>
      </w:r>
      <w:r>
        <w:rPr/>
        <w:t xml:space="preserve">4 din OUG 155/2001 actualizată privind aprobarea programului de gestionarea câinilor cu stăpân care precizau "acţiunea de vaccinare antirabica a câinilor cu stăpân şi a celor ce urmează să fie daţi spre adopţie, se efectuează numai după identificarea acestora",       </w:t>
      </w:r>
    </w:p>
    <w:p>
      <w:pPr>
        <w:pStyle w:val="Normal"/>
        <w:ind w:left="-540" w:firstLine="540"/>
        <w:jc w:val="both"/>
        <w:rPr/>
      </w:pPr>
      <w:r>
        <w:rPr/>
        <w:t xml:space="preserve">- art. 3 alin. 5 din Ordinul 1/2014 pentru aprobarea normelor privind identificarea şi înregistrarea câinilor cu stăpân, care precizau "câinii se identifică exclusiv prin implantarea unui microcip”.art. 16, alin. 6 din Ordinul 1-/2014 pentru aprobarea normelor privind identificarea şi înregistrarea câinilor cu stăpân, care precizau "orice alta modalitate de identificare alternativă nu se va putea utiliza pentru un câine care a fost deja identificat prin implantarea unui microcip. Câinii identificaţi printr-un mijloc de identificare alternativ se identifică prin microcipare şi se înregistrează în RECS". </w:t>
      </w:r>
    </w:p>
    <w:p>
      <w:pPr>
        <w:pStyle w:val="Normal"/>
        <w:ind w:left="-540" w:firstLine="540"/>
        <w:jc w:val="both"/>
        <w:rPr/>
      </w:pPr>
      <w:r>
        <w:rPr/>
        <w:t>Acest aspect legislativ a fost invocat şi în adresa ANSVSA nr. ...0/17.10.2014 care menţiona „în vederea vaccinării antirabice la câini cu stăpân, aceasta se va efectua după microciparea acestora, in conformitate cu Legea 258/2013, Art. 13, alin.4 " acţiunea de vaccinare antirabica a câinilor cu stăpân si a celor ce urmează sa fie daţi spre adopţie se efectuează numai după identificarea acestora " care modifica OUG 155/2001 art.8, alin 4: ''Proprietarii sau deţinătorii de câini, persoane fizice sau persoane juridice, au obligaţia identificării acestora prin microcipare sau prin alt mijloc de identificare - stabilit de către Autoritatea Naţionala Sanitara Veterinara si pentru Siguranţa Alimentelor."'</w:t>
      </w:r>
    </w:p>
    <w:p>
      <w:pPr>
        <w:pStyle w:val="Normal"/>
        <w:ind w:left="-540" w:firstLine="540"/>
        <w:jc w:val="both"/>
        <w:rPr/>
      </w:pPr>
      <w:r>
        <w:rPr/>
        <w:t>Adresa menţionată a prelungit campania de vaccinare, antirabica profilactică la animalele de companie până inclusiv în luna februarie 2015, ca o derogare de la prevederile Ordinului ANSVSA 29/2014 tocmai pentru a da posibilitatea identificării prin microcipare a efectivelor de carnasiere (câini) estimate de medicii veterinari concesionari.</w:t>
      </w:r>
    </w:p>
    <w:p>
      <w:pPr>
        <w:pStyle w:val="Normal"/>
        <w:ind w:left="-540" w:firstLine="540"/>
        <w:jc w:val="both"/>
        <w:rPr/>
      </w:pPr>
      <w:r>
        <w:rPr/>
        <w:t>Astfel, nemicrociparea câinilor, respectiv nefolosirea  vaccinurilor  prin nevaccinarea câinilor este culpa evidentă a medicului veterinar, care din neglijenta nu a folosit întreaga cantitate de vaccin preluată de la DSVSA.... pe baza bonului de comanda fiind astfel nerespectate si clauzele contractuale.</w:t>
      </w:r>
    </w:p>
    <w:p>
      <w:pPr>
        <w:pStyle w:val="Normal"/>
        <w:ind w:left="-540" w:firstLine="540"/>
        <w:jc w:val="both"/>
        <w:rPr/>
      </w:pPr>
      <w:r>
        <w:rPr/>
        <w:t xml:space="preserve">Astfel, medicul veterinar a rămas pe stoc cu vaccinurile neutilizate, la dispoziţia acestora, iar in luna august 2015, aceste doze au expirat, nemaiputând fi utilizate pentru următoarea campanie de vaccinare. </w:t>
      </w:r>
    </w:p>
    <w:p>
      <w:pPr>
        <w:pStyle w:val="Normal"/>
        <w:ind w:left="-540" w:firstLine="540"/>
        <w:jc w:val="both"/>
        <w:rPr/>
      </w:pPr>
      <w:r>
        <w:rPr/>
        <w:t>Supraestimarea efectivului de carnasiere (câini) de către medicul veterinar concesionar sau prestator de servicii în cadrul programului anual cifric aferent anului 2014 a generat achiziţionarea  de către DSVSA.... a unui număr foarte mare de doze de vaccin care, ulterior nu au fost utilizate de către medicii veterinari şi au expirat, fapt ce a generat prejudicii bugetului de stat cu suma de 2999.68 lei, pentru care auditorii publici au calculat accesorii (dobânzi şi penalităţi) în suma de 3534,55 lei.</w:t>
      </w:r>
    </w:p>
    <w:p>
      <w:pPr>
        <w:pStyle w:val="Normal"/>
        <w:ind w:left="-540" w:firstLine="540"/>
        <w:jc w:val="both"/>
        <w:rPr/>
      </w:pPr>
      <w:r>
        <w:rPr/>
        <w:t>DSVSA.... a notificat pârâtul prin Notificarea nr. ....9/26.01.2017, ca în termen de 15 zile să se prezinte la DSVSA.... în vederea achitării sumelor restante. S-a menţionat că nici până la această dată pârâtul nu a înţeles să achite de bună voie sumele ce le datorează.</w:t>
      </w:r>
    </w:p>
    <w:p>
      <w:pPr>
        <w:pStyle w:val="Normal"/>
        <w:ind w:left="-540" w:firstLine="540"/>
        <w:jc w:val="both"/>
        <w:rPr/>
      </w:pPr>
      <w:r>
        <w:rPr/>
        <w:t>De asemenea, medicul veterinar a semnat minuta prin care se angaja să depună suma reţinută în procesul verbal al Curţii de Conturi.</w:t>
      </w:r>
    </w:p>
    <w:p>
      <w:pPr>
        <w:pStyle w:val="Normal"/>
        <w:ind w:left="708" w:firstLine="708"/>
        <w:jc w:val="both"/>
        <w:rPr/>
      </w:pPr>
      <w:r>
        <w:rPr/>
        <w:t>Astfel, având in vedere relaţiile contractuale, prevederile legii nr.500/2002 actualizata, privind finanţele publice, codul fiscal, OUG.nr.155/2001,Ordinul nr. l/20l4 Cod pr.civ , decizia Curţii de Conturi privind recuperarea prejudiciului ca urmare a neglijentei medicilor veterinari. Minuta nr. ...4/ 27.04.2017 s-a solicitat admiterea acţiunii aşa cum a fost formulata, obligarea paratului la plata sumei de 3534.55 lei din care 2999.68 debit si 534.87 lei accesorii calculate pana la data de 25.01.2017 De asemenea s-a solicitat obligarea acestuia la plata accesoriilor calculate pana la data plaţii efective.</w:t>
      </w:r>
    </w:p>
    <w:p>
      <w:pPr>
        <w:pStyle w:val="Normal"/>
        <w:ind w:left="708" w:firstLine="708"/>
        <w:jc w:val="both"/>
        <w:rPr/>
      </w:pPr>
      <w:r>
        <w:rPr/>
        <w:t>La data de 19.02.2018 recurenta-pârâtă SC A1 SRL a depus răspuns la întâmpinare prin care a solicitat a se reţine ca nefondată.</w:t>
      </w:r>
    </w:p>
    <w:p>
      <w:pPr>
        <w:pStyle w:val="Normal"/>
        <w:ind w:left="708" w:firstLine="708"/>
        <w:jc w:val="both"/>
        <w:rPr/>
      </w:pPr>
      <w:r>
        <w:rPr/>
        <w:t>Pe fondul recursului a reiterat motivele invocate în cererea de recurs.</w:t>
      </w:r>
    </w:p>
    <w:p>
      <w:pPr>
        <w:pStyle w:val="Normal"/>
        <w:ind w:left="708" w:firstLine="708"/>
        <w:jc w:val="both"/>
        <w:rPr/>
      </w:pPr>
      <w:r>
        <w:rPr>
          <w:b/>
        </w:rPr>
        <w:t>Considerentele instanţei de recurs în raport de motivele de recurs invocate şi de disp. art. 488 pct. 8 N.C.p.c:</w:t>
      </w:r>
      <w:r>
        <w:rPr/>
        <w:t xml:space="preserve"> </w:t>
      </w:r>
    </w:p>
    <w:p>
      <w:pPr>
        <w:pStyle w:val="Normal"/>
        <w:ind w:left="708" w:firstLine="708"/>
        <w:jc w:val="both"/>
        <w:rPr/>
      </w:pPr>
      <w:r>
        <w:rPr/>
        <w:t>Sub aspectul competenţei, nu mai poate fi pusă în discuţie competenţa materială în primă instanţă.</w:t>
      </w:r>
    </w:p>
    <w:p>
      <w:pPr>
        <w:pStyle w:val="Normal"/>
        <w:ind w:left="540" w:firstLine="708"/>
        <w:jc w:val="both"/>
        <w:rPr/>
      </w:pPr>
      <w:r>
        <w:rPr/>
        <w:t xml:space="preserve">Curtea apreciază  ca motiv de ordine publică, motivul de nelegalitate prevăzut de art. 488 alin. 1 pct.5 C.p.civ. </w:t>
      </w:r>
    </w:p>
    <w:p>
      <w:pPr>
        <w:pStyle w:val="Normal"/>
        <w:ind w:left="540" w:firstLine="708"/>
        <w:jc w:val="both"/>
        <w:rPr/>
      </w:pPr>
      <w:r>
        <w:rPr/>
        <w:t>Astfel, se observa ca reclamantul a investit instanţa cu obligarea SC A1 SRL, în procedura prevăzută de art. 1.026 Cod procedură civilă,  la plata sumei totale de 3534.55 lei, compusă din suma de 2999.68 lei - debit principal reprezentând contravaloare doze vaccin şi suma de 534.87 lei – penalităţi calculate pentru perioada octombrie 2014 – februarie 2015, precum şi la plata cheltuielilor de judecată, arătând  că în anul 2014 pârâtului i s-a prelungit contractul de concesiune pentru CSV ..., având obligaţia, potrivit clauzelor contractuale, să presteze activităţile sanitar veterinare prevăzute în Programul Strategic (decontate de stat), inclusiv vaccinarea antirabică la câinii cu stăpân. P</w:t>
      </w:r>
    </w:p>
    <w:p>
      <w:pPr>
        <w:pStyle w:val="Normal"/>
        <w:ind w:left="540" w:firstLine="708"/>
        <w:jc w:val="both"/>
        <w:rPr/>
      </w:pPr>
      <w:r>
        <w:rPr/>
        <w:t xml:space="preserve">Art.13 alin. 4 prevede că acţiunea de vaccinare antirabică a câinilor cu stăpân şi a celor ce urmează sa fie daţi spre adopţie se efectuează numai după identificarea acestora, acest articol modificând O.U.G. nr. 155/2001, care la art. 8 alin. 4 prevede că proprietarii sau deţinătorii de câini, persoane fizice sau persoane juridice, au obligaţia identificării acestora prin microcipare sau prin alt mijloc de identificare stabilit de către Autoritatea Naţională Sanitară Veterinară şi pentru Siguranţa Alimentelor. </w:t>
      </w:r>
    </w:p>
    <w:p>
      <w:pPr>
        <w:pStyle w:val="Normal"/>
        <w:ind w:left="540" w:firstLine="708"/>
        <w:jc w:val="both"/>
        <w:rPr/>
      </w:pPr>
      <w:r>
        <w:rPr/>
        <w:tab/>
        <w:t>Potrivit prevederilor art. 4 alin.3 din H.G nr. 1156/2013, „Contravaloarea tuberculinei aviare şi mamifere, a vaccinului contra rabiei si a vaccinului contra antraxului, a vacutainelor şi acelor necesare prelevării probelor de sânge, precum şi a formularelor tipizate utilizate pentru înregistrarea şi raportarea acţiunilor sanitar-veterinare din cadrul programului prevăzut la art. l alin. l se suporta din bugetul Autorităţii Sanitar Veterinare si pentru Siguranţa Alimentelor”.</w:t>
      </w:r>
    </w:p>
    <w:p>
      <w:pPr>
        <w:pStyle w:val="Normal"/>
        <w:ind w:left="540" w:firstLine="708"/>
        <w:jc w:val="both"/>
        <w:rPr/>
      </w:pPr>
      <w:r>
        <w:rPr/>
        <w:t>P</w:t>
      </w:r>
      <w:r>
        <w:rPr>
          <w:b/>
        </w:rPr>
        <w:tab/>
        <w:t xml:space="preserve">rin sentinţa nr. SC1 </w:t>
      </w:r>
      <w:r>
        <w:rPr/>
        <w:t>s-a admis acţiunea</w:t>
      </w:r>
      <w:r>
        <w:rPr>
          <w:color w:val="000000"/>
        </w:rPr>
        <w:t xml:space="preserve"> formulată de reclamanta DIRECŢIA SANITARĂ VETERINARĂ ŞI PENTRU SIGURANŢA ALIMENTELOR..., în contradictoriu cu pârâta SC A1 SRL fiind </w:t>
      </w:r>
      <w:r>
        <w:rPr/>
        <w:t xml:space="preserve"> obligată pârâta să plătească reclamantei suma de  2.999,68 lei reprezentând contravaloarea a 2.700 doze de vaccin antirabic precum şi 534,87 lei reprezentând penalităţi pentru perioada octombrie 2014 - februarie 2015, reţinându-se în esenţă că la data întocmirii programului cifric aferent anului 2014 erau în vigoare următoarele prevederile art. 13 ind. 4 din OUG 155/2001 şi ca atare, nefolosirea vaccinurilor prin nevaccinarea câinilor este culpa exclusivă a medicului veterinar, care din neglijenţă nu a folosit întreaga cantitate de vaccin preluata de la DSVSA.... pe baza bonului de comandă, fiind astfel nerespectate şi clauzele contractuale, astfel încât, medicul veterinar a rămas pe stoc cu vaccinurile neutilizate, la dispoziţia acestuia.</w:t>
      </w:r>
    </w:p>
    <w:p>
      <w:pPr>
        <w:pStyle w:val="Normal"/>
        <w:ind w:left="540" w:firstLine="708"/>
        <w:jc w:val="both"/>
        <w:rPr/>
      </w:pPr>
      <w:r>
        <w:rPr/>
        <w:t>Pin decizia nr.</w:t>
      </w:r>
      <w:r>
        <w:rPr>
          <w:rStyle w:val="rvts17"/>
        </w:rPr>
        <w:t xml:space="preserve"> 23/2018 a CC publicată în M.Of . 216/09 martie 2018 s-a admis</w:t>
      </w:r>
      <w:bookmarkStart w:name="5075099" w:id="2"/>
      <w:bookmarkEnd w:id="2"/>
      <w:r>
        <w:rPr>
          <w:rStyle w:val="rvts17"/>
        </w:rPr>
        <w:t xml:space="preserve"> excepţia de neconstituţionalitate şi s-a constatat  că sintagma "numai după identificarea acestora", cuprinsă în art. 13</w:t>
      </w:r>
      <w:r>
        <w:rPr>
          <w:rStyle w:val="rvts19"/>
        </w:rPr>
        <w:t>4</w:t>
      </w:r>
      <w:r>
        <w:rPr>
          <w:rStyle w:val="rvts17"/>
        </w:rPr>
        <w:t> din Ordonanţa de urgenţă a Guvernului nr. 155/2001 privind aprobarea programului de gestionare a câinilor fără stăpân, prin raportare la teza întâi a acestui articol, referitoare la "acţiunea de vaccinare antirabică a câinilor cu stăpân", este neconstituţională.</w:t>
      </w:r>
    </w:p>
    <w:p>
      <w:pPr>
        <w:pStyle w:val="Normal"/>
        <w:ind w:firstLine="540"/>
        <w:jc w:val="both"/>
        <w:rPr/>
      </w:pPr>
      <w:r>
        <w:rPr>
          <w:rStyle w:val="rvts17"/>
        </w:rPr>
        <w:t>Interpretarea din   R</w:t>
      </w:r>
      <w:r>
        <w:rPr>
          <w:b/>
        </w:rPr>
        <w:t>IL 12/2011</w:t>
      </w:r>
      <w:r>
        <w:rPr/>
        <w:t xml:space="preserve"> conform căreia, pentru a nu se aduce atingere unui drept statuat jurisdicţional definitiv, incidenta deciziilor menţionate nu va fi recunoscuta in faza procesuala a recursului, unde nu mai are loc o devoluare a fondului pentru stabilirea faptelor, ci controlul se limitează la verificarea bazei legale de la momentul pronunţării hotărârii, trebuie avută în vedere coroborată cu principiul potrivit căruia în materia contenciosului administrativ  recursul operează o devoluare a fondului.</w:t>
      </w:r>
    </w:p>
    <w:p>
      <w:pPr>
        <w:pStyle w:val="Normal"/>
        <w:ind w:firstLine="540"/>
        <w:jc w:val="both"/>
        <w:rPr/>
      </w:pPr>
      <w:r>
        <w:rPr/>
        <w:t xml:space="preserve">Art. 6 paragraful 1 din Conventia europeana a drepturilor omului garantează dreptul fiecărei persoane la un tribunal competent sa examineze orice contestaţie (in mod independent, echitabil, public si intr-un termen rezonabil) privitoare la drepturile si obligaţiile cu caracter civil ce ii aparţin.  </w:t>
      </w:r>
    </w:p>
    <w:p>
      <w:pPr>
        <w:pStyle w:val="Normal"/>
        <w:ind w:firstLine="540"/>
        <w:jc w:val="both"/>
        <w:rPr/>
      </w:pPr>
      <w:r>
        <w:rPr/>
        <w:t xml:space="preserve">De asemenea, Curtea de la Strasbourg a subliniat diferenţele existente intre situaţia in care legislativul intervine in administrarea justiţiei si situaţiile in care se pune problema unui reviriment de jurisprudenţa ori se declara ca neconstituţionala o dispoziţie din legea interna aplicabila in procesele pendinte (Cauza Unedic c.Frantei şi Decizia in Cauza Slavov impotriva Bulgariei). </w:t>
      </w:r>
    </w:p>
    <w:p>
      <w:pPr>
        <w:pStyle w:val="Normal"/>
        <w:ind w:firstLine="708"/>
        <w:jc w:val="both"/>
        <w:rPr/>
      </w:pPr>
      <w:r>
        <w:rPr/>
        <w:t>In aceste condiţii, interpretarea si aplicarea legii in cauza urmează a se face  de către instanţa de fond, nefiind lămurită cauza juridică a  cererii de chemare in judecata.</w:t>
      </w:r>
    </w:p>
    <w:p>
      <w:pPr>
        <w:pStyle w:val="Normal"/>
        <w:ind w:firstLine="708"/>
        <w:jc w:val="both"/>
        <w:rPr/>
      </w:pPr>
      <w:r>
        <w:rPr/>
        <w:t>Faţă de aceste aspecte, instanţa apreciază ca sunt incidente motivele de nelegalitate prevăzute de art. 488 alin.5 si 8 C.p.civ şi, in baza art. 496 C.p.civ, va admite recursul, va casa sentinţa atacata si va trimite cauza spre rejudecare la aceeaşi instanţa.</w:t>
      </w:r>
    </w:p>
    <w:p>
      <w:pPr>
        <w:pStyle w:val="Normal"/>
        <w:ind w:firstLine="720"/>
        <w:jc w:val="both"/>
        <w:rPr/>
      </w:pPr>
      <w:r>
        <w:rPr/>
        <w:t>In rejudecare, instanţa stabili temeiul  cererii de chemare in judecata, va  încuviinţa şi administra probatoriile necesare solicitate de ambele părţi, inclusiv prin apărările din recurs si va interpreta si aplica legislaţia incidentă faţă de pretenţiile concrete ale reclamantului raportat la Decizia CC 23/2018 şi jurisprudenţa Înaltei Curţi de Casaţie în Recursul în interesul legii.</w:t>
      </w:r>
    </w:p>
    <w:p>
      <w:pPr>
        <w:pStyle w:val="Normal"/>
        <w:ind w:firstLine="720"/>
        <w:jc w:val="both"/>
        <w:rPr/>
      </w:pPr>
      <w:r>
        <w:rPr/>
      </w:r>
    </w:p>
    <w:p>
      <w:pPr>
        <w:pStyle w:val="Normal"/>
        <w:jc w:val="center"/>
        <w:rPr>
          <w:b/>
        </w:rPr>
      </w:pPr>
      <w:r>
        <w:rPr>
          <w:b/>
        </w:rPr>
        <w:t>PENTRU ACESTE MOTIVE,</w:t>
        <w:br/>
        <w:t>ÎN NUMELE LEGII</w:t>
      </w:r>
    </w:p>
    <w:p>
      <w:pPr>
        <w:pStyle w:val="Normal"/>
        <w:jc w:val="center"/>
        <w:rPr/>
      </w:pPr>
      <w:r>
        <w:rPr/>
      </w:r>
    </w:p>
    <w:p>
      <w:pPr>
        <w:pStyle w:val="Normal"/>
        <w:jc w:val="center"/>
        <w:rPr>
          <w:b/>
        </w:rPr>
      </w:pPr>
      <w:r>
        <w:rPr>
          <w:b/>
        </w:rPr>
        <w:t>DECIDE:</w:t>
      </w:r>
    </w:p>
    <w:p>
      <w:pPr>
        <w:pStyle w:val="Normal"/>
        <w:ind w:firstLine="708"/>
        <w:jc w:val="both"/>
        <w:rPr/>
      </w:pPr>
      <w:r>
        <w:rPr/>
        <w:t xml:space="preserve">Admite recursul formulat de recurenta-pârâtă </w:t>
      </w:r>
      <w:r>
        <w:rPr>
          <w:b/>
        </w:rPr>
        <w:t>SC A1 SRL</w:t>
      </w:r>
      <w:r>
        <w:rPr/>
        <w:t xml:space="preserve">, cu sediul în com. ..., Jud.  ...., împotriva sentinţei civile nr. SC1 pronunţată de Tribunalul  ..., Secţia   ... în dosarul nr. D1, în contradictoriu cu intimata-reclamantă </w:t>
      </w:r>
      <w:r>
        <w:rPr>
          <w:b/>
        </w:rPr>
        <w:t>DIRECŢIA SANITAR VETERINARĂ ŞI PENTRU SIGURANŢA ALIMENTELOR...</w:t>
      </w:r>
      <w:r>
        <w:rPr/>
        <w:t>, cu sediul în Mun.   ..., str. ..., nr. .., Jud.  ...., având ca obiect acţiune în răspundere contractuală suma în cuantum de 3534,55 lei.</w:t>
      </w:r>
    </w:p>
    <w:p>
      <w:pPr>
        <w:pStyle w:val="Normal"/>
        <w:ind w:firstLine="708"/>
        <w:jc w:val="both"/>
        <w:rPr/>
      </w:pPr>
      <w:r>
        <w:rPr/>
        <w:t>Casează sentinţa şi trimite cauza spre rejudecare la aceeaşi instanţă.</w:t>
      </w:r>
    </w:p>
    <w:p>
      <w:pPr>
        <w:pStyle w:val="Normal"/>
        <w:ind w:firstLine="708"/>
        <w:jc w:val="both"/>
        <w:rPr/>
      </w:pPr>
      <w:r>
        <w:rPr/>
        <w:t>Definitivă.</w:t>
      </w:r>
    </w:p>
    <w:p>
      <w:pPr>
        <w:pStyle w:val="Normal"/>
        <w:ind w:firstLine="708"/>
        <w:rPr>
          <w:b/>
        </w:rPr>
      </w:pPr>
      <w:r>
        <w:rPr/>
        <w:t xml:space="preserve">Pronunţată în şedinţa </w:t>
      </w:r>
      <w:bookmarkStart w:name="tip_sedinta_copie_2" w:id="3"/>
      <w:r>
        <w:rPr/>
        <w:t>publică</w:t>
      </w:r>
      <w:bookmarkEnd w:id="3"/>
      <w:r>
        <w:rPr/>
        <w:t>, astăzi, ...</w:t>
      </w:r>
      <w:bookmarkStart w:name="completul_1" w:id="4"/>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Preşedinte,</w:t>
            </w:r>
          </w:p>
          <w:p>
            <w:pPr>
              <w:pStyle w:val="Normal"/>
              <w:jc w:val="center"/>
              <w:rPr>
                <w:b/>
              </w:rPr>
            </w:pPr>
            <w:r>
              <w:rPr>
                <w:b/>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Judecător,</w:t>
            </w:r>
          </w:p>
          <w:p>
            <w:pPr>
              <w:pStyle w:val="Normal"/>
              <w:jc w:val="center"/>
              <w:rPr>
                <w:b/>
              </w:rPr>
            </w:pPr>
            <w:r>
              <w:rPr>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Judecător,</w:t>
            </w:r>
          </w:p>
          <w:p>
            <w:pPr>
              <w:pStyle w:val="Normal"/>
              <w:jc w:val="center"/>
              <w:rPr>
                <w:b/>
              </w:rPr>
            </w:pPr>
            <w:r>
              <w:rPr>
                <w:b/>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Grefier,</w:t>
            </w:r>
          </w:p>
          <w:p>
            <w:pPr>
              <w:pStyle w:val="Normal"/>
              <w:jc w:val="center"/>
              <w:rPr>
                <w:b/>
              </w:rPr>
            </w:pPr>
            <w:r>
              <w:rPr>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r>
    </w:tbl>
    <w:p>
      <w:pPr>
        <w:pStyle w:val="Normal"/>
        <w:jc w:val="center"/>
        <w:rPr/>
      </w:pPr>
      <w:r>
        <w:rPr/>
      </w:r>
      <w:bookmarkEnd w:id="4"/>
    </w:p>
    <w:p>
      <w:pPr>
        <w:pStyle w:val="Normal"/>
        <w:rPr>
          <w:sz w:val="20"/>
        </w:rPr>
      </w:pPr>
      <w:r>
        <w:rPr>
          <w:sz w:val="20"/>
        </w:rPr>
        <w:t>Red./Tehnored. jud. A0006</w:t>
      </w:r>
    </w:p>
    <w:p>
      <w:pPr>
        <w:pStyle w:val="Normal"/>
        <w:rPr>
          <w:sz w:val="20"/>
        </w:rPr>
      </w:pPr>
      <w:r>
        <w:rPr>
          <w:sz w:val="20"/>
        </w:rPr>
        <w:t>Tehnored...../4 ex./...</w:t>
      </w:r>
    </w:p>
    <w:p>
      <w:pPr>
        <w:pStyle w:val="Normal"/>
        <w:rPr>
          <w:sz w:val="20"/>
        </w:rPr>
      </w:pPr>
      <w:r>
        <w:rPr>
          <w:sz w:val="20"/>
        </w:rPr>
        <w:t>Jud.fond. ...</w:t>
      </w:r>
    </w:p>
    <w:sectPr>
      <w:type w:val="nextPage"/>
      <w:pgSz w:w="11906" w:h="16838"/>
      <w:pgMar w:top="851" w:right="851" w:bottom="851" w:left="1701" w:header="0" w:footer="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Times New (W1)">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server3:80/ecris_cdms/document_upload.aspx?id_document=5400000001162642&amp;id_departament=5&amp;id_sesiune=1414724&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rvts17">
    <w:name w:val="rvts17"/>
    <w:basedOn w:val="DefaultParagraphFont"/>
    <w:qFormat/>
    <w:rPr/>
  </w:style>
  <w:style w:type="character" w:styleId="rvts19">
    <w:name w:val="rvts19"/>
    <w:basedOn w:val="DefaultParagraphFont"/>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cap.II/"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Application>LibreOffice/24.2.7.2$Linux_X86_64 LibreOffice_project/420$Build-2</ap:Application>
  <ap:AppVersion>15.0000</ap:AppVersion>
  <ap:Pages>6</ap:Pages>
  <ap:Words>4063</ap:Words>
  <ap:Characters>23432</ap:Characters>
  <ap:CharactersWithSpaces>27454</ap:CharactersWithSpaces>
  <ap:Paragraphs>111</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2018-04-19T14:18:00.0000000Z</lastPrinted>
  <revision/>
  <dc:subject/>
  <dc:title/>
  <keywords/>
  <category/>
  <contentStatus/>
  <dc:identifier/>
  <version/>
</coreProperties>
</file>