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Hot.21</w:t>
      </w:r>
    </w:p>
    <w:p>
      <w:pPr>
        <w:pStyle w:val="Normal"/>
        <w:rPr/>
      </w:pPr>
      <w:r>
        <w:rPr/>
        <w:t>Dosar nr. D1</w:t>
      </w:r>
    </w:p>
    <w:p>
      <w:pPr>
        <w:pStyle w:val="Normal"/>
        <w:jc w:val="center"/>
        <w:rPr/>
      </w:pPr>
      <w:r>
        <w:rPr/>
        <w:t>R O M Â N I A</w:t>
      </w:r>
    </w:p>
    <w:p>
      <w:pPr>
        <w:pStyle w:val="Normal"/>
        <w:jc w:val="center"/>
        <w:rPr/>
      </w:pPr>
      <w:r>
        <w:rPr/>
        <w:t>CURTEA DE APEL ...</w:t>
      </w:r>
    </w:p>
    <w:p>
      <w:pPr>
        <w:pStyle w:val="Normal"/>
        <w:jc w:val="center"/>
        <w:rPr/>
      </w:pPr>
      <w:r>
        <w:rPr/>
        <w:t>SECŢIA ...</w:t>
      </w:r>
    </w:p>
    <w:p>
      <w:pPr>
        <w:pStyle w:val="Normal"/>
        <w:jc w:val="center"/>
        <w:rPr/>
      </w:pPr>
      <w:r>
        <w:rPr/>
        <w:t>Şedinţa </w:t>
      </w:r>
      <w:r>
        <w:rPr/>
      </w:r>
      <w:r>
        <w:rPr/>
      </w:r>
      <w:r>
        <w:rPr/>
      </w:r>
      <w:r>
        <w:rPr/>
        <w:t>publică</w:t>
      </w:r>
      <w:r>
        <w:rPr/>
      </w:r>
      <w:r>
        <w:rPr/>
      </w:r>
      <w:r>
        <w:rPr/>
        <w:t xml:space="preserve"> de la .. </w:t>
      </w:r>
    </w:p>
    <w:p>
      <w:pPr>
        <w:pStyle w:val="Normal"/>
        <w:jc w:val="center"/>
        <w:rPr/>
      </w:pPr>
      <w:r>
        <w:rPr/>
        <w:t>Completul compus din:</w:t>
      </w:r>
    </w:p>
    <w:p>
      <w:pPr>
        <w:pStyle w:val="Normal"/>
        <w:jc w:val="center"/>
        <w:rPr/>
      </w:pPr>
      <w:r>
        <w:rPr/>
        <w:t>PREŞEDINTE A0006</w:t>
      </w:r>
    </w:p>
    <w:p>
      <w:pPr>
        <w:pStyle w:val="Normal"/>
        <w:jc w:val="center"/>
        <w:rPr/>
      </w:pPr>
      <w:r>
        <w:rPr/>
        <w:t>Judecător ...</w:t>
      </w:r>
    </w:p>
    <w:p>
      <w:pPr>
        <w:pStyle w:val="Normal"/>
        <w:jc w:val="center"/>
        <w:rPr/>
      </w:pPr>
      <w:r>
        <w:rPr/>
        <w:t>Judecător ...</w:t>
      </w:r>
    </w:p>
    <w:p>
      <w:pPr>
        <w:pStyle w:val="Normal"/>
        <w:jc w:val="center"/>
        <w:rPr/>
      </w:pPr>
      <w:r>
        <w:rPr/>
        <w:t>Grefier ...</w:t>
      </w:r>
    </w:p>
    <w:p>
      <w:pPr>
        <w:pStyle w:val="Normal"/>
        <w:jc w:val="center"/>
        <w:rPr/>
      </w:pPr>
      <w:r>
        <w:rPr/>
      </w:r>
    </w:p>
    <w:p>
      <w:pPr>
        <w:pStyle w:val="Normal"/>
        <w:jc w:val="center"/>
        <w:rPr/>
      </w:pPr>
      <w:r>
        <w:rPr/>
        <w:t>XXXX</w:t>
      </w:r>
    </w:p>
    <w:p>
      <w:pPr>
        <w:pStyle w:val="Normal"/>
        <w:jc w:val="center"/>
        <w:rPr/>
      </w:pPr>
      <w:r>
        <w:rPr/>
      </w:r>
    </w:p>
    <w:p>
      <w:pPr>
        <w:pStyle w:val="Normal"/>
        <w:jc w:val="both"/>
        <w:rPr/>
      </w:pPr>
      <w:r>
        <w:rPr/>
        <w:tab/>
        <w:t>S-a luat în examinare contestaţia în anulare formulată de contestatoarea R1 împotriva deciziei nr. DC1 din data de ... pronunțată de către Curtea de Apel ..., Secția  ... în dosar nr. D2 în contradictoriu cu intimaţii MUNICIPIUL ... PRIN PRIMAR - DIRECŢIA DE URBANISM ŞI AMENAJAREA TERITORIULUI, SERVICIUL DE AUTORIZAŢII ÎN CONSTRUCŢII, OBŢINERE AVIZE, TAXE şi PRIMARUL MUNICIPIULUI ..., având ca obiect obligaţia de a face.</w:t>
      </w:r>
    </w:p>
    <w:p>
      <w:pPr>
        <w:pStyle w:val="Normal"/>
        <w:jc w:val="both"/>
        <w:rPr/>
      </w:pPr>
      <w:r>
        <w:rPr/>
        <w:tab/>
        <w:t xml:space="preserve">La apelul nominal făcut în şedinţa </w:t>
      </w:r>
      <w:r>
        <w:rPr/>
      </w:r>
      <w:r>
        <w:rPr/>
      </w:r>
      <w:r>
        <w:rPr/>
      </w:r>
      <w:r>
        <w:rPr/>
        <w:t>publică</w:t>
      </w:r>
      <w:r>
        <w:rPr/>
      </w:r>
      <w:r>
        <w:rPr/>
      </w:r>
      <w:r>
        <w:rPr/>
        <w:t xml:space="preserve"> au răspuns </w:t>
      </w:r>
      <w:bookmarkStart w:name="_Hlk126225892" w:id="0"/>
      <w:r>
        <w:rPr/>
        <w:t>avocat   ... pentru contestatoarea R1 şi consilier juridic   ... pentru intimaţii MUNICIPIUL ... PRIN PRIMAR - DIRECŢIA DE URBANISM ŞI AMENAJAREA TERITORIULUI, SERVICIUL DE AUTORIZAŢII ÎN CONSTRUCŢII, OBŢINERE AVIZE, TAXE şi  PRIMARUL MUNICIPIULUI ....</w:t>
      </w:r>
    </w:p>
    <w:p>
      <w:pPr>
        <w:pStyle w:val="Normal"/>
        <w:jc w:val="both"/>
        <w:rPr/>
      </w:pPr>
      <w:bookmarkEnd w:id="0"/>
      <w:r>
        <w:rPr/>
        <w:tab/>
        <w:t xml:space="preserve">Procedura </w:t>
      </w:r>
      <w:r>
        <w:rPr/>
      </w:r>
      <w:r>
        <w:rPr/>
      </w:r>
      <w:r>
        <w:rPr/>
      </w:r>
      <w:r>
        <w:rPr/>
        <w:t>legal</w:t>
      </w:r>
      <w:r>
        <w:rPr/>
      </w:r>
      <w:r>
        <w:rPr/>
      </w:r>
      <w:r>
        <w:rPr/>
        <w:t xml:space="preserve"> îndeplinită.</w:t>
      </w:r>
    </w:p>
    <w:p>
      <w:pPr>
        <w:pStyle w:val="Normal"/>
        <w:jc w:val="both"/>
        <w:rPr/>
      </w:pPr>
      <w:r>
        <w:rPr/>
        <w:tab/>
        <w:t xml:space="preserve">S-a făcut </w:t>
      </w:r>
      <w:r>
        <w:rPr/>
      </w:r>
      <w:r>
        <w:rPr/>
      </w:r>
      <w:r>
        <w:rPr/>
      </w:r>
      <w:r>
        <w:rPr/>
        <w:t>referatul</w:t>
      </w:r>
      <w:r>
        <w:rPr/>
      </w:r>
      <w:r>
        <w:rPr/>
      </w:r>
      <w:r>
        <w:rPr/>
        <w:t xml:space="preserve"> cauzei de către </w:t>
      </w:r>
      <w:r>
        <w:rPr/>
      </w:r>
      <w:r>
        <w:rPr/>
      </w:r>
      <w:r>
        <w:rPr/>
      </w:r>
      <w:r>
        <w:rPr/>
        <w:t>grefier</w:t>
      </w:r>
      <w:r>
        <w:rPr/>
      </w:r>
      <w:r>
        <w:rPr/>
      </w:r>
      <w:r>
        <w:rPr/>
        <w:t>, după care:</w:t>
      </w:r>
    </w:p>
    <w:p>
      <w:pPr>
        <w:pStyle w:val="Normal"/>
        <w:jc w:val="both"/>
        <w:rPr/>
      </w:pPr>
      <w:r>
        <w:rPr/>
        <w:tab/>
        <w:t>Nemaifiind alte cereri, Curtea apreciind cauza în stare de soluţionare a acordat cuvântul părţilor prezente pentru a pune concluzii asupra contestaţiei în anulare:</w:t>
      </w:r>
    </w:p>
    <w:p>
      <w:pPr>
        <w:pStyle w:val="Normal"/>
        <w:jc w:val="both"/>
        <w:rPr/>
      </w:pPr>
      <w:r>
        <w:rPr/>
      </w:r>
      <w:r>
        <w:rPr/>
      </w:r>
      <w:r>
        <w:rPr/>
      </w:r>
      <w:r>
        <w:rPr/>
      </w:r>
      <w:r>
        <w:rPr>
          <w:lang w:val="en-US" w:eastAsia="en-US"/>
        </w:rPr>
        <w:t>     </w:t>
      </w:r>
      <w:r>
        <w:rPr/>
      </w:r>
      <w:r>
        <w:rPr/>
      </w:r>
      <w:r>
        <w:rPr/>
        <w:t xml:space="preserve"> Avocat   ... pentru contestatoarea R1 soliciotă admiterea contestaţiei în anulare aşa cum a fost formulată conform motivelor invocate în scris.</w:t>
      </w:r>
    </w:p>
    <w:p>
      <w:pPr>
        <w:pStyle w:val="Normal"/>
        <w:jc w:val="both"/>
        <w:rPr/>
      </w:pPr>
      <w:r>
        <w:rPr/>
        <w:tab/>
        <w:t>Consilier juridic   ... pentru intimaţii MUNICIPIUL ... PRIN PRIMAR - DIRECŢIA DE URBANISM ŞI AMENAJAREA TERITORIULUI, SERVICIUL DE AUTORIZAŢII ÎN CONSTRUCŢII, OBŢINERE AVIZE, TAXE şi  PRIMARUL MUNICIPIULUI ... solicită respingerea contestaţiei în anulare ca nefondată.</w:t>
      </w:r>
    </w:p>
    <w:p>
      <w:pPr>
        <w:pStyle w:val="Normal"/>
        <w:jc w:val="both"/>
        <w:rPr/>
      </w:pPr>
      <w:r>
        <w:rPr/>
      </w:r>
    </w:p>
    <w:p>
      <w:pPr>
        <w:pStyle w:val="Normal"/>
        <w:jc w:val="center"/>
        <w:rPr/>
      </w:pPr>
      <w:r>
        <w:rPr/>
        <w:t>C U R T E A</w:t>
      </w:r>
    </w:p>
    <w:p>
      <w:pPr>
        <w:pStyle w:val="Normal"/>
        <w:jc w:val="center"/>
        <w:rPr/>
      </w:pPr>
      <w:r>
        <w:rPr/>
      </w:r>
    </w:p>
    <w:p>
      <w:pPr>
        <w:pStyle w:val="Normal"/>
        <w:jc w:val="both"/>
        <w:rPr/>
      </w:pPr>
      <w:r>
        <w:rPr/>
        <w:tab/>
        <w:t>Asupra contestaţiei în anulare de faţă;</w:t>
      </w:r>
    </w:p>
    <w:p>
      <w:pPr>
        <w:pStyle w:val="Frspaiere"/>
        <w:ind w:right="0" w:firstLine="708"/>
        <w:jc w:val="both"/>
        <w:rPr>
          <w:rFonts w:ascii="Times New Roman" w:hAnsi="Times New Roman" w:cs="Times New Roman"/>
          <w:sz w:val="24"/>
          <w:szCs w:val="24"/>
        </w:rPr>
      </w:pPr>
      <w:r>
        <w:rPr>
          <w:rFonts w:ascii="Times New Roman" w:hAnsi="Times New Roman" w:cs="Times New Roman"/>
          <w:sz w:val="24"/>
          <w:szCs w:val="24"/>
        </w:rPr>
        <w:t>Prin Decizia nr. DC1 din data de ... pronunțată de către Curtea de Apel ..., Secția  ... în dosar nr. D2 a fost respins recursul declarat de reclamanta R1 împotriva sentinței nr. SC1 pronunțată de Tribunalul ... – Secția  ... în dosarul nr. D2, în contradictoriu cu intimații pârâți MUNICIPIUL ... prin Primar - Direcţia de Urbanism și Amenajarea Teritoriului, Serviciul de Autorizaţii în Construcţii, Obţinere Avize, Taxe și Primarul MUNICIPIULUI ....</w:t>
      </w:r>
    </w:p>
    <w:p>
      <w:pPr>
        <w:pStyle w:val="Frspaiere"/>
        <w:ind w:right="0" w:firstLine="708"/>
        <w:jc w:val="both"/>
        <w:rPr/>
      </w:pPr>
      <w:r>
        <w:rPr>
          <w:rFonts w:ascii="Times New Roman" w:hAnsi="Times New Roman" w:cs="Times New Roman"/>
          <w:b/>
          <w:bCs/>
          <w:i/>
          <w:iCs/>
          <w:sz w:val="24"/>
          <w:szCs w:val="24"/>
        </w:rPr>
        <w:t xml:space="preserve">Împotriva acestei decizii a formulat contestație în anulare reclamanta R1 </w:t>
      </w:r>
      <w:r>
        <w:rPr>
          <w:rFonts w:ascii="Times New Roman" w:hAnsi="Times New Roman" w:cs="Times New Roman"/>
          <w:sz w:val="24"/>
          <w:szCs w:val="24"/>
        </w:rPr>
        <w:t>prin care a solicitat</w:t>
      </w:r>
      <w:r>
        <w:rPr>
          <w:rFonts w:ascii="Times New Roman" w:hAnsi="Times New Roman" w:cs="Times New Roman"/>
          <w:b/>
          <w:bCs/>
          <w:i/>
          <w:iCs/>
          <w:sz w:val="24"/>
          <w:szCs w:val="24"/>
        </w:rPr>
        <w:t xml:space="preserve"> </w:t>
      </w:r>
      <w:r>
        <w:rPr>
          <w:rFonts w:ascii="Times New Roman" w:hAnsi="Times New Roman" w:cs="Times New Roman"/>
          <w:sz w:val="24"/>
          <w:szCs w:val="24"/>
        </w:rPr>
        <w:t>admiterea contestației, anularea deciziei si stabilirea termenului pentru rejudecare recurs, ori admiterea contestației, rejudecarea recursului, admiterea recursului și casarea cu trimitere la rejudecare ori casare cu reținere si admitere cerere eliberare certificat atestare.</w:t>
      </w:r>
    </w:p>
    <w:p>
      <w:pPr>
        <w:pStyle w:val="Frspaiere"/>
        <w:ind w:right="0" w:firstLine="708"/>
        <w:jc w:val="both"/>
        <w:rPr>
          <w:rFonts w:ascii="Times New Roman" w:hAnsi="Times New Roman" w:cs="Times New Roman"/>
          <w:sz w:val="24"/>
          <w:szCs w:val="24"/>
        </w:rPr>
      </w:pPr>
      <w:r>
        <w:rPr>
          <w:rFonts w:ascii="Times New Roman" w:hAnsi="Times New Roman" w:cs="Times New Roman"/>
          <w:sz w:val="24"/>
          <w:szCs w:val="24"/>
        </w:rPr>
        <w:t>Contestatoarea a susținut că, instanța de recurs, respingând recursul, a omis să cerceteze vreunul dintre motivele de casare invocate de recurent în termen.</w:t>
      </w:r>
    </w:p>
    <w:p>
      <w:pPr>
        <w:pStyle w:val="Frspaiere"/>
        <w:ind w:right="0" w:firstLine="708"/>
        <w:jc w:val="both"/>
        <w:rPr>
          <w:rFonts w:ascii="Times New Roman" w:hAnsi="Times New Roman" w:cs="Times New Roman"/>
          <w:sz w:val="24"/>
          <w:szCs w:val="24"/>
        </w:rPr>
      </w:pPr>
      <w:r>
        <w:rPr>
          <w:rFonts w:ascii="Times New Roman" w:hAnsi="Times New Roman" w:cs="Times New Roman"/>
          <w:sz w:val="24"/>
          <w:szCs w:val="24"/>
        </w:rPr>
        <w:t xml:space="preserve">La motivul 2 al cererii de recurs a prezentat, in mod expres, faptul ca instanța nu s-a pronunțat asupra fondului cauzei. Cererea cu care aceasta a fost investita este obligația de a face, obligație ce isi are izvorul in prevederile art. 37 alin.1 din Legea 7 /1996 R. </w:t>
      </w:r>
    </w:p>
    <w:p>
      <w:pPr>
        <w:pStyle w:val="Frspaiere"/>
        <w:ind w:right="0" w:firstLine="708"/>
        <w:jc w:val="both"/>
        <w:rPr/>
      </w:pPr>
      <w:r>
        <w:rPr>
          <w:rFonts w:ascii="Times New Roman" w:hAnsi="Times New Roman" w:cs="Times New Roman"/>
          <w:sz w:val="24"/>
          <w:szCs w:val="24"/>
        </w:rPr>
        <w:t>Conform acestei norme, cel ce edifica construcția are dreptul de a obține intabularea, iar autoritatea locala are obligația de a remite un certificat de atestare. Reclamanta si nici pârâta (eventual prin reconventionala ) nu a investit instanța cu vreo cerere care sa priveasca legalitatea si temeinicia autorizației de construire, deja emise.Prin urmare, prin analiza sa, instanța nu a antamat</w:t>
      </w:r>
      <w:bookmarkStart w:name="bookmark0" w:id="1"/>
      <w:bookmarkStart w:name="bookmark1" w:id="2"/>
      <w:bookmarkStart w:name="bookmark2" w:id="3"/>
      <w:r>
        <w:rPr>
          <w:rFonts w:ascii="Times New Roman" w:hAnsi="Times New Roman" w:cs="Times New Roman"/>
          <w:sz w:val="24"/>
          <w:szCs w:val="24"/>
        </w:rPr>
        <w:t xml:space="preserve"> fondul cauzei, si, din acest motiv hotarârea pronunțata trebuia casata.</w:t>
      </w:r>
      <w:bookmarkEnd w:id="1"/>
      <w:bookmarkEnd w:id="2"/>
      <w:bookmarkEnd w:id="3"/>
    </w:p>
    <w:p>
      <w:pPr>
        <w:pStyle w:val="Frspaiere"/>
        <w:ind w:right="0" w:firstLine="708"/>
        <w:jc w:val="both"/>
        <w:rPr>
          <w:rFonts w:ascii="Times New Roman" w:hAnsi="Times New Roman" w:cs="Times New Roman"/>
          <w:sz w:val="24"/>
          <w:szCs w:val="24"/>
        </w:rPr>
      </w:pPr>
      <w:r>
        <w:rPr>
          <w:rFonts w:ascii="Times New Roman" w:hAnsi="Times New Roman" w:cs="Times New Roman"/>
          <w:sz w:val="24"/>
          <w:szCs w:val="24"/>
        </w:rPr>
        <w:t xml:space="preserve">Instanța de recurs a omis sa cerceteze acest motiv. Mai mult, omitând acest motiv, instanța de recurs a analizat si cenzurat hotarârea instanței de fond, facând referire la chestiunile de legalitate ale autorizației de construire, cerere cu care instanta nu a fost investita nici de reclamant, nici de pârât. </w:t>
      </w:r>
    </w:p>
    <w:p>
      <w:pPr>
        <w:pStyle w:val="Normal"/>
        <w:ind w:right="0" w:firstLine="708"/>
        <w:jc w:val="both"/>
        <w:rPr>
          <w:rFonts w:eastAsia="Calibri"/>
          <w:b/>
          <w:bCs/>
          <w:i/>
          <w:i/>
          <w:iCs/>
          <w:lang w:val="ro-MD" w:eastAsia="ro-MD"/>
        </w:rPr>
      </w:pPr>
      <w:r>
        <w:rPr>
          <w:rFonts w:eastAsia="Calibri"/>
          <w:b/>
          <w:bCs/>
          <w:i/>
          <w:iCs/>
          <w:lang w:val="ro-MD" w:eastAsia="ro-MD"/>
        </w:rPr>
        <w:t>Examinând cauza şi decizia atacată în raport cu actele şi lucrările dosarului, precum şi cu dispoziţiile legale incidente, Curtea constată că prezenta contestaţie în anulare este nefondată, pentru considerentele ce vor fi arătate în continuare:</w:t>
      </w:r>
    </w:p>
    <w:p>
      <w:pPr>
        <w:pStyle w:val="Normal"/>
        <w:ind w:right="0" w:firstLine="708"/>
        <w:jc w:val="both"/>
        <w:rPr>
          <w:rFonts w:eastAsia="Calibri"/>
          <w:lang w:val="ro-MD" w:eastAsia="en-US"/>
        </w:rPr>
      </w:pPr>
      <w:r>
        <w:rPr>
          <w:rFonts w:eastAsia="Calibri"/>
          <w:lang w:val="ro-MD" w:eastAsia="en-US"/>
        </w:rPr>
        <w:t>În fapt, prin cererea de chemare în judecată care a făcut obiectul dosarului nr. D2 înregistrat pe rolul Tribunalului ..., reclamanta R1 a solicitat, în contradictoriu cu pârâţii MUNICIPIUL ... prin Primar - Direcţia de Urbanism și Amenajarea Teritoriului, Serviciul de Autorizaţii în Construcţii, Obţinere Avize, Taxe şi Primarul MUNICIPIULUI ..., să se dispună obligarea acestora la eliberarea certificatului de atestare pentru amplasare construcţie provizorie cu destinaţia spaţiu de depozitare pentru spatiu comercial şi realizare sarpanta pe zona de sud a locuinţei si amenajarea podului existent al spaţiului comercial in mansarda, la adresa  din ... , judeţul ... și plata cheltuielilor de judecată.</w:t>
      </w:r>
    </w:p>
    <w:p>
      <w:pPr>
        <w:pStyle w:val="Normal"/>
        <w:ind w:right="0" w:firstLine="708"/>
        <w:jc w:val="both"/>
        <w:rPr>
          <w:rFonts w:eastAsia="Calibri"/>
          <w:lang w:val="ro-MD" w:eastAsia="en-US"/>
        </w:rPr>
      </w:pPr>
      <w:r>
        <w:rPr>
          <w:rFonts w:eastAsia="Calibri"/>
          <w:lang w:val="ro-MD" w:eastAsia="en-US"/>
        </w:rPr>
        <w:t>Prin sentința nr. 714 din data de 18 mai 2022, prima instanță a respins acțiunea.</w:t>
      </w:r>
    </w:p>
    <w:p>
      <w:pPr>
        <w:pStyle w:val="Normal"/>
        <w:ind w:right="0" w:firstLine="708"/>
        <w:jc w:val="both"/>
        <w:rPr/>
      </w:pPr>
      <w:r>
        <w:rPr/>
        <w:t>Prin Decizia nr. DC1 din data de ..., Curtea de Apel ... a respins cererea de recurs formulată de către recurenta reclamantă, reținând, în esență, faptul că sentința recurată cuprinde motivele pe care se întemeiază soluţia pronunţată, nu cuprinde motive contradictorii şi nici străine de natura cauzei, iar argumentele instanţei de fond sunt rezultatul unei corecte aplicări şi interpretări a dispoziţiilor legale aplicabile litigiului, nefiind incidente dispoziţiile art. 488 alin.1 pct. 6 şi 8 Cod Procedură Civilă.</w:t>
      </w:r>
    </w:p>
    <w:p>
      <w:pPr>
        <w:pStyle w:val="Normal"/>
        <w:ind w:right="0" w:firstLine="708"/>
        <w:jc w:val="both"/>
        <w:rPr/>
      </w:pPr>
      <w:r>
        <w:rPr>
          <w:rFonts w:eastAsia="Calibri"/>
          <w:lang w:val="ro-MD" w:eastAsia="en-US"/>
        </w:rPr>
        <w:t xml:space="preserve">Împotriva acestei decizii, contestatoarea R1 a formulat contestație în anulare, </w:t>
      </w:r>
      <w:r>
        <w:rPr>
          <w:rFonts w:eastAsia="Calibri"/>
          <w:shd w:val="clear" w:fill="FFFFFF"/>
          <w:lang w:val="ro-MD" w:eastAsia="en-US"/>
        </w:rPr>
        <w:t>întemeiată pe dispoziţiile art. </w:t>
      </w:r>
      <w:hyperlink w:tgtFrame="_blank" w:anchor="/dokument/16910520/2021-11-11?unitId=art(503)&amp;cm=DOCUMENT" r:id="rId2">
        <w:r>
          <w:rPr>
            <w:rStyle w:val="Hyperlink"/>
            <w:rFonts w:eastAsia="Calibri"/>
            <w:color w:val="000000"/>
            <w:shd w:val="clear" w:fill="FFFFFF"/>
            <w:lang w:val="ro-MD" w:eastAsia="en-US"/>
          </w:rPr>
          <w:t>503</w:t>
        </w:r>
      </w:hyperlink>
      <w:r>
        <w:rPr>
          <w:rFonts w:eastAsia="Calibri"/>
          <w:shd w:val="clear" w:fill="FFFFFF"/>
          <w:lang w:val="ro-MD" w:eastAsia="en-US"/>
        </w:rPr>
        <w:t> alin. 2 punct 3 Cod Procedură Civilă, conform căruia</w:t>
      </w:r>
      <w:r>
        <w:rPr>
          <w:rFonts w:eastAsia="Calibri"/>
          <w:lang w:val="ro-MD" w:eastAsia="en-US"/>
        </w:rPr>
        <w:t xml:space="preserve"> hotărârile instanțelor de recurs pot fi atacate cu contestaţie în anulare când, respingând recursul sau admiţându-l în parte, instanța a omis să cerceteze vreunul dintre motivele de casare invocate de recurent în termen.</w:t>
      </w:r>
    </w:p>
    <w:p>
      <w:pPr>
        <w:pStyle w:val="Normal"/>
        <w:ind w:right="0" w:firstLine="708"/>
        <w:jc w:val="both"/>
        <w:rPr>
          <w:rFonts w:eastAsia="Calibri"/>
          <w:lang w:val="ro-MD" w:eastAsia="ro-MD"/>
        </w:rPr>
      </w:pPr>
      <w:r>
        <w:rPr>
          <w:rFonts w:eastAsia="Calibri"/>
          <w:lang w:val="ro-MD" w:eastAsia="ro-MD"/>
        </w:rPr>
        <w:t>Contestaţia în anulare este o cale de atac extraordinară, de retractare şi nesuspensivă de executare, îndreptată împotriva hotărârilor judecătoreşti definitive date cu încălcarea anumitor norme de procedură sau greşite din cauza unor inadvertenţe de ordin formal.</w:t>
      </w:r>
    </w:p>
    <w:p>
      <w:pPr>
        <w:pStyle w:val="Normal"/>
        <w:ind w:right="0" w:firstLine="708"/>
        <w:jc w:val="both"/>
        <w:rPr>
          <w:rFonts w:eastAsia="Calibri"/>
          <w:lang w:val="ro-MD" w:eastAsia="ro-MD"/>
        </w:rPr>
      </w:pPr>
      <w:r>
        <w:rPr>
          <w:rFonts w:eastAsia="Calibri"/>
          <w:lang w:val="ro-MD" w:eastAsia="ro-MD"/>
        </w:rPr>
        <w:t>În cadrul contestaţiei în anulare nu se analizează temeinicia soluţiei cu privire la drepturile subiective deduse judecăţii, ci se verifică exclusiv incidenţa vreunuia dintre motivele limitativ prevăzute de dispoziţiile procedurale.</w:t>
      </w:r>
    </w:p>
    <w:p>
      <w:pPr>
        <w:pStyle w:val="Normal"/>
        <w:ind w:right="0" w:firstLine="708"/>
        <w:jc w:val="both"/>
        <w:rPr/>
      </w:pPr>
      <w:r>
        <w:rPr>
          <w:rFonts w:eastAsia="Calibri"/>
          <w:lang w:val="ro-MD" w:eastAsia="en-US"/>
        </w:rPr>
        <w:t>Cu titlu preliminar, Curtea notează că, pentru o apreciere completă a motivului de contestaţie în anulare prevăzut de art. </w:t>
      </w:r>
      <w:hyperlink w:tgtFrame="_blank" w:anchor="/dokument/16910520/2022-02-10?unitId=art(503)&amp;cm=DOCUMENT" r:id="rId3">
        <w:r>
          <w:rPr>
            <w:rStyle w:val="Hyperlink"/>
            <w:rFonts w:eastAsia="Calibri"/>
            <w:color w:val="000000"/>
            <w:lang w:val="ro-MD" w:eastAsia="en-US"/>
          </w:rPr>
          <w:t>503</w:t>
        </w:r>
      </w:hyperlink>
      <w:r>
        <w:rPr>
          <w:rFonts w:eastAsia="Calibri"/>
          <w:lang w:val="ro-MD" w:eastAsia="en-US"/>
        </w:rPr>
        <w:t> alin. (2) punct 3 Cod Procedură Civilă</w:t>
      </w:r>
      <w:r>
        <w:rPr>
          <w:rFonts w:eastAsia="Calibri"/>
          <w:i/>
          <w:iCs/>
          <w:lang w:val="ro-MD" w:eastAsia="en-US"/>
        </w:rPr>
        <w:t>, este necesar să se facă distincţie între motivele de nelegalitate şi argumente</w:t>
      </w:r>
      <w:r>
        <w:rPr>
          <w:rFonts w:eastAsia="Calibri"/>
          <w:lang w:val="ro-MD" w:eastAsia="en-US"/>
        </w:rPr>
        <w:t>, căci textul legal are în vedere numai omisiunea de a examina unul dintre motivele de casare dintre cele prevăzute expres şi limitativ de art. </w:t>
      </w:r>
      <w:hyperlink w:tgtFrame="_blank" w:anchor="/dokument/16910520/2022-02-10?unitId=art(488)&amp;cm=DOCUMENT" r:id="rId4">
        <w:r>
          <w:rPr>
            <w:rStyle w:val="Hyperlink"/>
            <w:rFonts w:eastAsia="Calibri"/>
            <w:color w:val="000000"/>
            <w:lang w:val="ro-MD" w:eastAsia="en-US"/>
          </w:rPr>
          <w:t>488</w:t>
        </w:r>
      </w:hyperlink>
      <w:r>
        <w:rPr>
          <w:rFonts w:eastAsia="Calibri"/>
          <w:lang w:val="ro-MD" w:eastAsia="en-US"/>
        </w:rPr>
        <w:t xml:space="preserve"> Cod Procedură Civilă, iar nu argumentele de fapt sau de drept indicate de parte, care, oricât de amplu ar fi dezvoltate, sunt subsumate întotdeauna motivului de casare pe care îl sprijină. Pentru acest motiv, pe calea contestaţiei în anulare nu poate fi cenzurat modul în care instanța, analizând motivele de recurs, a răspuns în concret acestora. </w:t>
      </w:r>
    </w:p>
    <w:p>
      <w:pPr>
        <w:pStyle w:val="Normal"/>
        <w:ind w:right="0" w:firstLine="708"/>
        <w:jc w:val="both"/>
        <w:rPr/>
      </w:pPr>
      <w:r>
        <w:rPr>
          <w:rFonts w:eastAsia="Calibri"/>
          <w:lang w:val="ro-MD" w:eastAsia="en-US"/>
        </w:rPr>
        <w:t>În jurisprudenţa sa constantă, Înalta Curte de Casație și Justiție a arătat că această cale de atac nu poate fi exercitată pentru remedierea unor aspecte de judecată, respectiv de interpretare a unor dispoziţii legale de drept substanţial sau procedural. Dispoziţiile legale ale art. </w:t>
      </w:r>
      <w:hyperlink w:tgtFrame="_blank" w:anchor="/dokument/16910520/2021-11-11?unitId=art(503)&amp;cm=DOCUMENT" r:id="rId5">
        <w:r>
          <w:rPr>
            <w:rStyle w:val="Hyperlink"/>
            <w:rFonts w:eastAsia="Calibri"/>
            <w:color w:val="000000"/>
            <w:lang w:val="ro-MD" w:eastAsia="en-US"/>
          </w:rPr>
          <w:t>503</w:t>
        </w:r>
      </w:hyperlink>
      <w:r>
        <w:rPr>
          <w:rFonts w:eastAsia="Calibri"/>
          <w:lang w:val="ro-MD" w:eastAsia="en-US"/>
        </w:rPr>
        <w:t> alin. 2 punct 3 Cod Procedură Civilă au un câmp limitat de aplicaţie, astfel că ele trebuie să fie interpretate, în toate cazurile, în mod restrictiv, pentru a nu deschide în ultimă instanță calea unui veritabil recurs.</w:t>
      </w:r>
    </w:p>
    <w:p>
      <w:pPr>
        <w:pStyle w:val="Normal"/>
        <w:ind w:right="0" w:firstLine="708"/>
        <w:jc w:val="both"/>
        <w:rPr/>
      </w:pPr>
      <w:r>
        <w:rPr>
          <w:rFonts w:eastAsia="Calibri"/>
          <w:lang w:val="ro-MD" w:eastAsia="en-US"/>
        </w:rPr>
        <w:t>Analizând atât cererea de recurs, cât şi Decizia instanței de control nr. DC1/..., pronunțată în dosar nr. D2, Curtea reţine că instanța de recurs a analizat criticile recurentei din perspectiva motivelor de casare prevăzute de art. </w:t>
      </w:r>
      <w:hyperlink w:tgtFrame="_blank" w:anchor="/dokument/16910520/2022-01-31?unitId=art(488)&amp;cm=DOCUMENT" r:id="rId6">
        <w:r>
          <w:rPr>
            <w:rStyle w:val="Hyperlink"/>
            <w:rFonts w:eastAsia="Calibri"/>
            <w:color w:val="000000"/>
            <w:lang w:val="ro-MD" w:eastAsia="en-US"/>
          </w:rPr>
          <w:t>488</w:t>
        </w:r>
      </w:hyperlink>
      <w:r>
        <w:rPr>
          <w:rFonts w:eastAsia="Calibri"/>
          <w:lang w:val="ro-MD" w:eastAsia="en-US"/>
        </w:rPr>
        <w:t> alin. 1 pct. 6 şi 8 </w:t>
      </w:r>
      <w:hyperlink w:tgtFrame="_blank" w:anchor="/dokument/16910520/2022-01-31?cm=DOCUMENT" r:id="rId7">
        <w:r>
          <w:rPr>
            <w:rStyle w:val="Hyperlink"/>
            <w:rFonts w:eastAsia="Calibri"/>
            <w:color w:val="000000"/>
            <w:lang w:val="ro-MD" w:eastAsia="en-US"/>
          </w:rPr>
          <w:t>Cod Procedură Civilă</w:t>
        </w:r>
      </w:hyperlink>
      <w:r>
        <w:rPr>
          <w:rFonts w:eastAsia="Calibri"/>
          <w:lang w:val="ro-MD" w:eastAsia="en-US"/>
        </w:rPr>
        <w:t>.</w:t>
      </w:r>
    </w:p>
    <w:p>
      <w:pPr>
        <w:pStyle w:val="Normal"/>
        <w:ind w:right="0" w:firstLine="708"/>
        <w:jc w:val="both"/>
        <w:rPr/>
      </w:pPr>
      <w:r>
        <w:rPr>
          <w:rFonts w:eastAsia="Calibri"/>
          <w:lang w:val="ro-MD" w:eastAsia="en-US"/>
        </w:rPr>
        <w:t xml:space="preserve">În privinţa omisiunii instanței de control judiciar de a analiza motivul 2 al cererii de recurs, motiv prevăzut de dispozițiile art. </w:t>
      </w:r>
      <w:hyperlink w:tgtFrame="_blank" w:anchor="/dokument/16910520/2022-02-10?unitId=art(488)&amp;cm=DOCUMENT" r:id="rId8">
        <w:r>
          <w:rPr>
            <w:rStyle w:val="Hyperlink"/>
            <w:rFonts w:eastAsia="Calibri"/>
            <w:color w:val="000000"/>
            <w:lang w:val="ro-MD" w:eastAsia="en-US"/>
          </w:rPr>
          <w:t>488</w:t>
        </w:r>
      </w:hyperlink>
      <w:r>
        <w:rPr>
          <w:rFonts w:eastAsia="Calibri"/>
          <w:lang w:val="ro-MD" w:eastAsia="en-US"/>
        </w:rPr>
        <w:t> alin. 1 punct 6 Cod Procedură Civilă, se constată că această susținere a contestatoarei este neîntemeiată.</w:t>
      </w:r>
    </w:p>
    <w:p>
      <w:pPr>
        <w:pStyle w:val="Normal"/>
        <w:ind w:right="0" w:firstLine="708"/>
        <w:jc w:val="both"/>
        <w:rPr/>
      </w:pPr>
      <w:r>
        <w:rPr>
          <w:rFonts w:eastAsia="Calibri"/>
          <w:lang w:val="ro-MD" w:eastAsia="en-US"/>
        </w:rPr>
        <w:t xml:space="preserve">Astfel, verificând considerentele hotărârii ce formează obiectul prezentei contestaţii în anulare, se observă că instanţa de recurs a sistematizat argumentele recurentei în critici referitoare la pretinsa aplicare a unor norme și texte de lege străine cauzei, ce se încadrează în motivul de nelegalitate prevăzut de art. </w:t>
      </w:r>
      <w:hyperlink w:tgtFrame="_blank" w:anchor="/dokument/16910520/2022-02-10?unitId=art(488)&amp;cm=DOCUMENT" r:id="rId9">
        <w:r>
          <w:rPr>
            <w:rStyle w:val="Hyperlink"/>
            <w:rFonts w:eastAsia="Calibri"/>
            <w:color w:val="000000"/>
            <w:lang w:val="ro-MD" w:eastAsia="en-US"/>
          </w:rPr>
          <w:t>488</w:t>
        </w:r>
      </w:hyperlink>
      <w:r>
        <w:rPr>
          <w:rFonts w:eastAsia="Calibri"/>
          <w:lang w:val="ro-MD" w:eastAsia="en-US"/>
        </w:rPr>
        <w:t> alin. 1 punct 6 Cod Procedură Civilă și cele referitoare la modul</w:t>
      </w:r>
      <w:r>
        <w:rPr>
          <w:rFonts w:eastAsia="Calibri"/>
          <w:kern w:val="2"/>
          <w:lang w:val="ro-MD" w:eastAsia="en-US" w:bidi="hi-IN"/>
        </w:rPr>
        <w:t xml:space="preserve"> în care instanţa de fond a interpretat dispoziţiile art. 37 alin. 1 din Legea nr. 7/1996, cu trimitere la dispozițiile </w:t>
      </w:r>
      <w:r>
        <w:rPr>
          <w:rFonts w:eastAsia="Calibri"/>
          <w:lang w:val="ro-MD" w:eastAsia="en-US"/>
        </w:rPr>
        <w:t xml:space="preserve">art. </w:t>
      </w:r>
      <w:hyperlink w:tgtFrame="_blank" w:anchor="/dokument/16910520/2022-02-10?unitId=art(488)&amp;cm=DOCUMENT" r:id="rId10">
        <w:r>
          <w:rPr>
            <w:rStyle w:val="Hyperlink"/>
            <w:rFonts w:eastAsia="Calibri"/>
            <w:color w:val="000000"/>
            <w:lang w:val="ro-MD" w:eastAsia="en-US"/>
          </w:rPr>
          <w:t>488</w:t>
        </w:r>
      </w:hyperlink>
      <w:r>
        <w:rPr>
          <w:rFonts w:eastAsia="Calibri"/>
          <w:lang w:val="ro-MD" w:eastAsia="en-US"/>
        </w:rPr>
        <w:t> alin. 1 punct 8 Cod Procedură Civilă, analizând criticile recurentei şi în privinţa  normelor din materia autorizării construcţiilor, prevăzute de legea 50/91, indicate de recurentă coroborate cu calificarea obiectului juridic făcută de instanţa de fond, eliberarea certificat de atestare emis în baza unei autorizaţii provizorii, calificare  menţinută astfel de recurs, prin gruparea argumentelor din motivele de recurs.</w:t>
      </w:r>
    </w:p>
    <w:p>
      <w:pPr>
        <w:pStyle w:val="Normal"/>
        <w:ind w:right="0" w:firstLine="708"/>
        <w:jc w:val="both"/>
        <w:rPr/>
      </w:pPr>
      <w:r>
        <w:rPr/>
        <w:t>Subsecvent acestei sistematizări, instanţa de recurs a analizat din perspectiva cerinţelor reglementate de art. 425 Cod Procedură Civilă criticile referitoare la nemotivarea/motivarea contradictorie a hotărârii primei instanţe, concluzionând în sensul că cererea dedusă judecății a fost analizată în raport de motivele prezentate în acţiune, ţinându-se seama de actele dosarului şi de normele juridice aplicabile.</w:t>
      </w:r>
    </w:p>
    <w:p>
      <w:pPr>
        <w:pStyle w:val="Normal"/>
        <w:ind w:right="0" w:firstLine="708"/>
        <w:jc w:val="both"/>
        <w:rPr/>
      </w:pPr>
      <w:r>
        <w:rPr/>
        <w:t xml:space="preserve">În susținerea cererii, contestatoarea a invocat critici care ţin de modalitatea în care judecătorul fondului a antamat fondul cauzei, respectiv prin considerente străine de obiectul cu care aceasta a investit prima instanță. În opinia sa, sentința recurată nu cuprinde argumente în referire la cererea sa ce își are izvorul în prevederile art. 37 alin. 1 din Legea nr.7/1996 privind autorizarea executării lucrărilor de construcții, ci relevă analiza legalității și temeiniciei autorizației de construire deja emise, aspecte ce nu au fost cenzurate de către instanța de control judiciar prin prisma motivului de casare prevăzut de art. </w:t>
      </w:r>
      <w:hyperlink w:tgtFrame="_blank" w:anchor="/dokument/16910520/2022-02-10?unitId=art(488)&amp;cm=DOCUMENT" r:id="rId11">
        <w:r>
          <w:rPr>
            <w:rStyle w:val="Hyperlink"/>
            <w:color w:val="000000"/>
          </w:rPr>
          <w:t>488</w:t>
        </w:r>
      </w:hyperlink>
      <w:r>
        <w:rPr/>
        <w:t> alin. 1 punct 6 Cod Procedură Civilă.</w:t>
      </w:r>
    </w:p>
    <w:p>
      <w:pPr>
        <w:pStyle w:val="Normal"/>
        <w:autoSpaceDE w:val="false"/>
        <w:ind w:right="0" w:firstLine="708"/>
        <w:jc w:val="both"/>
        <w:rPr/>
      </w:pPr>
      <w:r>
        <w:rPr/>
        <w:t>În mod cert, nu se relevă o omisiune a instanţei de recurs de a cerceta acest motiv de casare, ci doar nemulţumiri ale contestatoarei privind soluţia pronunţată în recurs, pe care încearcă să o reformeze prin exercitarea unei căi extraordinare de atac.</w:t>
      </w:r>
    </w:p>
    <w:p>
      <w:pPr>
        <w:pStyle w:val="Normal"/>
        <w:autoSpaceDE w:val="false"/>
        <w:ind w:right="0" w:firstLine="708"/>
        <w:jc w:val="both"/>
        <w:rPr/>
      </w:pPr>
      <w:r>
        <w:rPr/>
        <w:t>Jurisprudența Curții Europene a Drepturilor Omului a statuat că, în considerarea prezumţiei de validitate de care se bucură o hotărâre definitivă şi a securităţii raporturilor juridice, în absența unor circumstanţe excepţionale, situaţii numite de Curte „defecte fundamentale” ale hotărârii, reiterarea criticilor din recurs or antamarea unor aspecte vizând fondul pretenţiilor nu justifică desfiinţarea unei hotărâri judecătoreşti definitive, ce a intrat in puterea lucrului judecat, prin intermediul contestaţiei în anulare. (cauza Mitrea împotriva României, Hotărârea din 29 iulie 2008).</w:t>
      </w:r>
    </w:p>
    <w:p>
      <w:pPr>
        <w:pStyle w:val="Normal"/>
        <w:autoSpaceDE w:val="false"/>
        <w:ind w:right="0" w:firstLine="708"/>
        <w:jc w:val="both"/>
        <w:rPr/>
      </w:pPr>
      <w:r>
        <w:rPr/>
        <w:t>Curtea arată că instanţa de control judiciar se poate pronunţa asupra unui motiv de casare prin gruparea tuturor argumentelor şi temeiurilor pretins încălcate în cadrul unor motive de casare dintre cele prevăzute la art. 488, ulterior fiind luate în examinare aceste motive, iar nu asupra fiecărui argument utilizat de parte pentru a susţine motivul respectiv.</w:t>
      </w:r>
    </w:p>
    <w:p>
      <w:pPr>
        <w:pStyle w:val="Normal"/>
        <w:autoSpaceDE w:val="false"/>
        <w:ind w:right="0" w:firstLine="708"/>
        <w:jc w:val="both"/>
        <w:rPr/>
      </w:pPr>
      <w:r>
        <w:rPr/>
        <w:t>Omisiunea presupune a trece cu vederea, a nu observa un motiv de casare, însă, în prezenta contestaţie în anulare, partea nemulţumită de respingerea recursului pe care l-a declarat, încearcă să repună în discuţie felul în care instanţa de control judiciar şi-a fundamentat soluţia adoptată, prin considerente care, deşi răspund criticilor recurentei, nu sunt în sensul urmărit de titulara căii de atac, fără a fi vorba de o simplă omisiune, ipoteză ce se situează în afara ariei de incidenţă a prevederilor art. 503 alin. (2) pct. 3 Cod Procedură Civilă.</w:t>
      </w:r>
    </w:p>
    <w:p>
      <w:pPr>
        <w:pStyle w:val="Normal"/>
        <w:autoSpaceDE w:val="false"/>
        <w:ind w:right="0" w:firstLine="708"/>
        <w:jc w:val="both"/>
        <w:rPr/>
      </w:pPr>
      <w:r>
        <w:rPr/>
        <w:t>În plus, în virtutea principiului securităţii raporturilor juridice, Curtea de la Strasbourg a arătat în mod constant că niciuna dintre părţi nu este îndreptăţită să solicite supervizarea unei hotărâri definitive cu singurul scop de a obţine rejudecarea procesului şi o nouă hotărâre în privinţa sa. Instanţele de control nu trebuie să utilizeze puterea lor de supervizare decât pentru a corecta erorile de fapt sau de drept şi erorile judiciare, şi nu pentru a proceda la o nouă judecată.Supervizarea nu trebuie să devină un apel deghizat, şi simplul fapt că pot exista două puncte de vedere asupra subiectului nu constituie un motiv suficient pentru a rejudeca o cauză. Nu se poate deroga de la acest principiu decât atunci când motive substanţiale şi imperioase impun aceasta (Cauza Riabykh împotriva Rusiei, cauza Masiniexport împotriva României).</w:t>
      </w:r>
    </w:p>
    <w:p>
      <w:pPr>
        <w:pStyle w:val="Normal"/>
        <w:ind w:right="0" w:firstLine="708"/>
        <w:jc w:val="both"/>
        <w:rPr>
          <w:rFonts w:eastAsia="Calibri"/>
          <w:lang w:val="ro-MD" w:eastAsia="en-US"/>
        </w:rPr>
      </w:pPr>
      <w:r>
        <w:rPr>
          <w:rFonts w:eastAsia="Calibri"/>
          <w:lang w:val="ro-MD" w:eastAsia="en-US"/>
        </w:rPr>
        <w:t>Astfel, dacă instanţa învestită cu soluţionarea contestaţiei în anulare ar examina motivul contestaţiei din perspectiva celor solicitate de către contestatoarea din prezenta cauză, s-ar ajunge la o veritabilă rejudecare a recursului, contestaţia în anulare neputând fi însă convertită într-un recurs la recurs. </w:t>
      </w:r>
    </w:p>
    <w:p>
      <w:pPr>
        <w:pStyle w:val="Normal"/>
        <w:ind w:right="0" w:firstLine="708"/>
        <w:jc w:val="both"/>
        <w:rPr/>
      </w:pPr>
      <w:r>
        <w:rPr>
          <w:rFonts w:eastAsia="Calibri"/>
          <w:lang w:val="ro-MD" w:eastAsia="en-US"/>
        </w:rPr>
        <w:t>Concluzionând, Curtea reţine că susţinerile contestatoarei nu se grefează pe dispozițiile</w:t>
      </w:r>
      <w:r>
        <w:rPr>
          <w:rFonts w:eastAsia="Calibri"/>
          <w:shd w:val="clear" w:fill="FFFFFF"/>
          <w:lang w:val="ro-MD" w:eastAsia="en-US"/>
        </w:rPr>
        <w:t xml:space="preserve"> art. </w:t>
      </w:r>
      <w:hyperlink w:tgtFrame="_blank" w:anchor="/dokument/16910520/2021-11-11?unitId=art(503)&amp;cm=DOCUMENT" r:id="rId12">
        <w:r>
          <w:rPr>
            <w:rStyle w:val="Hyperlink"/>
            <w:rFonts w:eastAsia="Calibri"/>
            <w:color w:val="000000"/>
            <w:shd w:val="clear" w:fill="FFFFFF"/>
            <w:lang w:val="ro-MD" w:eastAsia="en-US"/>
          </w:rPr>
          <w:t>503</w:t>
        </w:r>
      </w:hyperlink>
      <w:r>
        <w:rPr>
          <w:rFonts w:eastAsia="Calibri"/>
          <w:shd w:val="clear" w:fill="FFFFFF"/>
          <w:lang w:val="ro-MD" w:eastAsia="en-US"/>
        </w:rPr>
        <w:t> alin. 2 punct 3 Cod Procedură Civilă</w:t>
      </w:r>
      <w:r>
        <w:rPr>
          <w:rFonts w:eastAsia="Calibri"/>
          <w:lang w:val="ro-MD" w:eastAsia="en-US"/>
        </w:rPr>
        <w:t>, ci reprezintă critici de nelegalitate vizând pretinse erori de judecată, imposibil de analizat pe calea contestaţiei în anulare.</w:t>
      </w:r>
    </w:p>
    <w:p>
      <w:pPr>
        <w:pStyle w:val="Normal"/>
        <w:ind w:right="0" w:firstLine="708"/>
        <w:jc w:val="both"/>
        <w:rPr>
          <w:rFonts w:eastAsia="Calibri"/>
          <w:lang w:val="ro-MD" w:eastAsia="en-US"/>
        </w:rPr>
      </w:pPr>
      <w:r>
        <w:rPr>
          <w:rFonts w:eastAsia="Calibri"/>
          <w:lang w:val="ro-MD" w:eastAsia="en-US"/>
        </w:rPr>
        <w:t>Pentru aceste considerente, întrucât nu au fost identificate în calea extraordinară a contestaţiei în anulare omisiuni ale instanţei de recurs de a se pronunţa asupra vreunuia dintre motivele de casare invocate în calea de atac declarată de parte şi, ţinând seama şi de imperativul respectării principiului securităţii raporturilor juridice, astfel cum a fost stabilit prin jurisprudenţa Curţii Europene a Drepturilor Omului, Curtea va respinge contestaţia în anulare formulată de contestatoare  împotriva Deciziei nr. DC1/... a Curţii de Apel ....</w:t>
      </w:r>
    </w:p>
    <w:p>
      <w:pPr>
        <w:pStyle w:val="Normal"/>
        <w:jc w:val="center"/>
        <w:rPr/>
      </w:pPr>
      <w:r>
        <w:rPr/>
        <w:t>PENTRU ACESTE MOTIVE,</w:t>
        <w:br/>
        <w:t>ÎN NUMELE LEGII</w:t>
      </w:r>
    </w:p>
    <w:p>
      <w:pPr>
        <w:pStyle w:val="Normal"/>
        <w:jc w:val="center"/>
        <w:rPr/>
      </w:pPr>
      <w:r>
        <w:rPr/>
        <w:t>DECIDE</w:t>
      </w:r>
    </w:p>
    <w:p>
      <w:pPr>
        <w:pStyle w:val="Normal"/>
        <w:jc w:val="both"/>
        <w:rPr/>
      </w:pPr>
      <w:r>
        <w:rPr/>
        <w:tab/>
        <w:t>Respinge contestaţia în anulare formulată de contestatoarea R1 împotriva deciziei nr. DC1 din data de ... pronunțată de către Curtea de Apel ..., Secția  ... în dosar nr. D2 în contradictoriu cu intimaţii MUNICIPIUL ... PRIN PRIMAR - DIRECŢIA DE URBANISM ŞI AMENAJAREA TERITORIULUI, SERVICIUL DE AUTORIZAŢII ÎN CONSTRUCŢII, OBŢINERE AVIZE, TAXE şi PRIMARUL MUNICIPIULUI ..., având ca obiect obligaţia de a face, ca nefondată.</w:t>
      </w:r>
    </w:p>
    <w:p>
      <w:pPr>
        <w:pStyle w:val="Normal"/>
        <w:jc w:val="both"/>
        <w:rPr/>
      </w:pPr>
      <w:r>
        <w:rPr/>
        <w:tab/>
        <w:t>Definitivă.</w:t>
      </w:r>
    </w:p>
    <w:p>
      <w:pPr>
        <w:pStyle w:val="Normal"/>
        <w:rPr/>
      </w:pPr>
      <w:r>
        <w:rPr/>
        <w:tab/>
        <w:t>Pronunţată prin punerea soluţiei la dispoziţia părţilor prin grefa instanţei, azi  ....</w:t>
      </w:r>
      <w:r>
        <w:rPr/>
      </w:r>
      <w:r>
        <w:rPr/>
      </w:r>
      <w:r>
        <w:rPr/>
      </w:r>
      <w:r>
        <w:rPr/>
      </w:r>
      <w:r>
        <w:rPr>
          <w:lang w:val="en-US" w:eastAsia="en-US"/>
        </w:rPr>
        <w:t>  </w:t>
      </w:r>
    </w:p>
    <w:tbl>
      <w:tblPr>
        <w:tblW w:w="9286" w:type="dxa"/>
        <w:jc w:val="center"/>
        <w:tblInd w:w="0" w:type="dxa"/>
        <w:tblLayout w:type="fixed"/>
        <w:tblCellMar>
          <w:top w:w="284" w:type="dxa"/>
          <w:left w:w="108" w:type="dxa"/>
          <w:bottom w:w="284" w:type="dxa"/>
          <w:right w:w="108" w:type="dxa"/>
        </w:tblCellMar>
      </w:tblPr>
      <w:tblGrid>
        <w:gridCol w:w="3096"/>
        <w:gridCol w:w="3095"/>
        <w:gridCol w:w="3095"/>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Preşedinte,</w:t>
            </w:r>
          </w:p>
          <w:p>
            <w:pPr>
              <w:pStyle w:val="Normal"/>
              <w:jc w:val="center"/>
              <w:rPr>
                <w:lang w:val="en-US" w:eastAsia="en-US"/>
              </w:rPr>
            </w:pPr>
            <w:r>
              <w:rPr>
                <w:lang w:val="en-US" w:eastAsia="en-US"/>
              </w:rPr>
              <w:t>A0006</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Judecător,</w:t>
            </w:r>
          </w:p>
          <w:p>
            <w:pPr>
              <w:pStyle w:val="Normal"/>
              <w:jc w:val="center"/>
              <w:rPr>
                <w:lang w:val="en-US" w:eastAsia="en-US"/>
              </w:rPr>
            </w:pPr>
            <w:r>
              <w:rPr>
                <w:lang w:val="en-US" w:eastAsia="en-US"/>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c>
          <w:tcPr>
            <w:tcW w:w="3095" w:type="dxa"/>
            <w:tcBorders>
              <w:top w:val="single" w:color="FFFFFF" w:sz="4" w:space="0"/>
              <w:left w:val="single" w:color="FFFFFF" w:sz="4" w:space="0"/>
              <w:bottom w:val="single" w:color="FFFFFF" w:sz="4" w:space="0"/>
              <w:right w:val="single" w:color="FFFFFF" w:sz="4" w:space="0"/>
            </w:tcBorders>
          </w:tcPr>
          <w:p>
            <w:pPr>
              <w:pStyle w:val="Normal"/>
              <w:jc w:val="center"/>
              <w:rPr>
                <w:lang w:val="en-US" w:eastAsia="en-US"/>
              </w:rPr>
            </w:pPr>
            <w:r>
              <w:rPr>
                <w:lang w:val="en-US" w:eastAsia="en-US"/>
              </w:rPr>
              <w:t>Grefier,</w:t>
            </w:r>
          </w:p>
          <w:p>
            <w:pPr>
              <w:pStyle w:val="Normal"/>
              <w:jc w:val="center"/>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center"/>
              <w:rPr>
                <w:lang w:val="en-US" w:eastAsia="en-US"/>
              </w:rPr>
            </w:pPr>
            <w:r>
              <w:rPr>
                <w:lang w:val="en-US" w:eastAsia="en-US"/>
              </w:rPr>
            </w:r>
          </w:p>
        </w:tc>
      </w:tr>
    </w:tbl>
    <w:p>
      <w:pPr>
        <w:pStyle w:val="Normal"/>
        <w:rPr/>
      </w:pPr>
      <w:r>
        <w:rPr/>
      </w:r>
      <w:r>
        <w:rPr/>
      </w:r>
      <w:r>
        <w:rPr>
          <w:sz w:val="16"/>
          <w:szCs w:val="16"/>
        </w:rPr>
        <w:t>Red A0006/....</w:t>
      </w:r>
    </w:p>
    <w:sectPr>
      <w:footerReference w:type="default" r:id="rId13"/>
      <w:type w:val="nextPage"/>
      <w:pgSz w:w="11906" w:h="16838"/>
      <w:pgMar w:top="851" w:right="851" w:bottom="776" w:left="1985"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4</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server3:80/ecris_cdms/document_upload.aspx?id_document=5400000001633695&amp;id_departament=5&amp;id_sesiune=2396327&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Fontdeparagrafimplicit">
    <w:name w:val="Font de paragraf implicit"/>
    <w:qFormat/>
    <w:rPr/>
  </w:style>
  <w:style w:type="character" w:styleId="AntetCaracter">
    <w:name w:val="Antet Caracter"/>
    <w:qFormat/>
    <w:rPr>
      <w:sz w:val="24"/>
      <w:szCs w:val="24"/>
    </w:rPr>
  </w:style>
  <w:style w:type="character" w:styleId="SubsolCaracter">
    <w:name w:val="Subsol Caracter"/>
    <w:qFormat/>
    <w:rPr>
      <w:sz w:val="24"/>
      <w:szCs w:val="24"/>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Frspaiere">
    <w:name w:val="Fără spațiere"/>
    <w:qFormat/>
    <w:pPr>
      <w:widowControl/>
      <w:kinsoku w:val="true"/>
      <w:overflowPunct w:val="true"/>
      <w:autoSpaceDE w:val="true"/>
      <w:bidi w:val="0"/>
    </w:pPr>
    <w:rPr>
      <w:rFonts w:ascii="Calibri" w:hAnsi="Calibri" w:eastAsia="Calibri" w:cs="Arial"/>
      <w:color w:val="auto"/>
      <w:sz w:val="22"/>
      <w:szCs w:val="22"/>
      <w:lang w:val="ro-MD" w:bidi="ar-SA" w:eastAsia="zh-CN"/>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sintact.ro/" TargetMode="External"/><Relationship Id="rId3" Type="http://schemas.openxmlformats.org/officeDocument/2006/relationships/hyperlink" Target="https://sintact.ro/" TargetMode="External"/><Relationship Id="rId4" Type="http://schemas.openxmlformats.org/officeDocument/2006/relationships/hyperlink" Target="https://sintact.ro/" TargetMode="External"/><Relationship Id="rId5" Type="http://schemas.openxmlformats.org/officeDocument/2006/relationships/hyperlink" Target="https://sintact.ro/" TargetMode="External"/><Relationship Id="rId6" Type="http://schemas.openxmlformats.org/officeDocument/2006/relationships/hyperlink" Target="https://sintact.ro/" TargetMode="External"/><Relationship Id="rId7" Type="http://schemas.openxmlformats.org/officeDocument/2006/relationships/hyperlink" Target="https://sintact.ro/" TargetMode="External"/><Relationship Id="rId8" Type="http://schemas.openxmlformats.org/officeDocument/2006/relationships/hyperlink" Target="https://sintact.ro/" TargetMode="External"/><Relationship Id="rId9" Type="http://schemas.openxmlformats.org/officeDocument/2006/relationships/hyperlink" Target="https://sintact.ro/" TargetMode="External"/><Relationship Id="rId10" Type="http://schemas.openxmlformats.org/officeDocument/2006/relationships/hyperlink" Target="https://sintact.ro/" TargetMode="External"/><Relationship Id="rId11" Type="http://schemas.openxmlformats.org/officeDocument/2006/relationships/hyperlink" Target="https://sintact.ro/" TargetMode="External"/><Relationship Id="rId12" Type="http://schemas.openxmlformats.org/officeDocument/2006/relationships/hyperlink" Target="https://sintact.ro/" TargetMode="Externa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63</ap:TotalTime>
  <ap:Application>LibreOffice/24.2.7.2$Linux_X86_64 LibreOffice_project/420$Build-2</ap:Application>
  <ap:AppVersion>15.0000</ap:AppVersion>
  <ap:Pages>4</ap:Pages>
  <ap:Words>2136</ap:Words>
  <ap:Characters>12123</ap:Characters>
  <ap:CharactersWithSpaces>14238</ap:CharactersWithSpaces>
  <ap:Paragraphs>64</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lastPrinted>2023-02-08T14:49:00.0000000Z</lastPrinted>
  <revision/>
  <dc:subject/>
  <dc:title/>
  <category/>
  <contentStatus/>
  <dc:identifier/>
  <version/>
</coreProperties>
</file>