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C137D9" w:rsidR="00D1166F" w14:paraId="215E849B" w14:textId="670028EE">
      <w:r w:rsidRPr="00C137D9">
        <w:t>Cod ECLI    ECLI:RO:</w:t>
      </w:r>
      <w:r w:rsidRPr="00C137D9" w:rsidR="00E539DB">
        <w:t>.................................                                          Hotărârea 22</w:t>
      </w:r>
    </w:p>
    <w:p w:rsidRPr="00C137D9" w:rsidR="00D1166F" w14:paraId="4211E5D5" w14:textId="082647F0">
      <w:pPr>
        <w:rPr>
          <w:rStyle w:val="Fontdeparagrafimplicit"/>
          <w:b/>
        </w:rPr>
      </w:pPr>
      <w:r w:rsidRPr="00C137D9">
        <w:rPr>
          <w:rStyle w:val="Fontdeparagrafimplicit"/>
          <w:b/>
        </w:rPr>
        <w:t xml:space="preserve">Dosar nr. </w:t>
      </w:r>
      <w:r w:rsidRPr="00C137D9" w:rsidR="00511977">
        <w:rPr>
          <w:rStyle w:val="Fontdeparagrafimplicit"/>
          <w:b/>
        </w:rPr>
        <w:t>..../.../2019</w:t>
      </w:r>
    </w:p>
    <w:p w:rsidRPr="00C137D9" w:rsidR="00D1166F" w14:paraId="43AAE6B5" w14:textId="77777777">
      <w:pPr>
        <w:jc w:val="center"/>
        <w:rPr>
          <w:rStyle w:val="Fontdeparagrafimplicit"/>
          <w:b/>
        </w:rPr>
      </w:pPr>
      <w:r w:rsidRPr="00C137D9">
        <w:rPr>
          <w:rStyle w:val="Fontdeparagrafimplicit"/>
          <w:b/>
        </w:rPr>
        <w:t>R O M Â N I A</w:t>
      </w:r>
    </w:p>
    <w:p w:rsidRPr="00C137D9" w:rsidR="00D1166F" w14:paraId="0E618ECA" w14:textId="77777777">
      <w:pPr>
        <w:jc w:val="center"/>
        <w:rPr>
          <w:rStyle w:val="Fontdeparagrafimplicit"/>
          <w:b/>
        </w:rPr>
      </w:pPr>
    </w:p>
    <w:p w:rsidRPr="00C137D9" w:rsidR="00D1166F" w14:paraId="4FAF977A" w14:textId="108E4D21">
      <w:pPr>
        <w:jc w:val="center"/>
        <w:rPr>
          <w:rStyle w:val="Fontdeparagrafimplicit"/>
          <w:b/>
        </w:rPr>
      </w:pPr>
      <w:r w:rsidRPr="00C137D9">
        <w:rPr>
          <w:rStyle w:val="Fontdeparagrafimplicit"/>
          <w:b/>
        </w:rPr>
        <w:t xml:space="preserve">CURTEA DE APEL </w:t>
      </w:r>
      <w:r w:rsidRPr="00C137D9" w:rsidR="00C137D9">
        <w:rPr>
          <w:rStyle w:val="Fontdeparagrafimplicit"/>
          <w:b/>
        </w:rPr>
        <w:t>...X...</w:t>
      </w:r>
    </w:p>
    <w:p w:rsidRPr="00C137D9" w:rsidR="00D1166F" w14:paraId="1E52F0B9" w14:textId="77777777">
      <w:pPr>
        <w:jc w:val="center"/>
        <w:rPr>
          <w:rStyle w:val="Fontdeparagrafimplicit"/>
          <w:b/>
          <w:lang w:val="en-US"/>
        </w:rPr>
      </w:pPr>
      <w:r w:rsidRPr="00C137D9">
        <w:rPr>
          <w:rStyle w:val="Fontdeparagrafimplicit"/>
          <w:b/>
        </w:rPr>
        <w:t>SECŢIA CONTENCIOS ADMINISTRATIV SI FISCAL</w:t>
      </w:r>
    </w:p>
    <w:p w:rsidRPr="00C137D9" w:rsidR="00D1166F" w14:paraId="6EE9B508" w14:textId="77777777">
      <w:pPr>
        <w:rPr>
          <w:rStyle w:val="Fontdeparagrafimplicit"/>
          <w:b/>
        </w:rPr>
      </w:pPr>
    </w:p>
    <w:p w:rsidRPr="00C137D9" w:rsidR="00D1166F" w14:paraId="16D2ED38" w14:textId="08B77374">
      <w:pPr>
        <w:jc w:val="center"/>
        <w:rPr>
          <w:rStyle w:val="Fontdeparagrafimplicit"/>
          <w:b/>
        </w:rPr>
      </w:pPr>
      <w:r w:rsidRPr="00C137D9">
        <w:rPr>
          <w:rStyle w:val="Fontdeparagrafimplicit"/>
          <w:b/>
        </w:rPr>
      </w:r>
      <w:bookmarkStart w:name="tip_incheiere" w:id="0"/>
      <w:r w:rsidRPr="00C137D9">
        <w:rPr>
          <w:rStyle w:val="Fontdeparagrafimplicit"/>
          <w:b/>
        </w:rPr>
      </w:r>
      <w:r w:rsidRPr="00C137D9">
        <w:rPr>
          <w:rStyle w:val="Fontdeparagrafimplicit"/>
          <w:b/>
        </w:rPr>
      </w:r>
      <w:r w:rsidRPr="00C137D9">
        <w:rPr>
          <w:rStyle w:val="Fontdeparagrafimplicit"/>
          <w:b/>
        </w:rPr>
        <w:t>DECIZIE</w:t>
      </w:r>
      <w:r w:rsidRPr="00C137D9">
        <w:rPr>
          <w:rStyle w:val="Fontdeparagrafimplicit"/>
          <w:b/>
        </w:rPr>
      </w:r>
      <w:bookmarkEnd w:id="0"/>
      <w:r w:rsidRPr="00C137D9">
        <w:rPr>
          <w:rStyle w:val="Fontdeparagrafimplicit"/>
          <w:b/>
        </w:rPr>
        <w:t xml:space="preserve"> Nr. </w:t>
      </w:r>
      <w:r w:rsidRPr="00C137D9" w:rsidR="00511977">
        <w:rPr>
          <w:rStyle w:val="Fontdeparagrafimplicit"/>
          <w:b/>
        </w:rPr>
        <w:t>...</w:t>
      </w:r>
      <w:r w:rsidRPr="00C137D9">
        <w:rPr>
          <w:rStyle w:val="Fontdeparagrafimplicit"/>
          <w:b/>
        </w:rPr>
        <w:t>/</w:t>
      </w:r>
      <w:r w:rsidRPr="00C137D9" w:rsidR="00511977">
        <w:rPr>
          <w:rStyle w:val="Fontdeparagrafimplicit"/>
          <w:b/>
        </w:rPr>
        <w:t>...</w:t>
      </w:r>
    </w:p>
    <w:p w:rsidRPr="00C137D9" w:rsidR="00D1166F" w14:paraId="34E333D1" w14:textId="097EE6BA">
      <w:pPr>
        <w:jc w:val="center"/>
        <w:rPr>
          <w:rStyle w:val="Fontdeparagrafimplicit"/>
          <w:b/>
        </w:rPr>
      </w:pPr>
      <w:r w:rsidRPr="00C137D9">
        <w:rPr>
          <w:rStyle w:val="Fontdeparagrafimplicit"/>
          <w:b/>
        </w:rPr>
        <w:t>Şedinţa </w:t>
      </w:r>
      <w:r w:rsidRPr="00C137D9">
        <w:rPr>
          <w:rStyle w:val="Fontdeparagrafimplicit"/>
          <w:b/>
        </w:rPr>
      </w:r>
      <w:bookmarkStart w:name="tip_sedinta" w:id="1"/>
      <w:r w:rsidRPr="00C137D9">
        <w:rPr>
          <w:rStyle w:val="Fontdeparagrafimplicit"/>
          <w:b/>
        </w:rPr>
      </w:r>
      <w:r w:rsidRPr="00C137D9">
        <w:rPr>
          <w:rStyle w:val="Fontdeparagrafimplicit"/>
          <w:b/>
        </w:rPr>
      </w:r>
      <w:r w:rsidRPr="00C137D9">
        <w:rPr>
          <w:rStyle w:val="Fontdeparagrafimplicit"/>
          <w:b/>
        </w:rPr>
        <w:t>publică</w:t>
      </w:r>
      <w:r w:rsidRPr="00C137D9">
        <w:rPr>
          <w:rStyle w:val="Fontdeparagrafimplicit"/>
          <w:b/>
        </w:rPr>
      </w:r>
      <w:bookmarkEnd w:id="1"/>
      <w:r w:rsidRPr="00C137D9">
        <w:rPr>
          <w:rStyle w:val="Fontdeparagrafimplicit"/>
          <w:b/>
        </w:rPr>
        <w:t xml:space="preserve"> de la </w:t>
      </w:r>
      <w:r w:rsidRPr="00C137D9" w:rsidR="00511977">
        <w:rPr>
          <w:rStyle w:val="Fontdeparagrafimplicit"/>
          <w:b/>
        </w:rPr>
        <w:t>......</w:t>
      </w:r>
      <w:r w:rsidRPr="00C137D9">
        <w:rPr>
          <w:rStyle w:val="Fontdeparagrafimplicit"/>
          <w:b/>
        </w:rPr>
        <w:t xml:space="preserve"> </w:t>
      </w:r>
    </w:p>
    <w:p w:rsidRPr="00C137D9" w:rsidR="00D1166F" w14:paraId="0B47B4CB" w14:textId="77777777">
      <w:pPr>
        <w:jc w:val="center"/>
        <w:rPr>
          <w:rStyle w:val="Fontdeparagrafimplicit"/>
          <w:b/>
        </w:rPr>
      </w:pPr>
      <w:r w:rsidRPr="00C137D9">
        <w:rPr>
          <w:rStyle w:val="Fontdeparagrafimplicit"/>
          <w:b/>
        </w:rPr>
        <w:t>Instanţa constituită din:</w:t>
      </w:r>
    </w:p>
    <w:p w:rsidRPr="00C137D9" w:rsidR="00D1166F" w14:paraId="58EF7762" w14:textId="3BFD8751">
      <w:pPr>
        <w:jc w:val="center"/>
        <w:rPr>
          <w:rStyle w:val="Fontdeparagrafimplicit"/>
          <w:b/>
        </w:rPr>
      </w:pPr>
      <w:r w:rsidRPr="00C137D9">
        <w:rPr>
          <w:rStyle w:val="Fontdeparagrafimplicit"/>
          <w:b/>
        </w:rPr>
        <w:t xml:space="preserve">PREŞEDINTE </w:t>
      </w:r>
      <w:r w:rsidRPr="00C137D9" w:rsidR="00511977">
        <w:rPr>
          <w:rStyle w:val="Fontdeparagrafimplicit"/>
          <w:b/>
        </w:rPr>
        <w:t>..................</w:t>
      </w:r>
    </w:p>
    <w:p w:rsidRPr="00C137D9" w:rsidR="00D1166F" w14:paraId="75C3C7CF" w14:textId="74628900">
      <w:pPr>
        <w:jc w:val="center"/>
        <w:rPr>
          <w:rStyle w:val="Fontdeparagrafimplicit"/>
          <w:b/>
        </w:rPr>
      </w:pPr>
      <w:r w:rsidRPr="00C137D9">
        <w:rPr>
          <w:rStyle w:val="Fontdeparagrafimplicit"/>
          <w:b/>
        </w:rPr>
        <w:t xml:space="preserve">Judecător </w:t>
      </w:r>
      <w:r w:rsidRPr="00C137D9" w:rsidR="00511977">
        <w:rPr>
          <w:rStyle w:val="Fontdeparagrafimplicit"/>
          <w:b/>
        </w:rPr>
        <w:t>..................</w:t>
      </w:r>
    </w:p>
    <w:p w:rsidRPr="00C137D9" w:rsidR="00D1166F" w14:paraId="72D54EE6" w14:textId="3C6DCFA7">
      <w:pPr>
        <w:jc w:val="center"/>
        <w:rPr>
          <w:rStyle w:val="Fontdeparagrafimplicit"/>
          <w:b/>
        </w:rPr>
      </w:pPr>
      <w:r w:rsidRPr="00C137D9">
        <w:rPr>
          <w:rStyle w:val="Fontdeparagrafimplicit"/>
          <w:b/>
        </w:rPr>
        <w:t xml:space="preserve">Judecător </w:t>
      </w:r>
      <w:r w:rsidRPr="00C137D9" w:rsidR="00E539DB">
        <w:rPr>
          <w:rStyle w:val="Fontdeparagrafimplicit"/>
          <w:b/>
        </w:rPr>
        <w:t>A0001</w:t>
      </w:r>
    </w:p>
    <w:p w:rsidRPr="00C137D9" w:rsidR="00D1166F" w14:paraId="7C40D3BF" w14:textId="3FEA8089">
      <w:pPr>
        <w:jc w:val="center"/>
        <w:rPr>
          <w:rStyle w:val="Fontdeparagrafimplicit"/>
          <w:b/>
        </w:rPr>
      </w:pPr>
      <w:r w:rsidRPr="00C137D9">
        <w:rPr>
          <w:rStyle w:val="Fontdeparagrafimplicit"/>
          <w:b/>
        </w:rPr>
        <w:t xml:space="preserve">Grefier </w:t>
      </w:r>
      <w:r w:rsidRPr="00C137D9" w:rsidR="00511977">
        <w:rPr>
          <w:rStyle w:val="Fontdeparagrafimplicit"/>
          <w:b/>
        </w:rPr>
        <w:t>..................</w:t>
      </w:r>
    </w:p>
    <w:p w:rsidRPr="00C137D9" w:rsidR="00D1166F" w14:paraId="5E0852E0" w14:textId="77777777">
      <w:pPr>
        <w:jc w:val="center"/>
        <w:rPr>
          <w:rStyle w:val="Fontdeparagrafimplicit"/>
        </w:rPr>
      </w:pPr>
    </w:p>
    <w:p w:rsidRPr="00C137D9" w:rsidR="00D1166F" w14:paraId="00604B66" w14:textId="77777777">
      <w:pPr>
        <w:jc w:val="center"/>
        <w:rPr>
          <w:rStyle w:val="Fontdeparagrafimplicit"/>
        </w:rPr>
      </w:pPr>
    </w:p>
    <w:p w:rsidRPr="00C137D9" w:rsidR="00D1166F" w14:paraId="09392A60" w14:textId="23F85C4D">
      <w:pPr>
        <w:ind w:firstLine="720"/>
        <w:jc w:val="both"/>
      </w:pPr>
      <w:r w:rsidRPr="00C137D9">
        <w:t xml:space="preserve">Pe rol judecarea recursului formulat de pârâta </w:t>
      </w:r>
      <w:r w:rsidRPr="00C137D9">
        <w:rPr>
          <w:rStyle w:val="Fontdeparagrafimplicit"/>
          <w:b/>
        </w:rPr>
        <w:t xml:space="preserve">COMISIA DE EVALUARE A PERSOANELOR ADULTE CU HANDICAP </w:t>
      </w:r>
      <w:r w:rsidRPr="00C137D9" w:rsidR="003076FC">
        <w:rPr>
          <w:rStyle w:val="Fontdeparagrafimplicit"/>
          <w:b/>
        </w:rPr>
        <w:t>...A...</w:t>
      </w:r>
      <w:r w:rsidRPr="00C137D9">
        <w:rPr>
          <w:rStyle w:val="Fontdeparagrafimplicit"/>
          <w:b/>
        </w:rPr>
        <w:t xml:space="preserve">  PRIN DIRECŢIA GENERALĂ DE ASISTENŢĂ SOCIALĂ ŞI PROTECŢIA COPILULUI </w:t>
      </w:r>
      <w:r w:rsidRPr="00C137D9" w:rsidR="003076FC">
        <w:rPr>
          <w:rStyle w:val="Fontdeparagrafimplicit"/>
          <w:b/>
        </w:rPr>
        <w:t>...A...</w:t>
      </w:r>
      <w:r w:rsidRPr="00C137D9">
        <w:rPr>
          <w:rStyle w:val="Fontdeparagrafimplicit"/>
          <w:b/>
        </w:rPr>
        <w:t xml:space="preserve">, </w:t>
      </w:r>
      <w:r w:rsidRPr="00C137D9">
        <w:t xml:space="preserve">împotriva sentinţei nr. </w:t>
      </w:r>
      <w:r w:rsidRPr="00C137D9" w:rsidR="003076FC">
        <w:t>...../..............</w:t>
      </w:r>
      <w:r w:rsidRPr="00C137D9">
        <w:t xml:space="preserve">, pronunţată de Tribunalul </w:t>
      </w:r>
      <w:r w:rsidRPr="00C137D9" w:rsidR="003076FC">
        <w:t>...A...</w:t>
      </w:r>
      <w:r w:rsidRPr="00C137D9">
        <w:t xml:space="preserve">, în dosarul nr. </w:t>
      </w:r>
      <w:r w:rsidRPr="00C137D9" w:rsidR="00511977">
        <w:t>..../.../2019</w:t>
      </w:r>
      <w:r w:rsidRPr="00C137D9">
        <w:t xml:space="preserve">, în contradictoriu cu intimatul </w:t>
      </w:r>
      <w:r w:rsidRPr="00C137D9" w:rsidR="00D55B98">
        <w:rPr>
          <w:rStyle w:val="Fontdeparagrafimplicit"/>
          <w:b/>
        </w:rPr>
        <w:t>...Y...</w:t>
      </w:r>
      <w:r w:rsidRPr="00C137D9">
        <w:t xml:space="preserve">, având ca obiect refuz acordare drepturi protecţie sociala (persoane cu handicap, protecţia copilului). </w:t>
      </w:r>
    </w:p>
    <w:p w:rsidRPr="00C137D9" w:rsidR="00D1166F" w14:paraId="711B5FB1" w14:textId="25948B75">
      <w:pPr>
        <w:ind w:firstLine="720"/>
        <w:jc w:val="both"/>
      </w:pPr>
      <w:r w:rsidRPr="00C137D9">
        <w:t xml:space="preserve">La apelul nominal făcut în şedinţa </w:t>
      </w:r>
      <w:bookmarkStart w:name="tip_sedinta_copie_1" w:id="2"/>
      <w:r w:rsidRPr="00C137D9">
        <w:t>publică</w:t>
      </w:r>
      <w:bookmarkEnd w:id="2"/>
      <w:r w:rsidRPr="00C137D9">
        <w:t xml:space="preserve"> a răspuns consilier juridic </w:t>
      </w:r>
      <w:r w:rsidRPr="00C137D9" w:rsidR="00511977">
        <w:t>..................</w:t>
      </w:r>
      <w:r w:rsidRPr="00C137D9">
        <w:t xml:space="preserve">, pentru recurenta pârâtă COMISIA DE EVALUARE A PERSOANELOR ADULTE CU HANDICAP </w:t>
      </w:r>
      <w:r w:rsidRPr="00C137D9" w:rsidR="003076FC">
        <w:t>...A...</w:t>
      </w:r>
      <w:r w:rsidRPr="00C137D9">
        <w:t xml:space="preserve">  PRIN DIRECŢIA GENERALĂ DE ASISTENŢĂ SOCIALĂ ŞI PROTECŢIA COPILULUI </w:t>
      </w:r>
      <w:r w:rsidRPr="00C137D9" w:rsidR="003076FC">
        <w:t>...A...</w:t>
      </w:r>
      <w:r w:rsidRPr="00C137D9">
        <w:t xml:space="preserve">, lipsind intimatul reclamant </w:t>
      </w:r>
      <w:r w:rsidRPr="00C137D9" w:rsidR="00D55B98">
        <w:t>...Y...</w:t>
      </w:r>
      <w:r w:rsidRPr="00C137D9">
        <w:t>.</w:t>
      </w:r>
    </w:p>
    <w:p w:rsidRPr="00C137D9" w:rsidR="00D1166F" w14:paraId="42330812" w14:textId="77777777">
      <w:pPr>
        <w:ind w:firstLine="720"/>
        <w:jc w:val="both"/>
      </w:pPr>
      <w:r w:rsidRPr="00C137D9">
        <w:t xml:space="preserve">Procedura de citare a părţilor este </w:t>
      </w:r>
      <w:bookmarkStart w:name="tip_procedura" w:id="3"/>
      <w:r w:rsidRPr="00C137D9">
        <w:t>legal</w:t>
      </w:r>
      <w:bookmarkEnd w:id="3"/>
      <w:r w:rsidRPr="00C137D9">
        <w:t xml:space="preserve"> îndeplinită.</w:t>
      </w:r>
    </w:p>
    <w:p w:rsidRPr="00C137D9" w:rsidR="00D1166F" w14:paraId="3AC97222" w14:textId="77777777">
      <w:pPr>
        <w:ind w:firstLine="720"/>
        <w:jc w:val="both"/>
      </w:pPr>
      <w:r w:rsidRPr="00C137D9">
        <w:t xml:space="preserve">S-a făcut </w:t>
      </w:r>
      <w:bookmarkStart w:name="tip_doc_despre_cauza" w:id="4"/>
      <w:r w:rsidRPr="00C137D9">
        <w:t>referatul</w:t>
      </w:r>
      <w:bookmarkEnd w:id="4"/>
      <w:r w:rsidRPr="00C137D9">
        <w:t xml:space="preserve"> cauzei de către </w:t>
      </w:r>
      <w:bookmarkStart w:name="functia_celui_care_f" w:id="5"/>
      <w:r w:rsidRPr="00C137D9">
        <w:t>grefier</w:t>
      </w:r>
      <w:bookmarkEnd w:id="5"/>
      <w:r w:rsidRPr="00C137D9">
        <w:t xml:space="preserve">ul de şedinţă </w:t>
      </w:r>
      <w:bookmarkStart w:name="combo_invedereaza" w:id="6"/>
      <w:r w:rsidRPr="00C137D9">
        <w:t>care învederează</w:t>
      </w:r>
      <w:bookmarkEnd w:id="6"/>
      <w:r w:rsidRPr="00C137D9">
        <w:t xml:space="preserve"> instanţei obiectul cauzei, stadiul judecăţii, modalitatea de îndeplinire a procedurii de citare, faptul că recursul a fost declarat şi motivat în termenul legal, intimatul reclamant a formulat întâmpinare, s-a solicitat judecarea cauzei în lipsă, după care: </w:t>
      </w:r>
    </w:p>
    <w:p w:rsidRPr="00C137D9" w:rsidR="00D1166F" w14:paraId="5D2C42CA" w14:textId="77777777">
      <w:pPr>
        <w:ind w:firstLine="720"/>
        <w:jc w:val="both"/>
      </w:pPr>
      <w:r w:rsidRPr="00C137D9">
        <w:t>Nemaifiind alte cereri de formulat, instanţa constată cauza în stare de judecată şi acordă cuvântul la dezbateri.</w:t>
      </w:r>
    </w:p>
    <w:p w:rsidRPr="00C137D9" w:rsidR="00D1166F" w14:paraId="060B2151" w14:textId="2BFD2BFF">
      <w:pPr>
        <w:ind w:firstLine="720"/>
        <w:jc w:val="both"/>
      </w:pPr>
      <w:r w:rsidRPr="00C137D9">
        <w:t xml:space="preserve">Consilier juridic </w:t>
      </w:r>
      <w:r w:rsidRPr="00C137D9" w:rsidR="00511977">
        <w:t>..................</w:t>
      </w:r>
      <w:r w:rsidRPr="00C137D9">
        <w:t xml:space="preserve">, pentru recurenta pârâtă COMISIA DE EVALUARE A PERSOANELOR ADULTE CU HANDICAP </w:t>
      </w:r>
      <w:r w:rsidRPr="00C137D9" w:rsidR="003076FC">
        <w:t>...A...</w:t>
      </w:r>
      <w:r w:rsidRPr="00C137D9">
        <w:t xml:space="preserve">  PRIN DIRECŢIA GENERALĂ DE ASISTENŢĂ SOCIALĂ ŞI PROTECŢIA COPILULUI </w:t>
      </w:r>
      <w:r w:rsidRPr="00C137D9" w:rsidR="003076FC">
        <w:t>...A...</w:t>
      </w:r>
      <w:r w:rsidRPr="00C137D9">
        <w:t xml:space="preserve">, solicită instanţei admiterea recursului aşa cum a fost formulat, casarea sentinţei recurate si intr-o prima teza trimiterea cauzei spre rejudecare si intr-o teza subsidiara rejudecand cauza sa se respingă acţiunea ca nefondata. </w:t>
      </w:r>
    </w:p>
    <w:p w:rsidRPr="00C137D9" w:rsidR="00D1166F" w14:paraId="7409E369" w14:textId="77777777">
      <w:pPr>
        <w:ind w:firstLine="720"/>
        <w:jc w:val="both"/>
      </w:pPr>
      <w:r w:rsidRPr="00C137D9">
        <w:t>Instanţa rămâne în pronunţare asupra recursului de faţă.</w:t>
      </w:r>
    </w:p>
    <w:p w:rsidRPr="00C137D9" w:rsidR="00D1166F" w14:paraId="3A661BD2" w14:textId="77777777">
      <w:pPr>
        <w:ind w:firstLine="720"/>
        <w:jc w:val="both"/>
      </w:pPr>
    </w:p>
    <w:p w:rsidRPr="00C137D9" w:rsidR="00D1166F" w14:paraId="7A4617AF" w14:textId="77777777">
      <w:pPr>
        <w:jc w:val="center"/>
        <w:rPr>
          <w:rStyle w:val="Fontdeparagrafimplicit"/>
          <w:b/>
        </w:rPr>
      </w:pPr>
      <w:r w:rsidRPr="00C137D9">
        <w:rPr>
          <w:rStyle w:val="Fontdeparagrafimplicit"/>
          <w:b/>
        </w:rPr>
        <w:t>CURTEA</w:t>
      </w:r>
    </w:p>
    <w:p w:rsidRPr="00C137D9" w:rsidR="00D1166F" w14:paraId="6E0790F4" w14:textId="77777777">
      <w:pPr>
        <w:ind w:firstLine="720"/>
        <w:jc w:val="both"/>
        <w:rPr>
          <w:rStyle w:val="Fontdeparagrafimplicit"/>
        </w:rPr>
      </w:pPr>
    </w:p>
    <w:p w:rsidRPr="00C137D9" w:rsidR="00D1166F" w14:paraId="3350CE90" w14:textId="77777777">
      <w:pPr>
        <w:ind w:firstLine="720"/>
        <w:jc w:val="both"/>
      </w:pPr>
      <w:r w:rsidRPr="00C137D9">
        <w:t>Deliberând asupra recursului declarat constată următoarele:</w:t>
      </w:r>
    </w:p>
    <w:p w:rsidRPr="00C137D9" w:rsidR="00D1166F" w14:paraId="3E112FC5" w14:textId="4AC6A85D">
      <w:pPr>
        <w:ind w:firstLine="720"/>
        <w:jc w:val="both"/>
      </w:pPr>
      <w:r w:rsidRPr="00C137D9">
        <w:rPr>
          <w:rStyle w:val="Fontdeparagrafimplicit"/>
          <w:b/>
        </w:rPr>
        <w:t xml:space="preserve">Prin sentinţa nr. </w:t>
      </w:r>
      <w:r w:rsidRPr="00C137D9" w:rsidR="003076FC">
        <w:rPr>
          <w:rStyle w:val="Fontdeparagrafimplicit"/>
          <w:b/>
        </w:rPr>
        <w:t>...../..............</w:t>
      </w:r>
      <w:r w:rsidRPr="00C137D9">
        <w:rPr>
          <w:rStyle w:val="Fontdeparagrafimplicit"/>
          <w:b/>
        </w:rPr>
        <w:t xml:space="preserve">, pronunţată de Tribunalul </w:t>
      </w:r>
      <w:r w:rsidRPr="00C137D9" w:rsidR="003076FC">
        <w:rPr>
          <w:rStyle w:val="Fontdeparagrafimplicit"/>
          <w:b/>
        </w:rPr>
        <w:t>...A...</w:t>
      </w:r>
      <w:r w:rsidRPr="00C137D9">
        <w:rPr>
          <w:rStyle w:val="Fontdeparagrafimplicit"/>
          <w:b/>
        </w:rPr>
        <w:t xml:space="preserve">, în dosarul nr. </w:t>
      </w:r>
      <w:r w:rsidRPr="00C137D9" w:rsidR="00511977">
        <w:rPr>
          <w:rStyle w:val="Fontdeparagrafimplicit"/>
          <w:b/>
        </w:rPr>
        <w:t>..../.../2019</w:t>
      </w:r>
      <w:r w:rsidRPr="00C137D9">
        <w:rPr>
          <w:rStyle w:val="Fontdeparagrafimplicit"/>
          <w:i/>
        </w:rPr>
        <w:t>,</w:t>
      </w:r>
      <w:r w:rsidRPr="00C137D9">
        <w:t xml:space="preserve"> s-a admis acţiunea reclamantului </w:t>
      </w:r>
      <w:r w:rsidRPr="00C137D9" w:rsidR="00D55B98">
        <w:t>...Y...</w:t>
      </w:r>
      <w:r w:rsidRPr="00C137D9">
        <w:t xml:space="preserve">, cu domiciliul în </w:t>
      </w:r>
      <w:r w:rsidRPr="00C137D9" w:rsidR="00D55B98">
        <w:t>.................................</w:t>
      </w:r>
      <w:r w:rsidRPr="00C137D9">
        <w:t xml:space="preserve">, în contradictoriu cu pârâtul CONSILIUL JUDEŢEAN </w:t>
      </w:r>
      <w:r w:rsidRPr="00C137D9" w:rsidR="003076FC">
        <w:t>...A...</w:t>
      </w:r>
      <w:r w:rsidRPr="00C137D9">
        <w:t xml:space="preserve">-COMISIA DE EVALUARE A PERSOANELOR ADULTE CU HANDICAP, cu sediul în </w:t>
      </w:r>
      <w:r w:rsidRPr="00C137D9" w:rsidR="00D55B98">
        <w:t>.........................................</w:t>
      </w:r>
      <w:r w:rsidRPr="00C137D9">
        <w:t xml:space="preserve">. </w:t>
      </w:r>
    </w:p>
    <w:p w:rsidRPr="00C137D9" w:rsidR="00D1166F" w14:paraId="34628104" w14:textId="04EB21CE">
      <w:pPr>
        <w:ind w:firstLine="720"/>
        <w:jc w:val="both"/>
      </w:pPr>
      <w:r w:rsidRPr="00C137D9">
        <w:t xml:space="preserve">A fost anulat certificatul de încadrare în gard de handicap nr. </w:t>
      </w:r>
      <w:r w:rsidRPr="00C137D9" w:rsidR="003076FC">
        <w:t>......</w:t>
      </w:r>
      <w:r w:rsidRPr="00C137D9">
        <w:t xml:space="preserve">/18.12.2018. </w:t>
      </w:r>
    </w:p>
    <w:p w:rsidRPr="00C137D9" w:rsidR="00D1166F" w14:paraId="41FC583C" w14:textId="77777777">
      <w:pPr>
        <w:ind w:firstLine="720"/>
        <w:jc w:val="both"/>
      </w:pPr>
      <w:r w:rsidRPr="00C137D9">
        <w:t>A fost obligată pârâta să emită un nou certificat de încadrare a reclamantului în gradul de handicap ,,accentuat”, cu termen de valabilitate ,,permanent”.</w:t>
      </w:r>
    </w:p>
    <w:p w:rsidRPr="00C137D9" w:rsidR="00D1166F" w14:paraId="08D1D137" w14:textId="2378D2AA">
      <w:pPr>
        <w:ind w:firstLine="720"/>
        <w:jc w:val="both"/>
      </w:pPr>
      <w:r w:rsidRPr="00C137D9">
        <w:rPr>
          <w:rStyle w:val="Fontdeparagrafimplicit"/>
          <w:b/>
          <w:i/>
        </w:rPr>
        <w:t xml:space="preserve">Împotriva sentinţei nr. </w:t>
      </w:r>
      <w:r w:rsidRPr="00C137D9" w:rsidR="003076FC">
        <w:rPr>
          <w:rStyle w:val="Fontdeparagrafimplicit"/>
          <w:b/>
          <w:i/>
        </w:rPr>
        <w:t>...../..............</w:t>
      </w:r>
      <w:r w:rsidRPr="00C137D9">
        <w:rPr>
          <w:rStyle w:val="Fontdeparagrafimplicit"/>
          <w:b/>
          <w:i/>
        </w:rPr>
        <w:t xml:space="preserve">, pronunţată de Tribunalul </w:t>
      </w:r>
      <w:r w:rsidRPr="00C137D9" w:rsidR="003076FC">
        <w:rPr>
          <w:rStyle w:val="Fontdeparagrafimplicit"/>
          <w:b/>
          <w:i/>
        </w:rPr>
        <w:t>...A...</w:t>
      </w:r>
      <w:r w:rsidRPr="00C137D9">
        <w:rPr>
          <w:rStyle w:val="Fontdeparagrafimplicit"/>
          <w:b/>
          <w:i/>
        </w:rPr>
        <w:t xml:space="preserve">, în dosarul nr. </w:t>
      </w:r>
      <w:r w:rsidRPr="00C137D9" w:rsidR="00511977">
        <w:rPr>
          <w:rStyle w:val="Fontdeparagrafimplicit"/>
          <w:b/>
          <w:i/>
        </w:rPr>
        <w:t>..../.../2019</w:t>
      </w:r>
      <w:r w:rsidRPr="00C137D9">
        <w:rPr>
          <w:rStyle w:val="Fontdeparagrafimplicit"/>
          <w:b/>
          <w:i/>
        </w:rPr>
        <w:t xml:space="preserve">, a formulat recurs pârâta COMISIA DE EVALUARE A PERSOANELOR ADULTE CU HANDICAP </w:t>
      </w:r>
      <w:r w:rsidRPr="00C137D9" w:rsidR="003076FC">
        <w:rPr>
          <w:rStyle w:val="Fontdeparagrafimplicit"/>
          <w:b/>
          <w:i/>
        </w:rPr>
        <w:t>...A...</w:t>
      </w:r>
      <w:r w:rsidRPr="00C137D9">
        <w:rPr>
          <w:rStyle w:val="Fontdeparagrafimplicit"/>
          <w:b/>
          <w:i/>
        </w:rPr>
        <w:t xml:space="preserve">  PRIN DIRECŢIA GENERALĂ DE ASISTENŢĂ SOCIALĂ ŞI PROTECŢIA COPILULUI </w:t>
      </w:r>
      <w:r w:rsidRPr="00C137D9" w:rsidR="003076FC">
        <w:rPr>
          <w:rStyle w:val="Fontdeparagrafimplicit"/>
          <w:b/>
          <w:i/>
        </w:rPr>
        <w:t>...A...</w:t>
      </w:r>
      <w:r w:rsidRPr="00C137D9">
        <w:t>, criticând-o pentru nelegalitate şi netemeinicie.</w:t>
      </w:r>
    </w:p>
    <w:p w:rsidRPr="00C137D9" w:rsidR="00D1166F" w14:paraId="7453CF2B" w14:textId="05A0F595">
      <w:pPr>
        <w:ind w:firstLine="720"/>
        <w:jc w:val="both"/>
      </w:pPr>
      <w:r w:rsidRPr="00C137D9">
        <w:t xml:space="preserve">În motivare a arătat că în fapt, reclamantul </w:t>
      </w:r>
      <w:r w:rsidRPr="00C137D9" w:rsidR="00D55B98">
        <w:t>...Y...</w:t>
      </w:r>
      <w:r w:rsidRPr="00C137D9">
        <w:t xml:space="preserve">, în contradictoriu cu pârâtul CONSILIUL JUDEŢEAN </w:t>
      </w:r>
      <w:r w:rsidRPr="00C137D9" w:rsidR="003076FC">
        <w:t>...A...</w:t>
      </w:r>
      <w:r w:rsidRPr="00C137D9">
        <w:t xml:space="preserve">-COMISIA DE EVALUARE A PERSOANELOR ADULTE CU HANDICAP a formulat contestaţie împotriva certificatului de încadrarea în grad de </w:t>
      </w:r>
      <w:r w:rsidRPr="00C137D9">
        <w:t xml:space="preserve">handicap nr. </w:t>
      </w:r>
      <w:r w:rsidRPr="00C137D9" w:rsidR="003076FC">
        <w:t>......</w:t>
      </w:r>
      <w:r w:rsidRPr="00C137D9">
        <w:t xml:space="preserve"> din 18.12.2018, primit la data de 24.12.2018, solicitând încadrarea în grad de handicap accentuat şi nerevizuibil.</w:t>
      </w:r>
    </w:p>
    <w:p w:rsidRPr="00C137D9" w:rsidR="00D1166F" w14:paraId="4E3F9A8F" w14:textId="028DA25D">
      <w:pPr>
        <w:ind w:firstLine="720"/>
        <w:jc w:val="both"/>
      </w:pPr>
      <w:r w:rsidRPr="00C137D9">
        <w:t xml:space="preserve">În mod nelegal instanţa de fond a admis acţiunea, obligând Comisia de Evaluare a Persoanelor Adulte cu Handicap </w:t>
      </w:r>
      <w:r w:rsidRPr="00C137D9" w:rsidR="003076FC">
        <w:t>...A...</w:t>
      </w:r>
      <w:r w:rsidRPr="00C137D9">
        <w:t xml:space="preserve"> să emită un nou certificat de încadrare în grad de handicap prin care reclamantul să fie încadrată în grad de handicap accentuat şi nerevizuibil.</w:t>
      </w:r>
    </w:p>
    <w:p w:rsidRPr="00C137D9" w:rsidR="00D1166F" w14:paraId="79193630" w14:textId="77777777">
      <w:pPr>
        <w:ind w:firstLine="720"/>
        <w:jc w:val="both"/>
      </w:pPr>
      <w:r w:rsidRPr="00C137D9">
        <w:t>Soluţia instanţei de fond este data cu încălcarea art. 425 alin. 1 lit. b din Noul Cod de procedură civilă, fara o analiza efectiva a apărărilor noastre exprimate prin întâmpinare in fata instanţei de fond.</w:t>
      </w:r>
    </w:p>
    <w:p w:rsidRPr="00C137D9" w:rsidR="00D1166F" w14:paraId="5740D243" w14:textId="77777777">
      <w:pPr>
        <w:ind w:firstLine="720"/>
        <w:jc w:val="both"/>
      </w:pPr>
      <w:r w:rsidRPr="00C137D9">
        <w:t>Procesul civil român este guvernat de principii fundamentale reglementate în Capitolul II al Noului Cod de procedură civilă. în procesul civil, părţile au posibilitatea legală de a participa în mod activ la desfăşurarea judecăţii, atât prin susţinerea şi dovedirea drepturilor proprii, cât şi prin dreptul de a combate susţinerile părţii potrivnice şi de a-şi exprima poziţia faţă de măsurile pe care instanţa le poate dispune.</w:t>
      </w:r>
    </w:p>
    <w:p w:rsidRPr="00C137D9" w:rsidR="00D1166F" w14:paraId="6CCF33DF" w14:textId="77777777">
      <w:pPr>
        <w:ind w:firstLine="720"/>
        <w:jc w:val="both"/>
      </w:pPr>
      <w:r w:rsidRPr="00C137D9">
        <w:t>Rolul instanţei de control judiciar este acela de a raporta considerentele hotărârii de fond la situaţii de fapt şi de drept rezultate din probatoriul administrat şi de a stabili în ce măsură argumentele avute în adoptarea unei soluţii îşi găsesc sau nu suport în actele dosarului, pornind desigur de la criticile avute în vedere atunci când s-a exercitat această cale extraordinară de atac a recursului.</w:t>
      </w:r>
    </w:p>
    <w:p w:rsidRPr="00C137D9" w:rsidR="00D1166F" w14:paraId="6405E28D" w14:textId="77777777">
      <w:pPr>
        <w:ind w:firstLine="720"/>
        <w:jc w:val="both"/>
      </w:pPr>
      <w:r w:rsidRPr="00C137D9">
        <w:t>Textul art. 425 alin. 1 lit. b) din Noul Cod de procedură civilă consacră principiul potrivit căruia hotărârile trebuie să fie motivate în fapt şi în drept, iar nerespectarea acestui principiu constituie motiv de casare potrivit art.488 alin. l pct. 6 din Noul Cod de procedură civilă, rolul acestui text fiind acela de a se asigura o bună administrare a justiţiei şi pentru a se putea exercita controlul judiciar de către instanţele superioare. în cauza dedusă judecăţii, la pronunţarea sentinţei, instanţa de fond nu a procedat la o analiză efectivă a motivelor invocate de părţi, ci, aşa cum se constată din parcurgerea considerentelor hotărârii recurate, analiza s-a întemeiat doar pe susţinerile uneia dintre părţi, respectiv pe susţinerile reclamantei, fără a lua în considerare şi apărările formulate de către recurenta pârâtă prin întâmpinare.</w:t>
      </w:r>
    </w:p>
    <w:p w:rsidRPr="00C137D9" w:rsidR="00D1166F" w14:paraId="50D134D5" w14:textId="77777777">
      <w:pPr>
        <w:ind w:firstLine="720"/>
        <w:jc w:val="both"/>
      </w:pPr>
      <w:r w:rsidRPr="00C137D9">
        <w:t xml:space="preserve">Instanţa de fond nu a procedat la o analiză efectivă a apărărilor, ori, aşa cum rezultă din dispoziţiile art. 425 alin. 1 lit. b din Noul Cod de procedură civilă, care prevede ca în considerente se vor arăta „obiectul cererii şi susţinerile pe scurt ale părţilor, expunerea situaţiei de fapt reţinută de instanţă pe baza probelor administrate, motivele de fapt şi de drept pe care se întemeiază soluţia, arătându-se atât motivele pentru care s-au admis, cât şi cele pentru care s-au înlăturat cererile părţilor". </w:t>
      </w:r>
    </w:p>
    <w:p w:rsidRPr="00C137D9" w:rsidR="00D1166F" w14:paraId="04E4A1A7" w14:textId="77777777">
      <w:pPr>
        <w:ind w:firstLine="720"/>
        <w:jc w:val="both"/>
      </w:pPr>
      <w:r w:rsidRPr="00C137D9">
        <w:t>În cauza dedusă judecăţii, instanţa de fond s-a limitat la însuşirea punctului de vedere exprimat de reclamant în cererea de chemare în judecată şi nu a avut în vedere apărările în fapt şi în drept ale pârâtei dezvoltate pe larg în întâmpinare, ignorând astfel dispoziţiile art. 13 şi art. 14 alin. 6 şi art. 22 alin. 2 din Noul Cod de procedură civilă.</w:t>
      </w:r>
    </w:p>
    <w:p w:rsidRPr="00C137D9" w:rsidR="00D1166F" w14:paraId="521A4814" w14:textId="77777777">
      <w:pPr>
        <w:ind w:firstLine="720"/>
        <w:jc w:val="both"/>
      </w:pPr>
      <w:r w:rsidRPr="00C137D9">
        <w:t>Motivarea expusa prin întâmpinare dar şi prin concluziile scrise, a fost elaborată cu trimitere la acte si legislaţie.</w:t>
      </w:r>
    </w:p>
    <w:p w:rsidRPr="00C137D9" w:rsidR="00D1166F" w14:paraId="554BFAE2" w14:textId="77777777">
      <w:pPr>
        <w:ind w:firstLine="720"/>
        <w:jc w:val="both"/>
      </w:pPr>
      <w:r w:rsidRPr="00C137D9">
        <w:t>Neprocedând în acest mod, prin omisiunea instanţei de a analiza şi cerceta, în mod efectiv, prin considerentele hotărârii recurate, apărările noastre, apărări ce necesitau un răspuns specific şi explicit, au fost nesocotite dispoziţiile art. 425 alin. 1 lit. b N.C.proc.civ, criticile recurentei pârâte fiind întemeiate.</w:t>
      </w:r>
    </w:p>
    <w:p w:rsidRPr="00C137D9" w:rsidR="00D1166F" w14:paraId="5EE4A537" w14:textId="77777777">
      <w:pPr>
        <w:ind w:firstLine="720"/>
        <w:jc w:val="both"/>
      </w:pPr>
      <w:r w:rsidRPr="00C137D9">
        <w:t>O astfel de motivare face imposibilă analiza, în cadrul recursului, a legalităţii hotărârii instanţei de fond.</w:t>
      </w:r>
    </w:p>
    <w:p w:rsidRPr="00C137D9" w:rsidR="00D1166F" w14:paraId="04A30527" w14:textId="77777777">
      <w:pPr>
        <w:ind w:firstLine="720"/>
        <w:jc w:val="both"/>
      </w:pPr>
      <w:r w:rsidRPr="00C137D9">
        <w:t>Raţiunea şi obligativitatea motivării hotărârii judecătoreşti este prevăzută atât în interesul bunei  administrări a justiţiei şi a încrederii justiţiabililor în hotărârile judecătoreşti, cât şi pentru exercitarea controlului în căile de atac.</w:t>
      </w:r>
    </w:p>
    <w:p w:rsidRPr="00C137D9" w:rsidR="00D1166F" w14:paraId="7D09584B" w14:textId="77777777">
      <w:pPr>
        <w:ind w:firstLine="720"/>
        <w:jc w:val="both"/>
      </w:pPr>
      <w:r w:rsidRPr="00C137D9">
        <w:t>Aceste aspectele evidenţiate au consecinţe asupra justei soluţionări a cauzei şi pronunţării hotărâri judecătoreşti legale şi temeinice, ca act final al dezbaterii judiciare si trebuiau clarificate de instanţa de fond, motiv pentru care hotărârea recurată este casabilă potrivit art. 488 alin. 1 pct. 6 din Noul Cod de procedură civilă.</w:t>
      </w:r>
    </w:p>
    <w:p w:rsidRPr="00C137D9" w:rsidR="00D1166F" w14:paraId="6A8D3F1D" w14:textId="77777777">
      <w:pPr>
        <w:ind w:firstLine="720"/>
        <w:jc w:val="both"/>
      </w:pPr>
      <w:r w:rsidRPr="00C137D9">
        <w:t>Pentru aceste motive, solicită în temeiul art. 498 alin. 2 din Noul Cod de procedură civilă raportat la art. 488 alin. 1 pct. 6 din Noul Cod de procedură civilă, admiterea recursului, casarea sentinţei atacată şi trimiterea cauzei spre rejudecare la aceeaşi instanţă.</w:t>
      </w:r>
    </w:p>
    <w:p w:rsidRPr="00C137D9" w:rsidR="00D1166F" w14:paraId="47BB1DC4" w14:textId="77777777">
      <w:pPr>
        <w:ind w:firstLine="720"/>
        <w:jc w:val="both"/>
      </w:pPr>
      <w:r w:rsidRPr="00C137D9">
        <w:t>Soluţia instanţei din primul ciclu procesual este data cu încălcarea si aplicarea greşita a normelor de drept material, respectiv a criteriilor medicopsihosociale pe baza cărora se stabileşte încadrarea în grad şi tip de handicap reglementate de Ordinul 762/31.08.2007 cu modificările şi completările ulterioare.</w:t>
      </w:r>
    </w:p>
    <w:p w:rsidRPr="00C137D9" w:rsidR="00D1166F" w14:paraId="7071C70F" w14:textId="77777777">
      <w:pPr>
        <w:ind w:firstLine="720"/>
        <w:jc w:val="both"/>
      </w:pPr>
      <w:r w:rsidRPr="00C137D9">
        <w:t>Instanţa de fond a reţinut în mod nelegal că în raport de prevederile Ordinului nr. 762/2007 al MMFES nr. 1992 din 19 noiembrie 2007 al MSP faptul că încadrarea în grad de handicap nu este în conformitate cu prevederile Ordinului cât şi a actelor medicale depuse la dosarul cauzei.</w:t>
      </w:r>
    </w:p>
    <w:p w:rsidRPr="00C137D9" w:rsidR="00D1166F" w14:paraId="57EE8901" w14:textId="77777777">
      <w:pPr>
        <w:ind w:firstLine="720"/>
        <w:jc w:val="both"/>
      </w:pPr>
      <w:r w:rsidRPr="00C137D9">
        <w:t>La capitolul 2.I.- Funcţiile senzoriale in cadrul evaluării gradului de handicap in afectarea funcţiilor vederii se ia in considerare acuitatea vizuala (calitatea vederii) mono- binoculara (cu cea mai buna corecţie la ochiul cel mai bun).</w:t>
      </w:r>
    </w:p>
    <w:p w:rsidRPr="00C137D9" w:rsidR="00D1166F" w14:paraId="750ABD42" w14:textId="77777777">
      <w:pPr>
        <w:ind w:firstLine="720"/>
        <w:jc w:val="both"/>
      </w:pPr>
      <w:r w:rsidRPr="00C137D9">
        <w:t>Tot in cadrul capitolului 2.1, la ACTIVITATI-LIMITARI este prevăzuta rubrica in care, ”NU permis de conducere de orice tip conform legislaţiei in domeniu”, specificat de asemenea in PROGRAMUL INDIVIDUAL de reabilitare si integrare sociala, secţiunea acţiuni medicale, parte integranta la certificatul de încadrare in gradul de handicap.</w:t>
      </w:r>
    </w:p>
    <w:p w:rsidRPr="00C137D9" w:rsidR="00D1166F" w14:paraId="380B7B46" w14:textId="77777777">
      <w:pPr>
        <w:ind w:firstLine="720"/>
        <w:jc w:val="both"/>
      </w:pPr>
      <w:r w:rsidRPr="00C137D9">
        <w:t>Instanţa a nesocotit criteriilor medico-psihosociale aprobate prin Ordinul 762/31.08.2007 al Ministrului Muncii Familiei şi Egalităţii de Şanse şi 1992/19.11.2007 al Ministrului Sănătăţii Publice, cu modificările şi completările ulterioare, cap.2/I - afecţiuni ale funcţiilor vizuale, unde deficienţa funcţională medie se caracterizează prin faptul că persoana are acuitatea vizuala 1/8 (0,12) -1/10 (0,10) cu corecţie optima la ochiul cel mai bun, adică intre 5-6 metri, iar deficienţa funcţională accentuata se caracterizează prin faptul că persoana are acuitatea vizuala 1/12 (0,08) (4 m) -1/25 (0,04) (2 m) la ochiul cel mai bun, adică intre 2-4 metri.</w:t>
      </w:r>
    </w:p>
    <w:p w:rsidRPr="00C137D9" w:rsidR="00D1166F" w14:paraId="2B84EE4B" w14:textId="77777777">
      <w:pPr>
        <w:ind w:firstLine="720"/>
        <w:jc w:val="both"/>
      </w:pPr>
      <w:r w:rsidRPr="00C137D9">
        <w:t>Totodată, instrucţiunea metodologica nr.9 emisa la data de 19.05.2015 stipulează: "în situaţia in care medicul din cadrul serviciului de evaluare complexa, in urma prezentării la evaluare, observa o neconcordanta intre starea de fapt si documentele medicale, poate solicita in conformitate cu prevederile procedurii de evaluare, o noua examinare medicala de la un alt medic specialist".</w:t>
      </w:r>
    </w:p>
    <w:p w:rsidRPr="00C137D9" w:rsidR="00D1166F" w14:paraId="25B68020" w14:textId="0FAD5783">
      <w:pPr>
        <w:ind w:firstLine="720"/>
        <w:jc w:val="both"/>
      </w:pPr>
      <w:r w:rsidRPr="00C137D9">
        <w:t>Acesta este motivul pentru care s-a solicitat si-a fost depus referatul medical cu nr.</w:t>
      </w:r>
      <w:r w:rsidRPr="00C137D9" w:rsidR="003076FC">
        <w:t>......</w:t>
      </w:r>
      <w:r w:rsidRPr="00C137D9">
        <w:t xml:space="preserve">/07.12.2018, emis de Spitalul Clinic Judeţean de Urgenta </w:t>
      </w:r>
      <w:r w:rsidRPr="00C137D9" w:rsidR="00C137D9">
        <w:t>...X...</w:t>
      </w:r>
      <w:r w:rsidRPr="00C137D9">
        <w:t>, unde medicul oftalmolog a prezentat la examenul obiectiv detaliat acuitatiile vizuale: VOD = 2/50 cu - 2,50 cyl ax 75° = 1/10 (vede la 2m, iar cu corecţie vede la 5m distanta - corespunzător gradului mediu), VOS = fpl (fara percepţie luminoasa).</w:t>
      </w:r>
    </w:p>
    <w:p w:rsidRPr="00C137D9" w:rsidR="00D1166F" w14:paraId="655E0D09" w14:textId="77777777">
      <w:pPr>
        <w:ind w:firstLine="720"/>
        <w:jc w:val="both"/>
      </w:pPr>
      <w:r w:rsidRPr="00C137D9">
        <w:t>Astfel reclamantul a prezentat la acuitatea ochiului drept valoare incadrabila in gradul mediu, iar m cadrul evaluării statusului senzorial si psihoafectiv al persoanei acuitatea vizuala este in contextul vârstei si afecţiunilor.</w:t>
      </w:r>
    </w:p>
    <w:p w:rsidRPr="00C137D9" w:rsidR="00D1166F" w14:paraId="64270210" w14:textId="77777777">
      <w:pPr>
        <w:ind w:firstLine="720"/>
        <w:jc w:val="both"/>
      </w:pPr>
      <w:r w:rsidRPr="00C137D9">
        <w:t>Raportul de expertiza medico legala, instanţa a reţinut faptul ca reclamantul are pierduta total vederea la ochiul stâng, iar vederea la ochiul drept este progresiva si se datorează afectării nervului optic prin glaucomul avansat, care este doar parţial compensat medicamentos, afecţiunile fiind progresive si ireversibile, insa afecţiunea nu împiedica vederea la ochiul drept care distinge cu corecţie la 1/10 (vede la 5 metri distanta), ca atare corespunde gradului mediu.</w:t>
      </w:r>
    </w:p>
    <w:p w:rsidRPr="00C137D9" w:rsidR="00D1166F" w14:paraId="4786F9F3" w14:textId="57DF93C9">
      <w:pPr>
        <w:ind w:firstLine="720"/>
        <w:jc w:val="both"/>
      </w:pPr>
      <w:r w:rsidRPr="00C137D9">
        <w:t xml:space="preserve">Greşit Tribunalul </w:t>
      </w:r>
      <w:r w:rsidRPr="00C137D9" w:rsidR="003076FC">
        <w:t>...A...</w:t>
      </w:r>
      <w:r w:rsidRPr="00C137D9">
        <w:t xml:space="preserve"> a dispus si acordarea gradului de handicap permanent, reţinând ca afecţiunea este ireversibila, incalcand dispoziţiile Instrucţiunea metodologică nr. 6/31.07.2014.</w:t>
      </w:r>
    </w:p>
    <w:p w:rsidRPr="00C137D9" w:rsidR="00D1166F" w14:paraId="202FCCD3" w14:textId="77777777">
      <w:pPr>
        <w:ind w:firstLine="720"/>
        <w:jc w:val="both"/>
      </w:pPr>
      <w:r w:rsidRPr="00C137D9">
        <w:t>Pentru a se stabili dacă capăt doi de cerere al acţiunii este sau nu întemeiat trebuie avut în vedere dispoziţiile speciale în această materie reglementate de Instrucţiunea metodologică nr. 6/31.07.2014 emisă de Ministerul Muncii şi Justiţiei Sociale.</w:t>
      </w:r>
    </w:p>
    <w:p w:rsidRPr="00C137D9" w:rsidR="00D1166F" w14:paraId="64D1838E" w14:textId="77777777">
      <w:pPr>
        <w:ind w:firstLine="720"/>
        <w:jc w:val="both"/>
      </w:pPr>
      <w:r w:rsidRPr="00C137D9">
        <w:t xml:space="preserve">Potrivit dispoziţiilor Instrucţiunii metodologice nr. 6/31.07.2014 emisă de Ministerul Muncii şi Justiţiei Sociale se prevede că se poate emite certificat de încadrare în grad de </w:t>
      </w:r>
      <w:r w:rsidRPr="00C137D9">
        <w:t>handicap cu termen de valabilitate permanent pentru acele persoane care la a doua evaluare au vârsta peste 75 de ani şi afecţiunea este structural anatomic într-un stadiu ireversibil.</w:t>
      </w:r>
    </w:p>
    <w:p w:rsidRPr="00C137D9" w:rsidR="00D1166F" w14:paraId="54B0D4AC" w14:textId="1E2CE36E">
      <w:pPr>
        <w:ind w:firstLine="720"/>
        <w:jc w:val="both"/>
      </w:pPr>
      <w:r w:rsidRPr="00C137D9">
        <w:t xml:space="preserve">In cauză nu sunt îndeplinite cerinţele impuse de Instrucţiunea metodologică nr. 6/31.07.2014, în condiţiile în care reclamantul </w:t>
      </w:r>
      <w:r w:rsidRPr="00C137D9" w:rsidR="003076FC">
        <w:t>...Y...</w:t>
      </w:r>
      <w:r w:rsidRPr="00C137D9">
        <w:t xml:space="preserve"> nu avea vârsta peste 75 ani la momentul evaluării acesteia în vederea emiterii certificatului de încadrare în grad de handicap contestat în prezenta cauză.</w:t>
      </w:r>
    </w:p>
    <w:p w:rsidRPr="00C137D9" w:rsidR="00D1166F" w14:paraId="1EDBAE84" w14:textId="06D7F347">
      <w:pPr>
        <w:ind w:firstLine="720"/>
        <w:jc w:val="both"/>
      </w:pPr>
      <w:r w:rsidRPr="00C137D9">
        <w:t xml:space="preserve">Din actele prezentate, nu rezulta ca afecţiunile de care suferă reclamantul la ochiul drept sunt ireversibile, referatul </w:t>
      </w:r>
      <w:r w:rsidRPr="00C137D9" w:rsidR="003076FC">
        <w:t>......</w:t>
      </w:r>
      <w:r w:rsidRPr="00C137D9">
        <w:t>/2018 reţinut de instant referindu-se la ochiul stâng si nu drept.</w:t>
      </w:r>
    </w:p>
    <w:p w:rsidRPr="00C137D9" w:rsidR="00D1166F" w14:paraId="6CC2C43C" w14:textId="77777777">
      <w:pPr>
        <w:ind w:firstLine="720"/>
        <w:jc w:val="both"/>
      </w:pPr>
      <w:r w:rsidRPr="00C137D9">
        <w:t>Totodată nu impune acordarea valabilităţii permanente, întrucât nu este specificat in niciun act medical depus la evaluare ca bolnavul este irecuperabil la ochiul drept, in cuprinsul referatele medicale depuse la evaluare existând program de recuperare la ochiul drept.</w:t>
      </w:r>
    </w:p>
    <w:p w:rsidRPr="00C137D9" w:rsidR="00D1166F" w14:paraId="06EF1A2D" w14:textId="77777777">
      <w:pPr>
        <w:ind w:firstLine="720"/>
        <w:jc w:val="both"/>
      </w:pPr>
      <w:r w:rsidRPr="00C137D9">
        <w:t>Solicitam in consecinţa admiterea recursului, casarea sentinţei recurate si intr-o prima teza trimiterea cauzei spre rejudecare si intr-o teza subsidiara rejudecand cauza sa respingeri acţiunea ca nefondata.</w:t>
      </w:r>
    </w:p>
    <w:p w:rsidRPr="00C137D9" w:rsidR="00D1166F" w14:paraId="1DCBE4E0" w14:textId="77777777">
      <w:pPr>
        <w:ind w:firstLine="720"/>
        <w:jc w:val="both"/>
      </w:pPr>
      <w:r w:rsidRPr="00C137D9">
        <w:t>În drept, recurenta şi-a întemeiat susţinerile pe dispoziţiile art. 488 pct. 6 si 8 N.C.Pr.Civila.</w:t>
      </w:r>
    </w:p>
    <w:p w:rsidRPr="00C137D9" w:rsidR="00D1166F" w14:paraId="32182584" w14:textId="77777777">
      <w:pPr>
        <w:ind w:firstLine="720"/>
        <w:jc w:val="both"/>
      </w:pPr>
      <w:r w:rsidRPr="00C137D9">
        <w:rPr>
          <w:rStyle w:val="Fontdeparagrafimplicit"/>
          <w:i/>
        </w:rPr>
        <w:t xml:space="preserve">La data de 23.12.2019, intimatul reclamant a depus la dosar întâmpinare, </w:t>
      </w:r>
      <w:r w:rsidRPr="00C137D9">
        <w:t xml:space="preserve">prin care a solicitat, în esenţă, respingerea recursului ca nefondat şi menţinerea sentinţei recurate ca temeinică şi legală. </w:t>
      </w:r>
    </w:p>
    <w:p w:rsidRPr="00C137D9" w:rsidR="00D1166F" w14:paraId="6363FF02" w14:textId="77777777">
      <w:pPr>
        <w:ind w:firstLine="720"/>
        <w:jc w:val="both"/>
        <w:rPr>
          <w:rStyle w:val="Fontdeparagrafimplicit"/>
          <w:b/>
        </w:rPr>
      </w:pPr>
      <w:r w:rsidRPr="00C137D9">
        <w:rPr>
          <w:rStyle w:val="Fontdeparagrafimplicit"/>
          <w:b/>
        </w:rPr>
        <w:t>Examinând recursul prin prisma motivelor formulate şi dispoziţiilor legale incidente în cauză, Curtea constată că:</w:t>
      </w:r>
    </w:p>
    <w:p w:rsidRPr="00C137D9" w:rsidR="00D1166F" w14:paraId="0E3AE990" w14:textId="77777777">
      <w:pPr>
        <w:ind w:firstLine="720"/>
        <w:jc w:val="both"/>
      </w:pPr>
      <w:r w:rsidRPr="00C137D9">
        <w:t>În cuprinsul recursului au fost invocate motivele de nelegalitate prevăzute de art.488 alin.1 pct.6 și 8 din c.p.c. (când hotărârea nu cuprinde motivele pe care se întemeiază sau când cuprinde motive contradictorii ori numai motive străine de natura cauzei, respectiv când hotărârea a fost dată cu încălcarea sau aplicarea greșită a normelor de drept material), în concret fiind precizat că soluția instanței de fond este nemotivată în fapt și în drept în sensul art.425 alin.1 lit.b din c.p.c., precum și că aceasta a încălcat și aplicat greșit unele norme de drept material, respectiv cele care reglementau criteriile medicopsihosociale pe baza cărora se stabilește încadrarea în grad și tip de handicap reglementate de Ordinul nr.762/2007 al M.M.F.E.S. și nr.1992/2007 al M.S.P.</w:t>
      </w:r>
    </w:p>
    <w:p w:rsidRPr="00C137D9" w:rsidR="00D1166F" w14:paraId="051EFA21" w14:textId="77777777">
      <w:pPr>
        <w:ind w:firstLine="720"/>
        <w:jc w:val="both"/>
      </w:pPr>
      <w:r w:rsidRPr="00C137D9">
        <w:t>Analizând prima critică, curtea observă că soluția recurată a fost amplu motivată de către tribunal, acesta argumentând în fapt și în drept admisibilitatea acțiunii introductive în sensul art.425 alin.1 lit.b din c.p.c., dar și a jurisprudenței constante a Curții Europene a Drepturilor Omului în aplicarea art.6 alin.1 din convenție privind dreptul la un proces echitabil sub aspectul obligației instanței de a proceda la un examen efectiv al mijloacelor, argumentelor și al elementelor de probă ale tuturor părților, cel puțin pentru a le aprecia pertinența (Hotărârea Albina împotriva României și Gheorghe împotriva României).</w:t>
      </w:r>
    </w:p>
    <w:p w:rsidRPr="00C137D9" w:rsidR="00D1166F" w14:paraId="106E7C0A" w14:textId="77777777">
      <w:pPr>
        <w:ind w:firstLine="720"/>
        <w:jc w:val="both"/>
      </w:pPr>
      <w:r w:rsidRPr="00C137D9">
        <w:t>În ceea ce privește cea de-a doua critică, respectiv pronunțarea sentinței recurate cu încălcarea criteriilor medicopsihosociale de încadrare în grad de handicap prevăzute de Ordinul nr.762/2007 al M.M.F.E.S. și nr.1992/2007 al M.S.P., se apreciază de curte că instanța de fond a realizat o corectă interpretare și aplicare, în cazul intimatului reclamant, a prevederilor Capitolului 2.1. – Funcții senzoriale, din acest acest ordin comun.</w:t>
      </w:r>
    </w:p>
    <w:p w:rsidRPr="00C137D9" w:rsidR="00D1166F" w14:paraId="79993A03" w14:textId="77777777">
      <w:pPr>
        <w:ind w:firstLine="720"/>
        <w:jc w:val="both"/>
      </w:pPr>
      <w:r w:rsidRPr="00C137D9">
        <w:t>Referitor la situația intimatului din prezenta cauză, tribunalul a analizat ansamblul actelor medicale întocmite în procesul de stabilire a gradului de handicap și termenului de valabilitate (raportul de evaluare complexă, referatele medicale, raportul de expertiză medico-legală și răspunsul la obiecțiunile formulate la acesta), concluzionând corect că certificatul contestat este nelegal și netemeinic atât sub aspectul formei (nemotivat), cât și al concluziilor stabilite prin conținutul său, cu atât mai mult cu cât anterior acestuia i s-a eliberat (la data de 16.10.2014) un alt certificat cu grad de handicap accentuat și valabilitate permanentă iar afecțiunile de care suferă au progresat de atunci, devenind ireversibile.</w:t>
      </w:r>
    </w:p>
    <w:p w:rsidRPr="00C137D9" w:rsidR="00D1166F" w14:paraId="06536FA4" w14:textId="03231DBE">
      <w:pPr>
        <w:ind w:firstLine="720"/>
        <w:jc w:val="both"/>
      </w:pPr>
      <w:r w:rsidRPr="00C137D9">
        <w:t xml:space="preserve">Curtea nu poate reține nici argumentul recurentului că au fost greșit aplicate dispozițiile din Instrucțiunea metodologică nr.6/31.07.2014 emisă de Ministerul Muncii și Justiției Sociale, în condițiile în care intimatul, fiind născut în anul 1937, avea peste 75 de ani </w:t>
      </w:r>
      <w:r w:rsidRPr="00C137D9">
        <w:t xml:space="preserve">la data evaluării, iar caracterul ireversibil al afecțiunilor a fost confirmat  nu numai de referatul </w:t>
      </w:r>
      <w:r w:rsidRPr="00C137D9" w:rsidR="003076FC">
        <w:t>......</w:t>
      </w:r>
      <w:r w:rsidRPr="00C137D9">
        <w:t>/2018, ci și de raportul de expertiză efectuat în cauză.</w:t>
      </w:r>
    </w:p>
    <w:p w:rsidRPr="00C137D9" w:rsidR="00D1166F" w14:paraId="49EEA571" w14:textId="77777777">
      <w:pPr>
        <w:ind w:firstLine="720"/>
        <w:jc w:val="both"/>
      </w:pPr>
      <w:r w:rsidRPr="00C137D9">
        <w:t xml:space="preserve">Având în vedere considerentele anterioare din care nu rezultă existența în cauză a nici unuia din cele două motive de nelegalitate invocate (art.488 alin.1 pct.6 și 8 din c.p.c.), curtea urmează ca în baza art.498 alin.1 din c.p.c. să respingă recursul ca nefondat. </w:t>
      </w:r>
    </w:p>
    <w:p w:rsidRPr="00C137D9" w:rsidR="00D1166F" w14:paraId="634DC919" w14:textId="77777777"/>
    <w:p w:rsidRPr="00C137D9" w:rsidR="00D1166F" w14:paraId="3A28B73F" w14:textId="77777777">
      <w:pPr>
        <w:jc w:val="center"/>
        <w:rPr>
          <w:rStyle w:val="Fontdeparagrafimplicit"/>
          <w:b/>
        </w:rPr>
      </w:pPr>
      <w:r w:rsidRPr="00C137D9">
        <w:rPr>
          <w:rStyle w:val="Fontdeparagrafimplicit"/>
          <w:b/>
        </w:rPr>
        <w:t>PENTRU ACESTE MOTIVE,</w:t>
      </w:r>
      <w:r w:rsidRPr="00C137D9">
        <w:rPr>
          <w:rStyle w:val="Fontdeparagrafimplicit"/>
          <w:b/>
        </w:rPr>
        <w:br/>
        <w:t>ÎN NUMELE LEGII</w:t>
      </w:r>
    </w:p>
    <w:p w:rsidRPr="00C137D9" w:rsidR="00D1166F" w14:paraId="470ACCB2" w14:textId="77777777">
      <w:pPr>
        <w:jc w:val="center"/>
        <w:rPr>
          <w:rStyle w:val="Fontdeparagrafimplicit"/>
        </w:rPr>
      </w:pPr>
      <w:r w:rsidRPr="00C137D9">
        <w:rPr>
          <w:rStyle w:val="Fontdeparagrafimplicit"/>
          <w:b/>
        </w:rPr>
        <w:t>DECIDE</w:t>
      </w:r>
    </w:p>
    <w:p w:rsidRPr="00C137D9" w:rsidR="00D1166F" w14:paraId="045B9638" w14:textId="77777777">
      <w:pPr>
        <w:rPr>
          <w:rStyle w:val="Fontdeparagrafimplicit"/>
        </w:rPr>
      </w:pPr>
    </w:p>
    <w:p w:rsidRPr="00C137D9" w:rsidR="00D1166F" w14:paraId="489E95BF" w14:textId="6040AB2C">
      <w:pPr>
        <w:ind w:firstLine="720"/>
        <w:jc w:val="both"/>
      </w:pPr>
      <w:r w:rsidRPr="00C137D9">
        <w:t xml:space="preserve">Respinge recursul formulat de pârâta </w:t>
      </w:r>
      <w:r w:rsidRPr="00C137D9">
        <w:rPr>
          <w:rStyle w:val="Fontdeparagrafimplicit"/>
          <w:b/>
        </w:rPr>
        <w:t xml:space="preserve">COMISIA DE EVALUARE A PERSOANELOR ADULTE CU HANDICAP </w:t>
      </w:r>
      <w:r w:rsidRPr="00C137D9" w:rsidR="003076FC">
        <w:rPr>
          <w:rStyle w:val="Fontdeparagrafimplicit"/>
          <w:b/>
        </w:rPr>
        <w:t>...A...</w:t>
      </w:r>
      <w:r w:rsidRPr="00C137D9">
        <w:rPr>
          <w:rStyle w:val="Fontdeparagrafimplicit"/>
          <w:b/>
        </w:rPr>
        <w:t xml:space="preserve">  PRIN DIRECŢIA GENERALĂ DE ASISTENŢĂ SOCIALĂ ŞI PROTECŢIA COPILULUI </w:t>
      </w:r>
      <w:r w:rsidRPr="00C137D9" w:rsidR="003076FC">
        <w:rPr>
          <w:rStyle w:val="Fontdeparagrafimplicit"/>
          <w:b/>
        </w:rPr>
        <w:t>...A...</w:t>
      </w:r>
      <w:r w:rsidRPr="00C137D9">
        <w:rPr>
          <w:rStyle w:val="Fontdeparagrafimplicit"/>
          <w:b/>
        </w:rPr>
        <w:t xml:space="preserve">, </w:t>
      </w:r>
      <w:r w:rsidRPr="00C137D9">
        <w:t xml:space="preserve">împotriva sentinţei nr. </w:t>
      </w:r>
      <w:r w:rsidRPr="00C137D9" w:rsidR="003076FC">
        <w:t>...../..............</w:t>
      </w:r>
      <w:r w:rsidRPr="00C137D9">
        <w:t xml:space="preserve">, pronunţată de Tribunalul </w:t>
      </w:r>
      <w:r w:rsidRPr="00C137D9" w:rsidR="003076FC">
        <w:t>...A...</w:t>
      </w:r>
      <w:r w:rsidRPr="00C137D9">
        <w:t xml:space="preserve">, în dosarul nr. </w:t>
      </w:r>
      <w:r w:rsidRPr="00C137D9" w:rsidR="00511977">
        <w:t>..../.../2019</w:t>
      </w:r>
      <w:r w:rsidRPr="00C137D9">
        <w:t xml:space="preserve">, în contradictoriu cu intimatul </w:t>
      </w:r>
      <w:r w:rsidRPr="00C137D9" w:rsidR="00D55B98">
        <w:rPr>
          <w:rStyle w:val="Fontdeparagrafimplicit"/>
          <w:b/>
        </w:rPr>
        <w:t>...Y...</w:t>
      </w:r>
      <w:r w:rsidRPr="00C137D9">
        <w:rPr>
          <w:rStyle w:val="Fontdeparagrafimplicit"/>
          <w:b/>
        </w:rPr>
        <w:t xml:space="preserve">, </w:t>
      </w:r>
      <w:r w:rsidRPr="00C137D9">
        <w:t>ca nefondat.</w:t>
      </w:r>
    </w:p>
    <w:p w:rsidRPr="00C137D9" w:rsidR="00D1166F" w14:paraId="06E38B18" w14:textId="77777777">
      <w:pPr>
        <w:ind w:firstLine="720"/>
        <w:jc w:val="both"/>
      </w:pPr>
      <w:r w:rsidRPr="00C137D9">
        <w:t>Definitivă.</w:t>
      </w:r>
    </w:p>
    <w:p w:rsidRPr="00C137D9" w:rsidR="00D1166F" w14:paraId="625BCEDD" w14:textId="7EE28628">
      <w:pPr>
        <w:ind w:firstLine="720"/>
        <w:jc w:val="both"/>
      </w:pPr>
      <w:r w:rsidRPr="00C137D9">
        <w:t xml:space="preserve">Pronunţată azi, </w:t>
      </w:r>
      <w:r w:rsidRPr="00C137D9" w:rsidR="003076FC">
        <w:t>................</w:t>
      </w:r>
      <w:r w:rsidRPr="00C137D9">
        <w:t>, prin punerea soluţiei la dispoziţia părţilor de către grefa instanţei.</w:t>
      </w:r>
    </w:p>
    <w:p w:rsidRPr="00C137D9" w:rsidR="00D1166F" w14:paraId="771BE87F" w14:textId="77777777"/>
    <w:p w:rsidRPr="00C137D9" w:rsidR="00D1166F" w14:paraId="04B345C7" w14:textId="77777777">
      <w:pPr>
        <w:jc w:val="center"/>
      </w:pPr>
      <w:bookmarkStart w:name="completul_1" w:id="7"/>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58B98E6E" w14:textId="77777777">
        <w:tblPrEx>
          <w:tblW w:w="0" w:type="auto"/>
          <w:tblLook w:val="04A0"/>
        </w:tblPrEx>
        <w:tc>
          <w:tcPr>
            <w:tcW w:w="3096" w:type="dxa"/>
            <w:tcBorders>
              <w:top w:val="single" w:color="FFFFFF" w:sz="4" w:space="0"/>
              <w:left w:val="single" w:color="FFFFFF" w:sz="4" w:space="0"/>
              <w:bottom w:val="single" w:color="FFFFFF" w:sz="4" w:space="0"/>
              <w:right w:val="single" w:color="FFFFFF" w:sz="4" w:space="0"/>
            </w:tcBorders>
          </w:tcPr>
          <w:p w:rsidRPr="00C137D9" w:rsidR="00D1166F" w14:paraId="6C889DA9" w14:textId="77777777">
            <w:pPr>
              <w:jc w:val="center"/>
            </w:pPr>
            <w:r w:rsidRPr="00C137D9">
              <w:t>Preşedinte,</w:t>
            </w:r>
          </w:p>
          <w:p w:rsidRPr="00C137D9" w:rsidR="00D1166F" w14:paraId="50154957" w14:textId="298F7D93">
            <w:pPr>
              <w:jc w:val="center"/>
            </w:pPr>
            <w:r w:rsidRPr="00C137D9">
              <w:t>..................</w:t>
            </w:r>
          </w:p>
        </w:tc>
        <w:tc>
          <w:tcPr>
            <w:tcW w:w="3096" w:type="dxa"/>
            <w:tcBorders>
              <w:top w:val="single" w:color="FFFFFF" w:sz="4" w:space="0"/>
              <w:left w:val="single" w:color="FFFFFF" w:sz="4" w:space="0"/>
              <w:bottom w:val="single" w:color="FFFFFF" w:sz="4" w:space="0"/>
              <w:right w:val="single" w:color="FFFFFF" w:sz="4" w:space="0"/>
            </w:tcBorders>
          </w:tcPr>
          <w:p w:rsidRPr="00C137D9" w:rsidR="00D1166F" w14:paraId="5BAB6CA4" w14:textId="77777777">
            <w:pPr>
              <w:jc w:val="center"/>
            </w:pPr>
            <w:r w:rsidRPr="00C137D9">
              <w:t>Judecător,</w:t>
            </w:r>
          </w:p>
          <w:p w:rsidRPr="00C137D9" w:rsidR="00D1166F" w14:paraId="5A73A7D8" w14:textId="31B2773C">
            <w:pPr>
              <w:jc w:val="center"/>
            </w:pPr>
            <w:r w:rsidRPr="00C137D9">
              <w:t>..................</w:t>
            </w:r>
          </w:p>
        </w:tc>
        <w:tc>
          <w:tcPr>
            <w:tcW w:w="3096" w:type="dxa"/>
            <w:tcBorders>
              <w:top w:val="single" w:color="FFFFFF" w:sz="4" w:space="0"/>
              <w:left w:val="single" w:color="FFFFFF" w:sz="4" w:space="0"/>
              <w:bottom w:val="single" w:color="FFFFFF" w:sz="4" w:space="0"/>
              <w:right w:val="single" w:color="FFFFFF" w:sz="4" w:space="0"/>
            </w:tcBorders>
          </w:tcPr>
          <w:p w:rsidRPr="00C137D9" w:rsidR="00D1166F" w14:paraId="21FAE243" w14:textId="77777777">
            <w:pPr>
              <w:jc w:val="center"/>
            </w:pPr>
            <w:r w:rsidRPr="00C137D9">
              <w:t>Judecător,</w:t>
            </w:r>
          </w:p>
          <w:p w:rsidRPr="00C137D9" w:rsidR="00D1166F" w14:paraId="30C6E12F" w14:textId="0D6685CE">
            <w:pPr>
              <w:jc w:val="center"/>
            </w:pPr>
            <w:r w:rsidRPr="00C137D9">
              <w:t>A0001</w:t>
            </w:r>
          </w:p>
        </w:tc>
      </w:tr>
      <w:tr w14:paraId="434EBEF7" w14:textId="77777777">
        <w:tblPrEx>
          <w:tblW w:w="0" w:type="auto"/>
          <w:tblLook w:val="04A0"/>
        </w:tblPrEx>
        <w:tc>
          <w:tcPr>
            <w:tcW w:w="3096" w:type="dxa"/>
            <w:tcBorders>
              <w:top w:val="single" w:color="FFFFFF" w:sz="4" w:space="0"/>
              <w:left w:val="single" w:color="FFFFFF" w:sz="4" w:space="0"/>
              <w:bottom w:val="single" w:color="FFFFFF" w:sz="4" w:space="0"/>
              <w:right w:val="single" w:color="FFFFFF" w:sz="4" w:space="0"/>
            </w:tcBorders>
          </w:tcPr>
          <w:p w:rsidRPr="00C137D9" w:rsidR="00D1166F" w14:paraId="619A014D" w14:textId="77777777">
            <w:pPr>
              <w:jc w:val="center"/>
            </w:pPr>
          </w:p>
        </w:tc>
        <w:tc>
          <w:tcPr>
            <w:tcW w:w="3096" w:type="dxa"/>
            <w:tcBorders>
              <w:top w:val="single" w:color="FFFFFF" w:sz="4" w:space="0"/>
              <w:left w:val="single" w:color="FFFFFF" w:sz="4" w:space="0"/>
              <w:bottom w:val="single" w:color="FFFFFF" w:sz="4" w:space="0"/>
              <w:right w:val="single" w:color="FFFFFF" w:sz="4" w:space="0"/>
            </w:tcBorders>
          </w:tcPr>
          <w:p w:rsidRPr="00C137D9" w:rsidR="00D1166F" w14:paraId="6C30E407" w14:textId="77777777">
            <w:pPr>
              <w:jc w:val="center"/>
            </w:pPr>
            <w:r w:rsidRPr="00C137D9">
              <w:t>Pentru Grefier,</w:t>
            </w:r>
          </w:p>
          <w:p w:rsidRPr="00C137D9" w:rsidR="00D1166F" w14:paraId="2AA8C074" w14:textId="3BF25C34">
            <w:pPr>
              <w:jc w:val="center"/>
            </w:pPr>
            <w:r w:rsidRPr="00C137D9">
              <w:t>..................</w:t>
            </w:r>
          </w:p>
        </w:tc>
        <w:tc>
          <w:tcPr>
            <w:tcW w:w="3096" w:type="dxa"/>
            <w:tcBorders>
              <w:top w:val="single" w:color="FFFFFF" w:sz="4" w:space="0"/>
              <w:left w:val="single" w:color="FFFFFF" w:sz="4" w:space="0"/>
              <w:bottom w:val="single" w:color="FFFFFF" w:sz="4" w:space="0"/>
              <w:right w:val="single" w:color="FFFFFF" w:sz="4" w:space="0"/>
            </w:tcBorders>
          </w:tcPr>
          <w:p w:rsidRPr="00C137D9" w:rsidR="00D1166F" w14:paraId="26EBE8CD" w14:textId="77777777">
            <w:pPr>
              <w:jc w:val="center"/>
            </w:pPr>
          </w:p>
        </w:tc>
      </w:tr>
    </w:tbl>
    <w:p w:rsidRPr="00C137D9" w:rsidR="00D1166F" w14:paraId="3F00CFF0" w14:textId="77777777">
      <w:pPr>
        <w:jc w:val="center"/>
      </w:pPr>
      <w:bookmarkEnd w:id="7"/>
      <w:r w:rsidRPr="00C137D9">
        <w:t>care nu mai funcţionează în cadrul instanţei</w:t>
      </w:r>
    </w:p>
    <w:p w:rsidRPr="00C137D9" w:rsidR="00D1166F" w14:paraId="1D360B99" w14:textId="77777777">
      <w:pPr>
        <w:jc w:val="center"/>
      </w:pPr>
      <w:r w:rsidRPr="00C137D9">
        <w:t>semnează grefier şef</w:t>
      </w:r>
    </w:p>
    <w:p w:rsidRPr="00C137D9" w:rsidR="00D1166F" w14:paraId="3D67A527" w14:textId="77777777">
      <w:pPr>
        <w:jc w:val="center"/>
      </w:pPr>
    </w:p>
    <w:p w:rsidRPr="00C137D9" w:rsidR="00D1166F" w14:paraId="4C37A854" w14:textId="657250BF">
      <w:pPr>
        <w:rPr>
          <w:rStyle w:val="Fontdeparagrafimplicit"/>
          <w:sz w:val="16"/>
        </w:rPr>
      </w:pPr>
      <w:r w:rsidRPr="00C137D9">
        <w:rPr>
          <w:rStyle w:val="Fontdeparagrafimplicit"/>
          <w:sz w:val="16"/>
        </w:rPr>
        <w:t xml:space="preserve">Red. jud. </w:t>
      </w:r>
      <w:r w:rsidRPr="00C137D9" w:rsidR="00E539DB">
        <w:rPr>
          <w:rStyle w:val="Fontdeparagrafimplicit"/>
          <w:sz w:val="16"/>
        </w:rPr>
        <w:t>A0001</w:t>
      </w:r>
      <w:r w:rsidRPr="00C137D9">
        <w:rPr>
          <w:rStyle w:val="Fontdeparagrafimplicit"/>
          <w:sz w:val="16"/>
        </w:rPr>
        <w:t>/</w:t>
      </w:r>
      <w:r w:rsidRPr="00C137D9" w:rsidR="00E539DB">
        <w:rPr>
          <w:rStyle w:val="Fontdeparagrafimplicit"/>
          <w:sz w:val="16"/>
        </w:rPr>
        <w:t>............</w:t>
      </w:r>
    </w:p>
    <w:p w:rsidRPr="00C137D9" w:rsidR="00D1166F" w14:paraId="0E416C38" w14:textId="6B4260BB">
      <w:pPr>
        <w:rPr>
          <w:rStyle w:val="Fontdeparagrafimplicit"/>
          <w:sz w:val="16"/>
        </w:rPr>
      </w:pPr>
      <w:r w:rsidRPr="00C137D9">
        <w:rPr>
          <w:rStyle w:val="Fontdeparagrafimplicit"/>
          <w:sz w:val="16"/>
        </w:rPr>
        <w:t xml:space="preserve">Tehnored. </w:t>
      </w:r>
      <w:r w:rsidRPr="00C137D9" w:rsidR="00E539DB">
        <w:rPr>
          <w:rStyle w:val="Fontdeparagrafimplicit"/>
          <w:sz w:val="16"/>
        </w:rPr>
        <w:t>............</w:t>
      </w:r>
      <w:r w:rsidRPr="00C137D9">
        <w:rPr>
          <w:rStyle w:val="Fontdeparagrafimplicit"/>
          <w:sz w:val="16"/>
        </w:rPr>
        <w:t>./4 ex.</w:t>
      </w:r>
    </w:p>
    <w:p w:rsidR="00D1166F" w14:paraId="7EE161AD" w14:textId="23E8D2E3">
      <w:pPr>
        <w:rPr>
          <w:rStyle w:val="Fontdeparagrafimplicit"/>
          <w:sz w:val="16"/>
        </w:rPr>
      </w:pPr>
      <w:r w:rsidRPr="00C137D9">
        <w:rPr>
          <w:rStyle w:val="Fontdeparagrafimplicit"/>
          <w:sz w:val="16"/>
        </w:rPr>
        <w:t xml:space="preserve">Jud. fond </w:t>
      </w:r>
      <w:r w:rsidRPr="00C137D9" w:rsidR="00E539DB">
        <w:rPr>
          <w:rStyle w:val="Fontdeparagrafimplicit"/>
          <w:sz w:val="16"/>
        </w:rPr>
        <w:t>...................</w:t>
      </w:r>
    </w:p>
    <w:p w:rsidR="00D1166F" w14:paraId="276D390A" w14:textId="77777777">
      <w:pPr>
        <w:rPr>
          <w:rStyle w:val="Fontdeparagrafimplicit"/>
        </w:rPr>
      </w:pPr>
    </w:p>
    <w:sectPr>
      <w:footerReference w:type="even" r:id="rId4"/>
      <w:footerReference w:type="default" r:id="rId5"/>
      <w:pgSz w:w="11906" w:h="16838"/>
      <w:pgMar w:top="851" w:right="1418"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1166F" w14:paraId="1CBB62FB"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D1166F" w14:paraId="5BD0ECD5"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1166F" w14:paraId="092C8F66"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D1166F" w14:paraId="0D85EEEF"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66F"/>
    <w:rsid w:val="003076FC"/>
    <w:rsid w:val="00472DDE"/>
    <w:rsid w:val="00511977"/>
    <w:rsid w:val="00B510C5"/>
    <w:rsid w:val="00C137D9"/>
    <w:rsid w:val="00D1166F"/>
    <w:rsid w:val="00D55B98"/>
    <w:rsid w:val="00E539DB"/>
    <w:rsid w:val="00ED0E1F"/>
    <w:rsid w:val="00EF43B6"/>
    <w:rsid w:val="00F62717"/>
  </w:rsids>
  <w:docVars>
    <w:docVar w:name="url" w:val="http://10.19.48.53:80/ecris_cdms/document_upload.aspx?id_document=5400000001333587&amp;id_departament=5&amp;id_sesiune=1771489&amp;id_user=29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4E05D9C7"/>
  <w15:docId w15:val="{9FD96EF5-F9FD-471A-9D54-210ED419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
    <w:name w:val="a"/>
    <w:basedOn w:val="Normal"/>
    <w:link w:val="Fontdeparagrafimplicit"/>
    <w:rPr>
      <w:sz w:val="20"/>
      <w:lang w:val="pl-PL"/>
    </w:r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har Char"/>
    <w:link w:val="a"/>
    <w:rPr>
      <w:sz w:val="20"/>
      <w:lang w:val="pl-PL"/>
    </w:rPr>
  </w:style>
  <w:style w:type="character" w:customStyle="1" w:styleId="Numrdepagin">
    <w:name w:val="Număr de pagină"/>
    <w:basedOn w:val="Fontdeparagrafimplicit"/>
    <w:rPr>
      <w:sz w:val="20"/>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43</ap:TotalTime>
  <ap:Pages>5</ap:Pages>
  <ap:Words>2584</ap:Words>
  <ap:Characters>14991</ap:Characters>
  <ap:Application>Microsoft Office Word</ap:Application>
  <ap:DocSecurity>0</ap:DocSecurity>
  <ap:Lines>124</ap:Lines>
  <ap:Paragraphs>35</ap:Paragraphs>
  <ap:ScaleCrop>false</ap:ScaleCrop>
  <ap:CharactersWithSpaces>17540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2020-02-05T09:39:00.0000000Z</lastPrinted>
  <dc:subject/>
  <dc:description/>
  <keywords/>
  <category/>
  <contentStatus/>
  <dc:identifier/>
  <dc:language/>
  <version/>
</coreProperties>
</file>