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Hot.23</w:t>
      </w:r>
    </w:p>
    <w:p>
      <w:pPr>
        <w:pStyle w:val="Normal"/>
        <w:rPr/>
      </w:pPr>
      <w:r>
        <w:rPr/>
        <w:t>Dosar nr. D1</w:t>
      </w:r>
    </w:p>
    <w:p>
      <w:pPr>
        <w:pStyle w:val="Normal"/>
        <w:jc w:val="center"/>
        <w:rPr/>
      </w:pPr>
      <w:r>
        <w:rPr/>
        <w:t>R O M Â N I A</w:t>
      </w:r>
    </w:p>
    <w:p>
      <w:pPr>
        <w:pStyle w:val="Normal"/>
        <w:jc w:val="center"/>
        <w:rPr/>
      </w:pPr>
      <w:r>
        <w:rPr/>
      </w:r>
    </w:p>
    <w:p>
      <w:pPr>
        <w:pStyle w:val="Normal"/>
        <w:jc w:val="center"/>
        <w:rPr/>
      </w:pPr>
      <w:r>
        <w:rPr/>
        <w:t>CURTEA DE APEL ...</w:t>
      </w:r>
    </w:p>
    <w:p>
      <w:pPr>
        <w:pStyle w:val="Normal"/>
        <w:jc w:val="center"/>
        <w:rPr>
          <w:lang w:val="en-US"/>
        </w:rPr>
      </w:pPr>
      <w:r>
        <w:rPr/>
        <w:t>SECŢIA ...</w:t>
      </w:r>
    </w:p>
    <w:p>
      <w:pPr>
        <w:pStyle w:val="Normal"/>
        <w:rPr>
          <w:lang w:val="en-US"/>
        </w:rPr>
      </w:pPr>
      <w:r>
        <w:rPr>
          <w:lang w:val="en-US"/>
        </w:rPr>
      </w:r>
    </w:p>
    <w:p>
      <w:pPr>
        <w:pStyle w:val="Normal"/>
        <w:jc w:val="center"/>
        <w:rPr>
          <w:b/>
          <w:bCs/>
        </w:rPr>
      </w:pPr>
      <w:r>
        <w:rPr/>
      </w:r>
      <w:r>
        <w:rPr/>
      </w:r>
      <w:r>
        <w:rPr/>
      </w:r>
      <w:r>
        <w:rPr/>
      </w:r>
      <w:r>
        <w:rPr>
          <w:b/>
          <w:bCs/>
        </w:rPr>
        <w:t>DECIZIE</w:t>
      </w:r>
      <w:r>
        <w:rPr/>
      </w:r>
      <w:r>
        <w:rPr/>
      </w:r>
      <w:r>
        <w:rPr>
          <w:b/>
          <w:bCs/>
        </w:rPr>
        <w:t xml:space="preserve"> Nr. ...</w:t>
      </w:r>
    </w:p>
    <w:p>
      <w:pPr>
        <w:pStyle w:val="Normal"/>
        <w:jc w:val="center"/>
        <w:rPr/>
      </w:pPr>
      <w:r>
        <w:rPr>
          <w:b/>
          <w:bCs/>
        </w:rPr>
        <w:t>Şedinţa </w:t>
      </w:r>
      <w:r>
        <w:rPr/>
      </w:r>
      <w:r>
        <w:rPr/>
      </w:r>
      <w:r>
        <w:rPr/>
      </w:r>
      <w:r>
        <w:rPr/>
      </w:r>
      <w:r>
        <w:rPr>
          <w:b/>
          <w:bCs/>
        </w:rPr>
        <w:t>publică</w:t>
      </w:r>
      <w:r>
        <w:rPr/>
      </w:r>
      <w:r>
        <w:rPr/>
      </w:r>
      <w:r>
        <w:rPr>
          <w:b/>
          <w:bCs/>
        </w:rPr>
        <w:t xml:space="preserve"> de la ... </w:t>
      </w:r>
    </w:p>
    <w:p>
      <w:pPr>
        <w:pStyle w:val="Normal"/>
        <w:jc w:val="center"/>
        <w:rPr>
          <w:b/>
          <w:bCs/>
        </w:rPr>
      </w:pPr>
      <w:r>
        <w:rPr>
          <w:b/>
          <w:bCs/>
        </w:rPr>
        <w:t>Completul compus din:</w:t>
      </w:r>
    </w:p>
    <w:p>
      <w:pPr>
        <w:pStyle w:val="Normal"/>
        <w:jc w:val="center"/>
        <w:rPr>
          <w:b/>
          <w:bCs/>
        </w:rPr>
      </w:pPr>
      <w:r>
        <w:rPr>
          <w:b/>
          <w:bCs/>
        </w:rPr>
        <w:t>PREŞEDINTE ...</w:t>
      </w:r>
    </w:p>
    <w:p>
      <w:pPr>
        <w:pStyle w:val="Normal"/>
        <w:jc w:val="center"/>
        <w:rPr>
          <w:b/>
          <w:bCs/>
        </w:rPr>
      </w:pPr>
      <w:r>
        <w:rPr>
          <w:b/>
          <w:bCs/>
        </w:rPr>
        <w:t>Judecător ...</w:t>
      </w:r>
    </w:p>
    <w:p>
      <w:pPr>
        <w:pStyle w:val="Normal"/>
        <w:jc w:val="center"/>
        <w:rPr>
          <w:b/>
          <w:bCs/>
        </w:rPr>
      </w:pPr>
      <w:r>
        <w:rPr>
          <w:b/>
          <w:bCs/>
        </w:rPr>
        <w:t>Judecător A0006</w:t>
      </w:r>
    </w:p>
    <w:p>
      <w:pPr>
        <w:pStyle w:val="Normal"/>
        <w:jc w:val="center"/>
        <w:rPr>
          <w:b/>
          <w:bCs/>
        </w:rPr>
      </w:pPr>
      <w:r>
        <w:rPr>
          <w:b/>
          <w:bCs/>
        </w:rPr>
        <w:t>Grefier ...</w:t>
      </w:r>
    </w:p>
    <w:p>
      <w:pPr>
        <w:pStyle w:val="Normal"/>
        <w:jc w:val="center"/>
        <w:rPr>
          <w:b/>
          <w:bCs/>
        </w:rPr>
      </w:pPr>
      <w:r>
        <w:rPr>
          <w:b/>
          <w:bCs/>
        </w:rPr>
      </w:r>
    </w:p>
    <w:p>
      <w:pPr>
        <w:pStyle w:val="Normal"/>
        <w:jc w:val="center"/>
        <w:rPr/>
      </w:pPr>
      <w:r>
        <w:rPr/>
      </w:r>
      <w:r>
        <w:rPr/>
      </w:r>
      <w:r>
        <w:rPr/>
      </w:r>
      <w:r>
        <w:rPr/>
      </w:r>
      <w:r>
        <w:rPr>
          <w:lang w:val="en-US" w:eastAsia="en-US"/>
        </w:rPr>
        <w:t>     </w:t>
      </w:r>
      <w:r>
        <w:rPr/>
      </w:r>
      <w:r>
        <w:rPr/>
      </w:r>
    </w:p>
    <w:p>
      <w:pPr>
        <w:pStyle w:val="Normal"/>
        <w:ind w:right="0" w:firstLine="709"/>
        <w:jc w:val="both"/>
        <w:rPr/>
      </w:pPr>
      <w:r>
        <w:rPr/>
        <w:t xml:space="preserve">Pe rol, soluționarea recursului formulat de </w:t>
      </w:r>
      <w:bookmarkStart w:name="_Hlk29983462" w:id="0"/>
      <w:bookmarkStart w:name="_Hlk195101161" w:id="1"/>
      <w:bookmarkStart w:name="_Hlk25578309" w:id="2"/>
      <w:bookmarkStart w:name="_Hlk20296562" w:id="3"/>
      <w:bookmarkStart w:name="_Hlk20990416" w:id="4"/>
      <w:bookmarkStart w:name="_Hlk56519953" w:id="5"/>
      <w:r>
        <w:rPr/>
        <w:t xml:space="preserve">pârâtul </w:t>
      </w:r>
      <w:bookmarkStart w:name="_Hlk195101220" w:id="6"/>
      <w:bookmarkEnd w:id="2"/>
      <w:bookmarkEnd w:id="3"/>
      <w:bookmarkEnd w:id="4"/>
      <w:bookmarkEnd w:id="5"/>
      <w:r>
        <w:rPr>
          <w:b/>
          <w:bCs/>
        </w:rPr>
        <w:t>Inspectoratul de Poliție al județului ...</w:t>
      </w:r>
      <w:bookmarkEnd w:id="1"/>
      <w:r>
        <w:rPr/>
        <w:t xml:space="preserve">, în contradictoriu cu intimata reclamantă </w:t>
      </w:r>
      <w:r>
        <w:rPr>
          <w:b/>
          <w:bCs/>
        </w:rPr>
        <w:t>R1</w:t>
      </w:r>
      <w:r>
        <w:rPr/>
        <w:t xml:space="preserve"> prin Sindicatul ... - Sucursala ..., </w:t>
      </w:r>
      <w:r>
        <w:rPr>
          <w:lang w:val="en-US" w:eastAsia="en-US"/>
        </w:rPr>
        <w:t xml:space="preserve">împotriva sentinţei nr. </w:t>
      </w:r>
      <w:bookmarkStart w:name="_Hlk34051356" w:id="7"/>
      <w:bookmarkStart w:name="_Hlk53131915" w:id="8"/>
      <w:bookmarkStart w:name="_Hlk51324496" w:id="9"/>
      <w:bookmarkStart w:name="_Hlk20296462" w:id="10"/>
      <w:bookmarkStart w:name="_Hlk20991303" w:id="11"/>
      <w:bookmarkStart w:name="_Hlk29983392" w:id="12"/>
      <w:bookmarkStart w:name="_Hlk25578262" w:id="13"/>
      <w:r>
        <w:rPr>
          <w:lang w:val="en-US" w:eastAsia="en-US"/>
        </w:rPr>
        <w:t xml:space="preserve">SC1 din data de ..., pronunţate de Tribunalul ... - </w:t>
      </w:r>
      <w:r>
        <w:rPr>
          <w:bCs/>
        </w:rPr>
        <w:t xml:space="preserve">Secția .., </w:t>
      </w:r>
      <w:r>
        <w:rPr>
          <w:lang w:val="en-US" w:eastAsia="en-US"/>
        </w:rPr>
        <w:t xml:space="preserve">în dosarul nr. </w:t>
      </w:r>
      <w:bookmarkEnd w:id="7"/>
      <w:bookmarkEnd w:id="8"/>
      <w:bookmarkEnd w:id="9"/>
      <w:bookmarkEnd w:id="10"/>
      <w:bookmarkEnd w:id="11"/>
      <w:bookmarkEnd w:id="12"/>
      <w:bookmarkEnd w:id="13"/>
      <w:r>
        <w:rPr/>
        <w:t>D1, având ca obiect „obligația de a face”.</w:t>
      </w:r>
    </w:p>
    <w:p>
      <w:pPr>
        <w:pStyle w:val="Normal"/>
        <w:ind w:right="0" w:firstLine="708"/>
        <w:jc w:val="both"/>
        <w:rPr/>
      </w:pPr>
      <w:bookmarkEnd w:id="0"/>
      <w:bookmarkEnd w:id="6"/>
      <w:r>
        <w:rPr/>
        <w:t xml:space="preserve">La apelul nominal, făcut în ședința </w:t>
      </w:r>
      <w:r>
        <w:rPr/>
      </w:r>
      <w:r>
        <w:rPr/>
      </w:r>
      <w:r>
        <w:rPr/>
      </w:r>
      <w:r>
        <w:rPr/>
        <w:t>publică</w:t>
      </w:r>
      <w:r>
        <w:rPr/>
      </w:r>
      <w:r>
        <w:rPr/>
      </w:r>
      <w:r>
        <w:rPr/>
        <w:t>, părțile au lipsit.</w:t>
      </w:r>
    </w:p>
    <w:p>
      <w:pPr>
        <w:pStyle w:val="Normal"/>
        <w:ind w:right="0" w:firstLine="708"/>
        <w:jc w:val="both"/>
        <w:rPr/>
      </w:pPr>
      <w:r>
        <w:rPr/>
        <w:t xml:space="preserve">Procedura de citare a părților este </w:t>
      </w:r>
      <w:r>
        <w:rPr/>
      </w:r>
      <w:r>
        <w:rPr/>
      </w:r>
      <w:r>
        <w:rPr/>
      </w:r>
      <w:r>
        <w:rPr/>
        <w:t>legal</w:t>
      </w:r>
      <w:r>
        <w:rPr/>
      </w:r>
      <w:r>
        <w:rPr/>
      </w:r>
      <w:r>
        <w:rPr/>
        <w:t xml:space="preserve"> îndeplinită.</w:t>
      </w:r>
    </w:p>
    <w:p>
      <w:pPr>
        <w:pStyle w:val="Normal"/>
        <w:ind w:right="0" w:firstLine="708"/>
        <w:jc w:val="both"/>
        <w:rPr/>
      </w:pPr>
      <w:r>
        <w:rPr/>
        <w:t xml:space="preserve">S-a făcut </w:t>
      </w:r>
      <w:r>
        <w:rPr/>
      </w:r>
      <w:r>
        <w:rPr/>
      </w:r>
      <w:r>
        <w:rPr/>
      </w:r>
      <w:r>
        <w:rPr/>
        <w:t>referatul</w:t>
      </w:r>
      <w:r>
        <w:rPr/>
      </w:r>
      <w:r>
        <w:rPr/>
      </w:r>
      <w:r>
        <w:rPr/>
        <w:t xml:space="preserve"> cauzei de către </w:t>
      </w:r>
      <w:r>
        <w:rPr/>
      </w:r>
      <w:r>
        <w:rPr/>
      </w:r>
      <w:r>
        <w:rPr/>
      </w:r>
      <w:r>
        <w:rPr/>
        <w:t>grefier</w:t>
      </w:r>
      <w:r>
        <w:rPr/>
      </w:r>
      <w:r>
        <w:rPr/>
      </w:r>
      <w:r>
        <w:rPr/>
        <w:t xml:space="preserve">ul de ședință, </w:t>
      </w:r>
      <w:r>
        <w:rPr/>
      </w:r>
      <w:r>
        <w:rPr/>
      </w:r>
      <w:r>
        <w:rPr/>
      </w:r>
      <w:r>
        <w:rPr/>
        <w:t>care învederează</w:t>
      </w:r>
      <w:r>
        <w:rPr/>
      </w:r>
      <w:r>
        <w:rPr/>
      </w:r>
      <w:r>
        <w:rPr/>
        <w:t xml:space="preserve"> instanței </w:t>
      </w:r>
      <w:r>
        <w:rPr>
          <w:color w:val="000000"/>
        </w:rPr>
        <w:t xml:space="preserve">obiectul cauzei, stadiul judecății și modalitatea de îndeplinire a procedurii de citare, faptul că recursul a fost declarat în termenul legal, </w:t>
      </w:r>
      <w:r>
        <w:rPr/>
        <w:t xml:space="preserve">intimata reclamantă nu </w:t>
      </w:r>
      <w:r>
        <w:rPr>
          <w:color w:val="000000"/>
        </w:rPr>
        <w:t xml:space="preserve">a formulat întâmpinare, iar recurentul a solicitat </w:t>
      </w:r>
      <w:r>
        <w:rPr/>
        <w:t xml:space="preserve">judecarea cauzei în lipsă, conform dispozițiilor art. 411 alin. 1 pct. 2 teza finală din Codul de procedură civilă, </w:t>
      </w:r>
      <w:r>
        <w:rPr>
          <w:bCs/>
        </w:rPr>
        <w:t>după care:</w:t>
      </w:r>
    </w:p>
    <w:p>
      <w:pPr>
        <w:pStyle w:val="Normal"/>
        <w:jc w:val="both"/>
        <w:rPr/>
      </w:pPr>
      <w:r>
        <w:rPr/>
        <w:tab/>
        <w:t>Curtea, luând act de cererea privind judecarea cauzei în lipsă formulată de recurentul pârât şi constatând că părțile nu mai au cereri de formulat, apreciază cauza în stare de judecată şi o reține spre soluționare.</w:t>
      </w:r>
      <w:r>
        <w:rPr>
          <w:rFonts w:ascii="Calibri" w:hAnsi="Calibri" w:eastAsia="Calibri" w:cs="Calibri"/>
          <w:sz w:val="22"/>
          <w:szCs w:val="22"/>
          <w:lang w:eastAsia="en-US"/>
        </w:rPr>
        <w:t xml:space="preserve"> </w:t>
      </w:r>
    </w:p>
    <w:p>
      <w:pPr>
        <w:pStyle w:val="Normal"/>
        <w:jc w:val="center"/>
        <w:rPr>
          <w:rFonts w:ascii="Calibri" w:hAnsi="Calibri" w:eastAsia="Calibri" w:cs="Calibri"/>
          <w:sz w:val="22"/>
          <w:szCs w:val="22"/>
          <w:lang w:eastAsia="en-US"/>
        </w:rPr>
      </w:pPr>
      <w:r>
        <w:rPr>
          <w:rFonts w:ascii="Calibri" w:hAnsi="Calibri" w:eastAsia="Calibri" w:cs="Calibri"/>
          <w:sz w:val="22"/>
          <w:szCs w:val="22"/>
          <w:lang w:eastAsia="en-US"/>
        </w:rPr>
      </w:r>
    </w:p>
    <w:p>
      <w:pPr>
        <w:pStyle w:val="Normal"/>
        <w:jc w:val="center"/>
        <w:rPr/>
      </w:pPr>
      <w:r>
        <w:rPr/>
      </w:r>
    </w:p>
    <w:p>
      <w:pPr>
        <w:pStyle w:val="Normal"/>
        <w:jc w:val="center"/>
        <w:rPr>
          <w:b/>
          <w:bCs/>
        </w:rPr>
      </w:pPr>
      <w:r>
        <w:rPr>
          <w:b/>
          <w:bCs/>
        </w:rPr>
        <w:t>C U R T E A</w:t>
      </w:r>
    </w:p>
    <w:p>
      <w:pPr>
        <w:pStyle w:val="Normal"/>
        <w:jc w:val="both"/>
        <w:rPr/>
      </w:pPr>
      <w:r>
        <w:rPr/>
        <w:tab/>
        <w:t xml:space="preserve">Asupra recursului de faţă ; </w:t>
      </w:r>
    </w:p>
    <w:p>
      <w:pPr>
        <w:pStyle w:val="Normal"/>
        <w:ind w:right="0" w:firstLine="708"/>
        <w:jc w:val="both"/>
        <w:rPr/>
      </w:pPr>
      <w:r>
        <w:rPr/>
        <w:tab/>
        <w:t>Prin sentința nr.</w:t>
      </w:r>
      <w:r>
        <w:rPr>
          <w:lang w:val="en-US" w:eastAsia="en-US"/>
        </w:rPr>
        <w:t xml:space="preserve"> SC1 din data de ..., pronunţate de Tribunalul ... - </w:t>
      </w:r>
      <w:r>
        <w:rPr>
          <w:bCs/>
        </w:rPr>
        <w:t xml:space="preserve">Secția ..., </w:t>
      </w:r>
      <w:r>
        <w:rPr>
          <w:lang w:val="en-US" w:eastAsia="en-US"/>
        </w:rPr>
        <w:t xml:space="preserve">în dosarul nr. </w:t>
      </w:r>
      <w:r>
        <w:rPr/>
        <w:t>D1, a fost admisă excepția lipsei calității procesual pasive a pârâtului INSPECTORATUL DE POLIŢIE JUDEŢEAN ..., excepție invocată prin întâmpinare pentru drepturile bănești aferente perioadei 01.01.2021-24.09.2021.</w:t>
      </w:r>
    </w:p>
    <w:p>
      <w:pPr>
        <w:pStyle w:val="Normal"/>
        <w:ind w:right="0" w:firstLine="708"/>
        <w:jc w:val="both"/>
        <w:rPr/>
      </w:pPr>
      <w:r>
        <w:rPr/>
        <w:t>A fost respinsă acțiunea reclamantului SINDICATUL ... - SUCURSALA ... pentru R1, ca fiind formulată împotriva unei persoane fără calitate procesual pasivă pentru drepturile bănești aferente perioadei 01.01.2021-24.09.2021.</w:t>
      </w:r>
    </w:p>
    <w:p>
      <w:pPr>
        <w:pStyle w:val="Normal"/>
        <w:ind w:right="0" w:firstLine="708"/>
        <w:jc w:val="both"/>
        <w:rPr/>
      </w:pPr>
      <w:r>
        <w:rPr/>
        <w:t>A fost admisă excepţia prescripţiei dreptului material la acţiune, excepţie invocată prin întâmpinare de pârâtul INSPECTORATUL DE POLIŢIE JUDEŢEAN ....</w:t>
      </w:r>
    </w:p>
    <w:p>
      <w:pPr>
        <w:pStyle w:val="Normal"/>
        <w:jc w:val="both"/>
        <w:rPr/>
      </w:pPr>
      <w:r>
        <w:rPr/>
        <w:tab/>
        <w:t>A fost respinsă acţiunea formulată de reclamantul SINDICATUL ... - SUCURSALA ... pentru R1, pentru drepturile băneşti aferente perioadei 01.01.2021 – 18.01.2021, ca fiind prescrisă.</w:t>
      </w:r>
    </w:p>
    <w:p>
      <w:pPr>
        <w:pStyle w:val="Normal"/>
        <w:jc w:val="both"/>
        <w:rPr/>
      </w:pPr>
      <w:r>
        <w:rPr/>
        <w:tab/>
        <w:t>A fost admisă în parte cererea de chemare în judecată formulată de reclamantul SINDICATUL ... - SUCURSALA ... pentru R1, cu sediul procesual ales la cab av. ... din ..., Județ ..., în contradictoriu cu pârâtul INSPECTORATUL DE POLIŢIE JUDEŢEAN ..., cu sediul în ..., Judeţ ....</w:t>
      </w:r>
    </w:p>
    <w:p>
      <w:pPr>
        <w:pStyle w:val="Normal"/>
        <w:ind w:right="0" w:firstLine="708"/>
        <w:jc w:val="both"/>
        <w:rPr/>
      </w:pPr>
      <w:r>
        <w:rPr/>
        <w:t>A fost obligat pârâtul să recalculeze indemnizația de concediu de odihnă cuvenită reclamantului pentru perioada 25.09.2021 - 2024 prin includerea sporului pentru condiţii grele/periculoase sau vătămătoare de care a beneficiat în această perioadă.</w:t>
      </w:r>
    </w:p>
    <w:p>
      <w:pPr>
        <w:pStyle w:val="Normal"/>
        <w:ind w:right="0" w:firstLine="708"/>
        <w:jc w:val="both"/>
        <w:rPr/>
      </w:pPr>
      <w:r>
        <w:rPr/>
        <w:t>A fost obligat pârâtul să plătească reclamantului diferența dintre sumele rezultate urmare recalculării indemnizației de concediu şi sumele încasate efectiv, diferenţă care se va actualiza cu indicele de inflaţie şi dobânda legală calculată de la data  scadenţei  şi până la data plăţii.</w:t>
      </w:r>
    </w:p>
    <w:p>
      <w:pPr>
        <w:pStyle w:val="Normal"/>
        <w:ind w:right="0" w:firstLine="567"/>
        <w:jc w:val="both"/>
        <w:rPr/>
      </w:pPr>
      <w:r>
        <w:rPr/>
        <w:tab/>
        <w:t xml:space="preserve">Împotriva sentinței nr. </w:t>
      </w:r>
      <w:r>
        <w:rPr>
          <w:lang w:val="en-US" w:eastAsia="en-US"/>
        </w:rPr>
        <w:t xml:space="preserve">SC1 din data de ..., pronunţate de Tribunalul ... - </w:t>
      </w:r>
      <w:r>
        <w:rPr>
          <w:bCs/>
        </w:rPr>
        <w:t xml:space="preserve">Secția ..., </w:t>
      </w:r>
      <w:r>
        <w:rPr>
          <w:lang w:val="en-US" w:eastAsia="en-US"/>
        </w:rPr>
        <w:t xml:space="preserve">în dosarul nr. </w:t>
      </w:r>
      <w:r>
        <w:rPr/>
        <w:t xml:space="preserve">D1 a </w:t>
      </w:r>
      <w:r>
        <w:rPr>
          <w:b/>
          <w:bCs/>
        </w:rPr>
        <w:t>a formulat recurs pârâtul Inspectoratul de Poliție al județului ....</w:t>
      </w:r>
    </w:p>
    <w:p>
      <w:pPr>
        <w:pStyle w:val="Normal"/>
        <w:ind w:right="0" w:firstLine="567"/>
        <w:jc w:val="both"/>
        <w:rPr/>
      </w:pPr>
      <w:r>
        <w:rPr/>
        <w:t xml:space="preserve">În motivarea recursului, </w:t>
      </w:r>
      <w:r>
        <w:rPr>
          <w:b/>
        </w:rPr>
        <w:t xml:space="preserve">recurentul pârât Inspectoratul de Poliție al județului ... </w:t>
      </w:r>
      <w:r>
        <w:rPr/>
        <w:t>a susținut că sentinţa instanţei de fond este criticată sub aspectul motivelor de casare prevăzute de art. 488 alin. 1 pct. 4,pct.5, pct. 6 și pct. 8 Cod proc. civ.</w:t>
      </w:r>
    </w:p>
    <w:p>
      <w:pPr>
        <w:pStyle w:val="Normal"/>
        <w:ind w:right="0" w:firstLine="567"/>
        <w:jc w:val="both"/>
        <w:rPr/>
      </w:pPr>
      <w:r>
        <w:rPr/>
        <w:t>A. Cu privire la motivul de casare prevăzut de art. 488 alin. 1 pct. 4 Cod proc. civ., respectiv „când instanța a depășit atribuțiile puterii judecătorești”, recurentul a învederat că, deși pentru funcționarii publici cu statut special din cadrul Ministerului Afacerilor Interne există legislație specială, instanța a tăgăduit textele legale în vigoare care reglementează stabilirea cuantumului indemnizației de concediu. Desigur, prin Decizia nr. 23/2021-RIL, pronunțată într-o chestiune identică celei din speță, dar cu referire la o altă categorie de salariați publici, Î.C.C.J. a statuat în sensul că sporul pentru condiții periculoase sau vătămătoare de muncă este un spor cu caracter permanent, iar împrejurarea acordării sale proporțional cu timpul efectiv lucrat, materializat în forma pontajului lunar, este doar o modalitatea de cuantificare a sporului în perioada de activitate a personalului. Această interpretare, ca și consecința luării în calcul a sporului la determinarea concediului de odihnă, s-ar impune și în speța de față, raportat la cadrul legislativ de drept comun, însă analizând dispozițiile speciale ce cuprind norme derogatorii, în concret art. 12 alin. (2) și alin. (3) din Anexa nr. VI la Legea - cadru nr. 153/2017 privind salarizarea personalului plătit din fonduri publice (cu modificările și completările ulterioare), O.U.G. nr. 114/2018, dar și pct. 44.1.1 din Ordinul M.A.I. nr. S/7/31.01.2018 pentru aprobarea Normelor metodologice privind aplicarea prevederilor legale referitoare la salarizarea personalului militar, polițiștilor și personalului civil din Ministerul Afacerilor Interne, astfel cum a fost reținut chiar și de către instanța de fond „drepturile bănești avute” au fost definite ca fiind indemnizațiile, sporurile și alte drepturi care nu se plătesc în raport de timpul efectiv lucrat pe baza unor pontaje întocmite în acest sens.</w:t>
      </w:r>
    </w:p>
    <w:p>
      <w:pPr>
        <w:pStyle w:val="Normal"/>
        <w:ind w:right="0" w:firstLine="567"/>
        <w:jc w:val="both"/>
        <w:rPr/>
      </w:pPr>
      <w:r>
        <w:rPr/>
        <w:t>Totodată, în afară de prevederile art. 12 alin. (2) şi alin. (3) din Anexa nr. VI la Legea - cadru nr. 153/2017, tocmai prevederile acestei legi cadru abilitează aprobarea Normelor metodologice privind aplicarea prevederilor legale referitoare la salarizarea personalului militar, polițiștilor și personalului civil din Ministerul Afacerilor Interne prin ordinul analizat de prima instanță, cu atât mai mult cu cât legalitatea acestui ordin nu a fost supusă analizei, respectiv nu a fost contestată și nu au fost constatate motive de nelegalitate.</w:t>
      </w:r>
    </w:p>
    <w:p>
      <w:pPr>
        <w:pStyle w:val="Normal"/>
        <w:ind w:right="0" w:firstLine="567"/>
        <w:jc w:val="both"/>
        <w:rPr/>
      </w:pPr>
      <w:r>
        <w:rPr/>
        <w:t>Or, în speță, își găsesc aplicabilitatea considerentele din cuprinsul Deciziei nr. 838/27.05.2009 (publicată în Monitorul Oficial al României, Partea I, nr. 461/03.07.2009), prin care s-a constatat existența unui conflict juridic de natură constituțională între autoritatea judecătorească, pe de o parte, și Parlamentul României și Guvernul României, pe de altă parte. Astfel, Curtea Constituțională a stabilit că operația juridică prin care I.C.C.J. (prin Decizia nr. XXXVI/07.05.2007) a acordat judecătorilor, procurorilor și celorlalți magistrați beneficiul sporului de vechime în muncă pentru o perioadă în care legea nu a prevăzut acest spor nu poate fi realizată decât de autoritatea legiuitoare (Parlament sau Guvern, după caz), unica abilitată să dispună cu privire la soluțiile ce se impun în această materie.</w:t>
      </w:r>
    </w:p>
    <w:p>
      <w:pPr>
        <w:pStyle w:val="Normal"/>
        <w:ind w:right="0" w:firstLine="567"/>
        <w:jc w:val="both"/>
        <w:rPr/>
      </w:pPr>
      <w:r>
        <w:rPr/>
        <w:t>Față de situația expusă, recurentul pârât a concluzionat în sensul că instanța de fond nu avea competența de a stabili că Ordinul M.A.I. nr. S/7/31.01.2018 în vigoare nu se aplică.</w:t>
      </w:r>
    </w:p>
    <w:p>
      <w:pPr>
        <w:pStyle w:val="Normal"/>
        <w:ind w:right="0" w:firstLine="567"/>
        <w:jc w:val="both"/>
        <w:rPr/>
      </w:pPr>
      <w:r>
        <w:rPr/>
        <w:t>B. Față de motivul de casare prevăzut de art. 488 alin. 1 pct. 6 Cod proc. civ., respectiv când hotărârea nu cuprinde motivele pe care se întemeiază sau când cuprinde motive contradictorii ori numai motive străine de natura cauzei, recurentul a apreciat că hotărârea recurată nu cuprinde motivele pe care se întemeiază.</w:t>
      </w:r>
    </w:p>
    <w:p>
      <w:pPr>
        <w:pStyle w:val="Normal"/>
        <w:ind w:right="0" w:firstLine="567"/>
        <w:jc w:val="both"/>
        <w:rPr/>
      </w:pPr>
      <w:r>
        <w:rPr/>
        <w:t>Astfel, în afara celor mai sus arătate cu privire la lipsa unei motivări raportate la dispozițiile art. 12 alin. (2) și alin. (3) din Anexa nr. VI la Legea - cadru nr. 153/2017 privind salarizarea personalului plătit din fonduri publice (cu modificările și completările ulterioare), precum și cu privire la înlăturarea dispozițiilor Ordinului M.A.I. nr. S/7/31.01.2018 pentru aprobarea Normelor metodologice privind aplicarea prevederilor legale referitoare la salarizarea personalului militar, polițiștilor și personalului civil din Ministerul Afacerilor Interne, recurentul a considerat că hotărârea este lipsită de o motivare corespunzătoare, având în vedere și Decizia Î.C.C.J. - Completul pentru dezlegarea unor chestiuni de drept nr. 67 din 28 octombrie 2024, pronunțată în dosarul nr. 1.792/1/2024.</w:t>
      </w:r>
    </w:p>
    <w:p>
      <w:pPr>
        <w:pStyle w:val="Normal"/>
        <w:ind w:right="0" w:firstLine="567"/>
        <w:jc w:val="both"/>
        <w:rPr/>
      </w:pPr>
      <w:r>
        <w:rPr/>
        <w:t>Pe lângă faptul că decizia vizează includerea, începând cu luna august 2020, în calculul indemnizațiilor de concediu medical al zilelor de învoire plătită, incapacitate temporară de muncă și oricăror alte concedii plătite angajaților, salariați din sistemul Administrației Naționale a Penitenciarelor, respectiv o altă categorie de personal potrivit legislației speciale aplicabile acestei categorii, precum și în afara faptului că sesizările conexate au fost respinse ca inadmisibile, prin considerentele de la pct. 75 cu trimitere la Directiva 2003/88/CE s-a reținut că Directiva „stabilește, generic, dreptul la concediu anual plătit, stipulând că urmează a fi prevăzute de legislațiile și practicile naționale condițiile concrete privind reglementarea concediilor de odihnă.” (tot în acest sens, pct. 77 din Decizia RIL 13/2024: „Se observă, astfel, că dispozițiile art. 7 din Directiva 2003/88/CE stabilesc, generic, dreptul la concediu anual plătit, stipulând că urmează a fi prevăzute de legislațiile și practicile naționale condițiile concrete privind reglementarea concediilor de odihnă”).</w:t>
      </w:r>
    </w:p>
    <w:p>
      <w:pPr>
        <w:pStyle w:val="Normal"/>
        <w:ind w:right="0" w:firstLine="567"/>
        <w:jc w:val="both"/>
        <w:rPr/>
      </w:pPr>
      <w:r>
        <w:rPr/>
        <w:t>De asemenea, raportat la dezlegările anterioare date de instanța supremă prin hotărâri obligatorii în materia vizată de chestiunea de drept enunțată de instanța de trimitere, ce pot oferi repere concrete de interpretare, utile în soluționarea cauzelor, prin aplicarea în fiecare caz particular, în funcție de specificul speței - pct. 64 al Deciziei Î.C.C.J. nr. 67 din 28 octombrie 2024, potrivit pct. 76 - 77 s-a statuat în sensul că:</w:t>
      </w:r>
    </w:p>
    <w:p>
      <w:pPr>
        <w:pStyle w:val="Normal"/>
        <w:ind w:right="0" w:firstLine="567"/>
        <w:jc w:val="both"/>
        <w:rPr/>
      </w:pPr>
      <w:r>
        <w:rPr/>
        <w:t>„</w:t>
      </w:r>
      <w:r>
        <w:rPr/>
        <w:t>76. Astfel cum lesne se poate observa, problema de drept din dosarul pendinte este identică cu cea care a constituit obiect al sesizării înregistrate pe rolul înaltei Curți de Casație și Justiție - Completul pentru soluționarea recursului în interesul legii cu nr. Dosar 1.087/1/2024, deja dezlegată prin Decizia nr. 13 din 16 septembrie 2024, publicată în Monitorul Oficial al României, Partea I, nr. 1052 din 21 octombrie 2024.</w:t>
      </w:r>
    </w:p>
    <w:p>
      <w:pPr>
        <w:pStyle w:val="Normal"/>
        <w:ind w:right="0" w:firstLine="567"/>
        <w:jc w:val="both"/>
        <w:rPr/>
      </w:pPr>
      <w:r>
        <w:rPr/>
        <w:t>77. Conform acestei decizii, fiind admis recursul în interesul legii, s-a stabilit că indemnizația de hrană reglementată de art. 18 din Legea-cadru nr. 153/2017 nu intră în baza de calcul al indemnizației de concediu de odihnă cuvenite personalului contractual plătit din fonduri publice și funcționarilor publici.”</w:t>
      </w:r>
    </w:p>
    <w:p>
      <w:pPr>
        <w:pStyle w:val="Normal"/>
        <w:ind w:right="0" w:firstLine="567"/>
        <w:jc w:val="both"/>
        <w:rPr/>
      </w:pPr>
      <w:r>
        <w:rPr/>
        <w:t>Astfel, cu toate că instanța nu a suspendat cauza în temeiul O.U.G. nr. 62/2024 privind unele măsuri pentru soluționarea proceselor privind salarizarea personalului plătit din fonduri publice, precum și a proceselor privind prestații de asigurări sociale și a respins solicitarea de sesizare a Înaltei Curți de Casație și Justiție pentru pronunțarea unei hotărâri prealabile în aplicarea prevederilor legale cu caracter special privind salarizarea polițiștilor, aceste aspecte constituie un argument suplimentar susținerilor din întâmpinarea de la fondul cauzei, privitoare la reglementările cu caracter special în materia salarizării polițiștilor, în același timp constituind un argument contrar înlăturării acestor prevederi prin sentința recurată.</w:t>
      </w:r>
    </w:p>
    <w:p>
      <w:pPr>
        <w:pStyle w:val="Normal"/>
        <w:ind w:right="0" w:firstLine="567"/>
        <w:jc w:val="both"/>
        <w:rPr/>
      </w:pPr>
      <w:r>
        <w:rPr/>
        <w:t>C. Cu privire la art. 488 alin. 1 pct. 8 Cod proc. civ., respectiv „când hotărârea a fost dată cu încălcarea sau aplicarea greșită a normelor de drept material”, contrar sentinței recurate, acordarea salariilor de bază și a celorlalte drepturi bănești avute nu poate fi disociată de dispozițiile legale în vigoare în baza cărora acestea se acordă, potrivit dispozițiilor art. 37 din Ordonanța Guvernului nr. 38/2003, cât și ale Legii - cadru nr. 153/2017 - art. 12 alin. (2) lit. a) din Anexa nr. VI și Ordinului M.A.I (OMAI) nr. S/7/31.01.2018, învederate prin întâmpinare.</w:t>
      </w:r>
    </w:p>
    <w:p>
      <w:pPr>
        <w:pStyle w:val="Normal"/>
        <w:ind w:right="0" w:firstLine="567"/>
        <w:jc w:val="both"/>
        <w:rPr/>
      </w:pPr>
      <w:r>
        <w:rPr/>
        <w:t>Având în vedere că H.G. 1578/2002, privind condițiile în baza cărora polițistul are dreptul la concedii de odihnă, concedii de studii și învoiri plătite, concedii fără plata, bilete de odihnă, tratament și recuperare, nu conține dispoziții privind modul de stabilire a indemnizației de concediu, nici Ordonanța Guvernului nr. 38/2003 nu conține o astfel de reglementare, însă aceasta se coroborează și nu poate fi disociată de normele instituite în domeniul salarizării personalului plătit din fonduri publice potrivit legii cadru privind salarizarea și normelor metodologice din ordinul menționat.</w:t>
      </w:r>
    </w:p>
    <w:p>
      <w:pPr>
        <w:pStyle w:val="Normal"/>
        <w:ind w:right="0" w:firstLine="567"/>
        <w:jc w:val="both"/>
        <w:rPr/>
      </w:pPr>
      <w:r>
        <w:rPr/>
        <w:t>După cum a învederat prin întâmpinarea formulată în cauză, Legea - cadru nr. 153/2017 privind salarizarea personalului plătit din fonduri publice (cu modificările și completările ulterioare), prin art. 12, alin. (2) lit. a) din Anexa nr. VI dispune expres că: „Personalul militar, polițiștii, funcționarii publici cu statut special din sistemul administrației penitenciare și personalul civil beneficiază de următoarele sporuri, în funcție de condițiile de muncă;</w:t>
      </w:r>
    </w:p>
    <w:p>
      <w:pPr>
        <w:pStyle w:val="Normal"/>
        <w:ind w:right="0" w:firstLine="567"/>
        <w:jc w:val="both"/>
        <w:rPr/>
      </w:pPr>
      <w:r>
        <w:rPr/>
        <w:t>a) pentru condiții periculoase sau vătămătoare, un spor de până la 15% din solda de funcție/salariul de funcție/salariul de bază, corespunzător timpului lucrat la locurile de muncă respective”.</w:t>
      </w:r>
    </w:p>
    <w:p>
      <w:pPr>
        <w:pStyle w:val="Normal"/>
        <w:ind w:right="0" w:firstLine="567"/>
        <w:jc w:val="both"/>
        <w:rPr/>
      </w:pPr>
      <w:r>
        <w:rPr/>
        <w:t>De asemenea, conform prev. Ordinului M.A.I (OMAI) nr. S/7/31.01.2018 pentru aprobarea normelor metodologice privind aplicarea prevederilor legale referitoare la salarizarea personalului militar, polițiștilor și personalului civil din Ministerul Afacerilor Interne, analizate prin sentința recurată, chiar normele de aplicare a prevederilor legale referitoare la salarizare definesc și explicitează drepturile bănești avute ca fiind drepturi care nu se plătesc în raport de timpul efectiv lucrat pe baza unor pontaje, în acest sens fiind și Anexa 2 a ordinului referitoare la baza reprezentată de situațiile privind timpul efectiv lucrat în condiții de pericol.</w:t>
      </w:r>
    </w:p>
    <w:p>
      <w:pPr>
        <w:pStyle w:val="Normal"/>
        <w:ind w:right="0" w:firstLine="567"/>
        <w:jc w:val="both"/>
        <w:rPr/>
      </w:pPr>
      <w:r>
        <w:rPr/>
        <w:t>Având în vedere că aceste aspecte sunt stabilite atât prin O.M.A.I. nr. S/7/31.01.2018, cât și prin dispozițiile menționate din Legea - cadru nr. 153/2017, motivarea în sensul că dispozițiile dintr-un ordin al Ministrului Afacerilor Interne nu pot contraveni unui act juridic având o forță juridică superioară, recurentul a apreciat că este eronată și nu poate fi reținută.</w:t>
      </w:r>
    </w:p>
    <w:p>
      <w:pPr>
        <w:pStyle w:val="Normal"/>
        <w:ind w:right="0" w:firstLine="567"/>
        <w:jc w:val="both"/>
        <w:rPr/>
      </w:pPr>
      <w:r>
        <w:rPr/>
        <w:t>Deci, sporul pentru condiții grele/periculoase sau vătămătoare acordat în raport de timpul efectiv lucrat conform pontajelor, este supus reglementării speciale din Legea - cadru nr. 153/2017 și, subsidiar, de ordinul S/7/31.01.2018, distincte atât de reglementările specifice personalului contractual (Codului muncii), cât și altor funcționari publici cu statut special, precum cei din sistemul administrației penitenciare la care se referă Decizia ICCJ 23/15.11.2021 invocată.</w:t>
      </w:r>
    </w:p>
    <w:p>
      <w:pPr>
        <w:pStyle w:val="Normal"/>
        <w:ind w:right="0" w:firstLine="567"/>
        <w:jc w:val="both"/>
        <w:rPr/>
      </w:pPr>
      <w:r>
        <w:rPr/>
        <w:t>Întrucât art. 1 alin. 2 din Legea nr. 53/2003 - C. muncii se aplică polițiștilor - funcționari publici cu statut special în măsura în care nu există dispoziții specifice derogatorii, prevederile art. 150 din acest act normativ nu își pot găsi aplicabilitatea în cauză.</w:t>
      </w:r>
    </w:p>
    <w:p>
      <w:pPr>
        <w:pStyle w:val="Normal"/>
        <w:ind w:right="0" w:firstLine="567"/>
        <w:jc w:val="both"/>
        <w:rPr/>
      </w:pPr>
      <w:r>
        <w:rPr/>
        <w:t>Totodată, în condițiile în care alin. (2) al art. 150 - „Indemnizația de concediu de odihnă reprezintă media zilnică a drepturilor salariale prevăzute la alin. (1) din ultimele 3 luni anterioare celei în care este efectuat concediul, multiplicată cu numărul de zile de concediu”, nu sunt aplicabile în cauză.</w:t>
      </w:r>
    </w:p>
    <w:p>
      <w:pPr>
        <w:pStyle w:val="Normal"/>
        <w:ind w:right="0" w:firstLine="567"/>
        <w:jc w:val="both"/>
        <w:rPr/>
      </w:pPr>
      <w:r>
        <w:rPr/>
        <w:t>De asemenea, inclusiv Directiva 2003/88/CE prevede că statele membre iau măsurile necesare pentru ca orice lucrător să beneficieze de un concediu anual plătit, în conformitate cu condițiile de obținere și de acordare a concediilor prevăzute de legislațiile și practicile naționale.</w:t>
      </w:r>
    </w:p>
    <w:p>
      <w:pPr>
        <w:pStyle w:val="Normal"/>
        <w:ind w:right="0" w:firstLine="567"/>
        <w:jc w:val="both"/>
        <w:rPr/>
      </w:pPr>
      <w:r>
        <w:rPr/>
        <w:t>Cu alte cuvinte, cu privire la O.G. 64/2006, s-a reținut faptul că actul normativ nu instituie nicio limitare a drepturilor bănești cuvenite și nici a sporurilor de care beneficiază categoriile de personal vizate de text pe durata concediului de odihnă, respectiv că nu este reglementată expres o situație de excepție. Tot astfel, din perspectiva dreptului comunitar, în privința polițiștilor de penitenciare s-a reținut faptul că norma legală națională nu prevede expres faptul că sporul pentru condiții grele nu intră în calculul indemnizației aferente concediului de odihnă, situația fiind diferită în cauza dedusă judecății.</w:t>
      </w:r>
    </w:p>
    <w:p>
      <w:pPr>
        <w:pStyle w:val="Normal"/>
        <w:ind w:right="0" w:firstLine="567"/>
        <w:jc w:val="both"/>
        <w:rPr/>
      </w:pPr>
      <w:r>
        <w:rPr/>
        <w:t>Recurentul pârât a învederat, de asemenea, aspectele reținute în Decizia Curții Constituționale nr. 1658/2010, respectiv faptul că „Nu în ultimul rând, trebuie amintit că statul are deplina legitimitate constituțională de a acorda sporuri, stimulente, premii, adaosuri la salariul de bază personalului plătit din fonduri publice, în funcție de veniturile bugetare pe care le realizează. Acestea nu sunt drepturi fundamentale, ci drepturi salariale suplimentare. Legiuitorul este în drept, totodată, să instituie anumite sporuri la indemnizațiile și salariile de bază, premii periodice și alte stimulente, pe care le poate diferenția în funcție de categoriile de personal cărora li se acordă, le poate modifica în diferite perioade de timp, le poate suspenda sau chiar anula.”</w:t>
      </w:r>
    </w:p>
    <w:p>
      <w:pPr>
        <w:pStyle w:val="Normal"/>
        <w:ind w:right="0" w:firstLine="567"/>
        <w:jc w:val="both"/>
        <w:rPr/>
      </w:pPr>
      <w:r>
        <w:rPr/>
        <w:t>Raportat la o eventuală situație discriminatorie, recurentul a menţionat aspectele stabilite prin Decizia Curții Constituționale nr. 818/03.07.2018, în sensul că „prevederile art. 1, art. 2 alin. (3) și art. 27 alin. (1) din Ordonanța Guvernului nr. 137/2000 privind prevenirea și sancționarea tuturor formelor de discriminare, republicată, sunt neconstituționale, în măsura în care din acestea se desprinde înțelesul că instanțele judecătorești au competenta să anuleze ori să refuze aplicarea unor acte normative cu putere de lege, considerând că sunt discriminatorii, și să le înlocuiască cu norme create pe cale judiciară sau cu prevederi cuprinse în alte acte normative.”</w:t>
      </w:r>
    </w:p>
    <w:p>
      <w:pPr>
        <w:pStyle w:val="Normal"/>
        <w:ind w:right="0" w:firstLine="567"/>
        <w:jc w:val="both"/>
        <w:rPr/>
      </w:pPr>
      <w:r>
        <w:rPr/>
        <w:t>Din perspectiva art. 488 alin. 1 pct. 8 C. proc. civ., având în vedere prev. O.G. nr. 38/2003 - analizate de instanța de fond - raportate la normele de salarizare din Legea - cadru nr. 153/2017 și Ordinul S/7/31.01.2018, recurentul a apreciat că hotărârea a fost dată cu aplicarea greșită a normelor de drept material.</w:t>
      </w:r>
    </w:p>
    <w:p>
      <w:pPr>
        <w:pStyle w:val="Normal"/>
        <w:ind w:right="0" w:firstLine="567"/>
        <w:jc w:val="both"/>
        <w:rPr/>
      </w:pPr>
      <w:r>
        <w:rPr/>
        <w:t>Pentru aceste motive, recurentul a solicitat admiterea recursului, casarea în tot a hotărârii recurate și respingerea acțiunii ca neîntemeiată.</w:t>
      </w:r>
    </w:p>
    <w:p>
      <w:pPr>
        <w:pStyle w:val="Normal"/>
        <w:ind w:right="0" w:firstLine="567"/>
        <w:jc w:val="both"/>
        <w:rPr/>
      </w:pPr>
      <w:r>
        <w:rPr/>
        <w:t>În drept, prezenta cerere de recurs a fost întemeiată pe dispozițiile art. 483 și art. 488 alin. 1 pct. 4,pct.5, pct. 6 și pct. 8 din Legea nr. 134/2010 privind Codul de Procedură Civilă și celorlalte prevederi legale arătate.</w:t>
      </w:r>
    </w:p>
    <w:p>
      <w:pPr>
        <w:pStyle w:val="Normal"/>
        <w:ind w:right="0" w:firstLine="567"/>
        <w:jc w:val="both"/>
        <w:rPr/>
      </w:pPr>
      <w:r>
        <w:rPr/>
        <w:t xml:space="preserve">Intimata reclamantă </w:t>
      </w:r>
      <w:r>
        <w:rPr>
          <w:b/>
          <w:bCs/>
        </w:rPr>
        <w:t>R1</w:t>
      </w:r>
      <w:r>
        <w:rPr/>
        <w:t xml:space="preserve"> nu a formulat întâmpinare în prezenta cauză.</w:t>
      </w:r>
    </w:p>
    <w:p>
      <w:pPr>
        <w:pStyle w:val="Normal"/>
        <w:ind w:right="0" w:firstLine="567"/>
        <w:jc w:val="both"/>
        <w:rPr/>
      </w:pPr>
      <w:r>
        <w:rPr>
          <w:b/>
          <w:bCs/>
        </w:rPr>
        <w:t>Examinând recursul prin prisma motivelor formulate și dispozițiilor legale incidente în cauză, Curtea constată următoarele:</w:t>
      </w:r>
      <w:r>
        <w:rPr/>
        <w:t xml:space="preserve"> </w:t>
      </w:r>
    </w:p>
    <w:p>
      <w:pPr>
        <w:pStyle w:val="NormalWeb"/>
        <w:shd w:val="clear" w:fill="FFFFFF"/>
        <w:spacing w:before="0" w:after="0"/>
        <w:ind w:right="0" w:firstLine="708"/>
        <w:jc w:val="both"/>
        <w:rPr/>
      </w:pPr>
      <w:r>
        <w:rPr>
          <w:iCs/>
          <w:color w:val="212529"/>
        </w:rPr>
        <w:t>Relativ la motivul de casare prevăzut de </w:t>
      </w:r>
      <w:r>
        <w:rPr>
          <w:b/>
          <w:iCs/>
          <w:color w:val="212529"/>
        </w:rPr>
        <w:t>art. 488 alin. 1 pct. 4 C.proc.civ</w:t>
      </w:r>
      <w:r>
        <w:rPr>
          <w:iCs/>
          <w:color w:val="212529"/>
        </w:rPr>
        <w:t>. din cadrul memoriului de recurs, Curtea îl găseşte neîntemeiat, pentru următoarele considerente</w:t>
      </w:r>
      <w:r>
        <w:rPr>
          <w:color w:val="212529"/>
        </w:rPr>
        <w:t>:</w:t>
      </w:r>
    </w:p>
    <w:p>
      <w:pPr>
        <w:pStyle w:val="Normal"/>
        <w:ind w:right="0" w:firstLine="567"/>
        <w:jc w:val="both"/>
        <w:rPr>
          <w:szCs w:val="20"/>
          <w:lang w:eastAsia="en-US"/>
        </w:rPr>
      </w:pPr>
      <w:r>
        <w:rPr>
          <w:szCs w:val="20"/>
          <w:lang w:eastAsia="en-US"/>
        </w:rPr>
        <w:t>Potrivit art. 488 pct. 4 C.p.c când instanţa a depăşit atribuţiile puterii judecătorești se poate cere casarea hotărârii.</w:t>
      </w:r>
    </w:p>
    <w:p>
      <w:pPr>
        <w:pStyle w:val="Normal"/>
        <w:ind w:right="0" w:firstLine="567"/>
        <w:jc w:val="both"/>
        <w:rPr>
          <w:szCs w:val="20"/>
          <w:lang w:eastAsia="en-US"/>
        </w:rPr>
      </w:pPr>
      <w:r>
        <w:rPr>
          <w:szCs w:val="20"/>
          <w:lang w:eastAsia="en-US"/>
        </w:rPr>
        <w:t>Prin depășirea atribuțiilor puterii judecătorești se înțelege incursiunea autorității judecătorești în sfera autorității executive sau legislative, instanța săvârșind acte ce intră în atribuțiile altor organe aparținând unei alte autorități constituite în stat, substituindu-se acestora.</w:t>
      </w:r>
    </w:p>
    <w:p>
      <w:pPr>
        <w:pStyle w:val="Normal"/>
        <w:ind w:right="0" w:firstLine="567"/>
        <w:jc w:val="both"/>
        <w:rPr/>
      </w:pPr>
      <w:r>
        <w:rPr>
          <w:szCs w:val="20"/>
          <w:lang w:eastAsia="en-US"/>
        </w:rPr>
        <w:t xml:space="preserve">Or, examinând sentința pronunțată, Curtea apreciază că instanța de fond nu s-a substituit puterii legislative, prin obligarea recurentului pârât la </w:t>
      </w:r>
      <w:r>
        <w:rPr/>
        <w:t>recalcularea indemnizaţiei de concediu de odihnă cuvenită reclamantului pentru perioada 19.01.2021-2024 prin includerea sporului pentru condiţii grele/periculoase sau vătămătoare de care a beneficiat în această perioadă</w:t>
      </w:r>
      <w:r>
        <w:rPr>
          <w:szCs w:val="20"/>
          <w:lang w:eastAsia="en-US"/>
        </w:rPr>
        <w:t>.</w:t>
      </w:r>
    </w:p>
    <w:p>
      <w:pPr>
        <w:pStyle w:val="Normal"/>
        <w:ind w:right="0" w:firstLine="567"/>
        <w:jc w:val="both"/>
        <w:rPr>
          <w:szCs w:val="20"/>
          <w:lang w:eastAsia="en-US"/>
        </w:rPr>
      </w:pPr>
      <w:r>
        <w:rPr>
          <w:szCs w:val="20"/>
          <w:lang w:eastAsia="en-US"/>
        </w:rPr>
        <w:t>Instanța are competența de a soluționa litigiile în legătură cu stabilirea salariilor de bază/soldelor de funcţie/salariilor de funcţie/indemnizaţiilor de încadrare, a sporurilor, a creşterilor salariale, a premiilor şi a altor drepturi care se acordă potrivit prevederilor Legii nr. 153/2017, în temeiul prevederilor exprese la art. 37 din acest act normativ.</w:t>
      </w:r>
    </w:p>
    <w:p>
      <w:pPr>
        <w:pStyle w:val="NormalWeb"/>
        <w:shd w:val="clear" w:fill="FFFFFF"/>
        <w:spacing w:before="0" w:after="0"/>
        <w:ind w:right="0" w:firstLine="720"/>
        <w:jc w:val="both"/>
        <w:rPr/>
      </w:pPr>
      <w:r>
        <w:rPr/>
        <w:t>Deşi dreptul solicitat în prezenta cauză este diferit de cel prevăzut de Decizia ÎCCJ RIL nr.23/2021 care se referă la funcţionarilor publici cu statut special din sistemul administraţiei penitenciare, Decizia ÎCCJ RIL nr. 23/2021 se poate aplica prin analogie şi în legătură cu dreptul solicitat în prezenta cauză, interpretarea textelor în discuţie decurgând din aceleași principii şi impunându-se cu caracter obligatoriu de la data publicării deciziei în Monitorul Oficial al României, Partea I, conform art. 517 alin. 4 C.p.c.</w:t>
      </w:r>
    </w:p>
    <w:p>
      <w:pPr>
        <w:pStyle w:val="NormalWeb"/>
        <w:shd w:val="clear" w:fill="FFFFFF"/>
        <w:spacing w:before="0" w:after="0"/>
        <w:ind w:right="0" w:firstLine="720"/>
        <w:jc w:val="both"/>
        <w:rPr/>
      </w:pPr>
      <w:r>
        <w:rPr/>
        <w:t>Având în vedere că drepturile în discuţie, deşi reglementate prin art. 12 alin. (2) și alin. (3) din Anexa nr. VI la Legea - cadru nr. 153/2017, vizează aceeaşi chestiune de principiu – includerea la calculul indemnizaţiei de concediu de odihnă a sporului pentru condiţii de muncă grele, vătămătoare sau periculoase avute în perioada de activitate, corespunzător timpului lucrat în locurile de muncă respective, şi acelaşi regim juridic, fiind prevăzute în Anexa la Legea 153/2017 şi art. 150, art. 147 alin. 1 C.muncii, acordarea acestora se face prin analogie potrivit aceloraşi principii de interpretare a legii, </w:t>
      </w:r>
      <w:r>
        <w:rPr>
          <w:i/>
          <w:iCs/>
        </w:rPr>
        <w:t>ubi eadem ratio, ibi idem jus</w:t>
      </w:r>
      <w:r>
        <w:rPr/>
        <w:t>.</w:t>
      </w:r>
    </w:p>
    <w:p>
      <w:pPr>
        <w:pStyle w:val="NormalWeb"/>
        <w:shd w:val="clear" w:fill="FFFFFF"/>
        <w:spacing w:before="0" w:after="0"/>
        <w:ind w:right="0" w:firstLine="720"/>
        <w:jc w:val="both"/>
        <w:rPr/>
      </w:pPr>
      <w:r>
        <w:rPr/>
        <w:t>Analogia, ca procedeu tehnico-juridic de interpretare a legii, este consacrată de C.civ., fiind interzisă doar atunci când textul analog conţine o regulă de principiu şi de drept comun, adică o normă cu caracter general, iar nu special, de strictă interpretare.</w:t>
      </w:r>
    </w:p>
    <w:p>
      <w:pPr>
        <w:pStyle w:val="NormalWeb"/>
        <w:shd w:val="clear" w:fill="FFFFFF"/>
        <w:spacing w:before="0" w:after="0"/>
        <w:ind w:right="0" w:firstLine="720"/>
        <w:jc w:val="both"/>
        <w:rPr/>
      </w:pPr>
      <w:r>
        <w:rPr/>
        <w:t>Astfel, art. 10 C.civ. deşi intitulat „Interzicerea analogiei“, nu interzice analogia, ci doar enumeră cazurile în care aceasta nu poate fi folosită, şi anume: în cazul legilor care derogă de la o dispoziţie generală, al acelora care restrâng exerciţiul unor drepturi civile, precum şi în cazul legilor care prevăd sancţiuni civile.</w:t>
      </w:r>
    </w:p>
    <w:p>
      <w:pPr>
        <w:pStyle w:val="NormalWeb"/>
        <w:shd w:val="clear" w:fill="FFFFFF"/>
        <w:spacing w:before="0" w:after="0"/>
        <w:ind w:right="0" w:firstLine="720"/>
        <w:jc w:val="both"/>
        <w:rPr/>
      </w:pPr>
      <w:r>
        <w:rPr/>
        <w:t>Şi Legea 303/2004 privind statutul judecătorilor şi procurorilor, face trimitere la analogie, în art. 4 alin. 2 prin care prevede că judecătorii nu pot refuza să judece pe motiv că legea nu prevede, este neclară sau incompletă. Acest text este reluat în  art. 5 alin. 1 şi 2 C.p.c. judecătorii au îndatorirea să primească şi să soluţioneze orice cerere de</w:t>
      </w:r>
      <w:r>
        <w:rPr>
          <w:color w:val="212529"/>
        </w:rPr>
        <w:t xml:space="preserve"> competenţa instanţelor judecătoreşti, potrivit legii, iar niciun judecător nu poate refuza să judece pe motiv că legea nu prevede, este neclară sau incompletă.</w:t>
      </w:r>
    </w:p>
    <w:p>
      <w:pPr>
        <w:pStyle w:val="NormalWeb"/>
        <w:shd w:val="clear" w:fill="FFFFFF"/>
        <w:spacing w:before="0" w:after="0"/>
        <w:ind w:right="0" w:firstLine="720"/>
        <w:jc w:val="both"/>
        <w:rPr>
          <w:color w:val="212529"/>
        </w:rPr>
      </w:pPr>
      <w:r>
        <w:rPr>
          <w:color w:val="212529"/>
        </w:rPr>
        <w:t>Prin urmare, nimic nu împiedică prima instanţă să recurgă la aceleaşi principii în interpretarea şi aplicarea dispoziţiilor legale cu privire la acordarea dreptului de includere la calculul indemnizaţiei de concediu de odihnă a sporului pentru condiţii de muncă grele, vătămătoare sau periculoase avute în perioada de activitate, corespunzător timpului lucrat în locurile de muncă respective, ca şi în cazul normelor juridice ce reglementează acest drept pentru poliţişţii de penitenciare.</w:t>
      </w:r>
    </w:p>
    <w:p>
      <w:pPr>
        <w:pStyle w:val="NormalWeb"/>
        <w:shd w:val="clear" w:fill="FFFFFF"/>
        <w:spacing w:before="0" w:after="0"/>
        <w:ind w:right="0" w:firstLine="720"/>
        <w:jc w:val="both"/>
        <w:rPr/>
      </w:pPr>
      <w:r>
        <w:rPr>
          <w:color w:val="212529"/>
        </w:rPr>
        <w:t xml:space="preserve">Acest raţionament este susţinut de considerentele deciziilor ÎCCJ, Completul pentru dezlegarea unor chestiuni de drept, nr. 46/2020 pgf.49 potrivit căruia considerentele deciziilor obligatorii anterior pronunţate este necesar a fi urmat şi în situaţii juridice similare, în care principiul analogiei îşi găseşte aplicarea şi nr.46/2023, pgf.74, potrivit cărora </w:t>
      </w:r>
      <w:r>
        <w:rPr>
          <w:color w:val="000000"/>
          <w:shd w:val="clear" w:fill="FFFFFF"/>
        </w:rPr>
        <w:t>rolul și funcția hotărârii prealabile sunt de a oferi un instrument util instanțelor de judecată învestite cu atribuții de aplicare a legii, la o speță concretă, prin soluțiile pe care le oferă atât la o problemă de drept punctuală, cât și la altele identice ori similare</w:t>
      </w:r>
      <w:r>
        <w:rPr>
          <w:color w:val="212529"/>
        </w:rPr>
        <w:t>.</w:t>
      </w:r>
    </w:p>
    <w:p>
      <w:pPr>
        <w:pStyle w:val="NormalWeb"/>
        <w:shd w:val="clear" w:fill="FFFFFF"/>
        <w:spacing w:before="0" w:after="0"/>
        <w:ind w:right="0" w:firstLine="720"/>
        <w:jc w:val="both"/>
        <w:rPr>
          <w:color w:val="212529"/>
        </w:rPr>
      </w:pPr>
      <w:r>
        <w:rPr>
          <w:color w:val="212529"/>
        </w:rPr>
        <w:t>Totodată, Curtea constată că prima instanţă, după ce a redat paragrafe din Decizia ÎCCJ RIL 23/2021 considerate esenţiate în soluţionarea cauzei, a făcut o analiză concretă a prevederilor legale incidente în raport de categoria profesională a intimatului-reclamant.</w:t>
      </w:r>
    </w:p>
    <w:p>
      <w:pPr>
        <w:pStyle w:val="Normal"/>
        <w:shd w:val="clear" w:fill="FFFFFF"/>
        <w:spacing w:line="270" w:lineRule="atLeast"/>
        <w:ind w:right="0" w:firstLine="720"/>
        <w:jc w:val="both"/>
        <w:rPr/>
      </w:pPr>
      <w:r>
        <w:rPr>
          <w:szCs w:val="20"/>
          <w:lang w:eastAsia="en-US"/>
        </w:rPr>
        <w:t>O altă critică de pretinsă nelegalitate invocată de recurent privește lipsa îndrituirii instanței de a dispune cu privire la oportunitatea introducerii sporului în calculul indemnizației de concediu, apreciind recurentul că această decizie aparține exclusiv ordonatorului de credite, care a adoptat Ordinul MAI nr.S/7/31.01.2018, pe care prima instanţă l-a înlăturat de la aplicare.</w:t>
      </w:r>
    </w:p>
    <w:p>
      <w:pPr>
        <w:pStyle w:val="Normal"/>
        <w:shd w:val="clear" w:fill="FFFFFF"/>
        <w:spacing w:line="270" w:lineRule="atLeast"/>
        <w:ind w:right="0" w:firstLine="720"/>
        <w:jc w:val="both"/>
        <w:rPr>
          <w:szCs w:val="20"/>
          <w:lang w:eastAsia="en-US"/>
        </w:rPr>
      </w:pPr>
      <w:r>
        <w:rPr>
          <w:szCs w:val="20"/>
          <w:lang w:eastAsia="en-US"/>
        </w:rPr>
        <w:t>Curtea va reține caracterul nefondat al acestui motiv de recurs, reținând că potrivit prevederilor art. 23 alin. 1 din Legea nr. 153/2017 privind salarizarea personalului plătit din fonduri publice, locurile de muncă şi categoriile de personal, precum şi mărimea concretă a sporului pentru condiţii de muncă prevăzut în anexele nr. I - VIII şi condiţiile de acordare a acestuia se stabilesc, în cel mult 60 de zile de la publicarea prezentei legi în Monitorul Oficial al României, Partea I, prin regulament-cadru elaborat de către fiecare dintre ministerele coordonatoare ale celor 6 domenii de activitate bugetară, respectiv învăţământ, sănătate şi asistenţă socială, cultură, diplomaţie, justiţie, administraţie, de către instituţiile de apărare, ordine publică şi securitate naţională, precum şi de către autorităţile publice centrale autonome, care se aprobă prin hotărâre a Guvernului*), la propunerea fiecăruia dintre ministerele coordonatoare, a fiecăreia dintre instituţiile de apărare, ordine publică şi securitate naţională sau a fiecăreia dintre autorităţile publice centrale autonome, cu avizul Ministerului Muncii şi Justiţiei Sociale şi al Ministerului Finanţelor Publice şi cu consultarea federaţiilor sindicale reprezentative domeniului de activitate.</w:t>
      </w:r>
    </w:p>
    <w:p>
      <w:pPr>
        <w:pStyle w:val="Normal"/>
        <w:ind w:right="0" w:firstLine="567"/>
        <w:jc w:val="both"/>
        <w:rPr/>
      </w:pPr>
      <w:r>
        <w:rPr>
          <w:szCs w:val="20"/>
          <w:lang w:eastAsia="en-US"/>
        </w:rPr>
        <w:t xml:space="preserve">În aplicarea acestor prevederi legale a fost adoptat Ordinul MAI nr.S/7/31.01.2018 </w:t>
      </w:r>
      <w:r>
        <w:rPr/>
        <w:t>pentru aprobarea Normelor metodologice privind aplicarea prevederilor legale referitoare la salarizarea personalului militar, polițiștilor și personalului civil din Ministerul Afacerilor Interne, prin care „drepturile bănești avute” au fost definite ca fiind indemnizațiile, sporurile și alte drepturi care nu se plătesc în raport de timpul efectiv lucrat pe baza unor pontaje întocmite în acest sens.</w:t>
      </w:r>
    </w:p>
    <w:p>
      <w:pPr>
        <w:pStyle w:val="Normal"/>
        <w:shd w:val="clear" w:fill="FFFFFF"/>
        <w:spacing w:line="270" w:lineRule="atLeast"/>
        <w:ind w:right="0" w:firstLine="720"/>
        <w:jc w:val="both"/>
        <w:rPr/>
      </w:pPr>
      <w:r>
        <w:rPr>
          <w:color w:val="212529"/>
          <w:shd w:val="clear" w:fill="FFFFFF"/>
        </w:rPr>
        <w:t>Tribunalul nu a procedat la înlocuirea unei norme interne cu o altă normă şi nici nu a acordat drepturi nerecunoscute de actele normative în vigoare, ci doar a aplicat în privința salarizării funcționarilor publici dispozițiile Legii nr. 153/2017 și O.G nr.38/2003, pronunțându-se asupra cererii cu care a fost învestit. O eventuală interpretare greșită a </w:t>
      </w:r>
      <w:r>
        <w:rPr>
          <w:szCs w:val="20"/>
          <w:lang w:eastAsia="en-US"/>
        </w:rPr>
        <w:t xml:space="preserve">Ordinul MAI nr. S/7/31.01.2018 </w:t>
      </w:r>
      <w:r>
        <w:rPr>
          <w:color w:val="212529"/>
          <w:shd w:val="clear" w:fill="FFFFFF"/>
        </w:rPr>
        <w:t>nu cade sub incidența </w:t>
      </w:r>
      <w:r>
        <w:rPr/>
        <w:t>art</w:t>
      </w:r>
      <w:r>
        <w:rPr>
          <w:color w:val="212529"/>
          <w:shd w:val="clear" w:fill="FFFFFF"/>
        </w:rPr>
        <w:t>. </w:t>
      </w:r>
      <w:r>
        <w:rPr/>
        <w:t>488</w:t>
      </w:r>
      <w:r>
        <w:rPr>
          <w:color w:val="212529"/>
          <w:shd w:val="clear" w:fill="FFFFFF"/>
        </w:rPr>
        <w:t> </w:t>
      </w:r>
      <w:r>
        <w:rPr/>
        <w:t>pct</w:t>
      </w:r>
      <w:r>
        <w:rPr>
          <w:color w:val="212529"/>
          <w:shd w:val="clear" w:fill="FFFFFF"/>
        </w:rPr>
        <w:t>. </w:t>
      </w:r>
      <w:r>
        <w:rPr/>
        <w:t>4</w:t>
      </w:r>
      <w:r>
        <w:rPr>
          <w:color w:val="212529"/>
          <w:shd w:val="clear" w:fill="FFFFFF"/>
        </w:rPr>
        <w:t>, ci </w:t>
      </w:r>
      <w:r>
        <w:rPr/>
        <w:t>pct</w:t>
      </w:r>
      <w:r>
        <w:rPr>
          <w:color w:val="212529"/>
          <w:shd w:val="clear" w:fill="FFFFFF"/>
        </w:rPr>
        <w:t>. 8 Cpc. În orice caz, prin aprecierea ca nelegală a normei metodologice, Curtea nu s-a substituit puterii executive, ci doar a expus argumentele sale pentru care acest ordin nu ar putea prevala legii.</w:t>
      </w:r>
    </w:p>
    <w:p>
      <w:pPr>
        <w:pStyle w:val="Normal"/>
        <w:shd w:val="clear" w:fill="FFFFFF"/>
        <w:spacing w:line="270" w:lineRule="atLeast"/>
        <w:ind w:right="0" w:firstLine="720"/>
        <w:jc w:val="both"/>
        <w:rPr>
          <w:color w:val="212529"/>
          <w:shd w:val="clear" w:fill="FFFFFF"/>
        </w:rPr>
      </w:pPr>
      <w:r>
        <w:rPr>
          <w:color w:val="212529"/>
          <w:shd w:val="clear" w:fill="FFFFFF"/>
        </w:rPr>
        <w:t>Deşi recurentul invocă şi motivul de casare de la punctul 5 al art. 488 Cod de procedură civilă , nu le dezvoltă, iar Curtea nu decelează motive de ordine publică.</w:t>
      </w:r>
    </w:p>
    <w:p>
      <w:pPr>
        <w:pStyle w:val="NormalWeb"/>
        <w:shd w:val="clear" w:fill="FFFFFF"/>
        <w:spacing w:before="0" w:after="0"/>
        <w:ind w:right="0" w:firstLine="720"/>
        <w:jc w:val="both"/>
        <w:rPr/>
      </w:pPr>
      <w:r>
        <w:rPr>
          <w:color w:val="212529"/>
        </w:rPr>
        <w:t>Motivul de recurs întemeiat pe dispozițiile </w:t>
      </w:r>
      <w:r>
        <w:rPr>
          <w:b/>
          <w:color w:val="212529"/>
        </w:rPr>
        <w:t>art. 488 alin. 1 pct. 6 Cod Procedură Civilă</w:t>
      </w:r>
      <w:r>
        <w:rPr>
          <w:color w:val="212529"/>
        </w:rPr>
        <w:t>, </w:t>
      </w:r>
      <w:r>
        <w:rPr>
          <w:i/>
          <w:iCs/>
          <w:color w:val="212529"/>
        </w:rPr>
        <w:t>„când hotărârea nu cuprinde motivele pe care se întemeiază sau când cuprinde motive contradictorii ori numai motive străine de natura cauzei.”</w:t>
      </w:r>
    </w:p>
    <w:p>
      <w:pPr>
        <w:pStyle w:val="NormalWeb"/>
        <w:shd w:val="clear" w:fill="FFFFFF"/>
        <w:spacing w:before="0" w:after="0"/>
        <w:ind w:right="0" w:firstLine="720"/>
        <w:jc w:val="both"/>
        <w:rPr>
          <w:color w:val="212529"/>
          <w:shd w:val="clear" w:fill="FFFFFF"/>
        </w:rPr>
      </w:pPr>
      <w:r>
        <w:rPr>
          <w:color w:val="212529"/>
          <w:shd w:val="clear" w:fill="FFFFFF"/>
        </w:rPr>
        <w:t>Considerentele hotărârii cuprind motivele de fapt și de drept care au dus la soluția pronunțată, o astfel de hotărâre nu face imposibilă analiza, în cadrul recursului, a legalității sale pe fond.</w:t>
      </w:r>
    </w:p>
    <w:p>
      <w:pPr>
        <w:pStyle w:val="NormalWeb"/>
        <w:shd w:val="clear" w:fill="FFFFFF"/>
        <w:spacing w:before="0" w:after="0"/>
        <w:ind w:right="0" w:firstLine="720"/>
        <w:jc w:val="both"/>
        <w:rPr>
          <w:color w:val="212529"/>
        </w:rPr>
      </w:pPr>
      <w:r>
        <w:rPr>
          <w:color w:val="212529"/>
        </w:rPr>
        <w:t>În legătura cu motivarea oricărei soluții, Curtea Europeana a Drepturilor Omului a apreciat, în mai multe cauze, inclusiv împotriva României, ca aceasta este o componenta a dreptului oricărei părți la un proces echitabil, drept statuat de dispozițiile art. 6 din Convenția Europeana a Drepturilor Omului.</w:t>
      </w:r>
    </w:p>
    <w:p>
      <w:pPr>
        <w:pStyle w:val="NormalWeb"/>
        <w:shd w:val="clear" w:fill="FFFFFF"/>
        <w:spacing w:before="0" w:after="0"/>
        <w:ind w:right="0" w:firstLine="720"/>
        <w:jc w:val="both"/>
        <w:rPr>
          <w:color w:val="212529"/>
        </w:rPr>
      </w:pPr>
      <w:r>
        <w:rPr>
          <w:color w:val="212529"/>
        </w:rPr>
        <w:t>Astfel, în cauza Albina împotriva României, Curtea reiterează principiile pe care le-a statuat în cauza Helle împotriva Finlandei, arătând ca noțiunea de proces echitabil presupune ca o instanța internă care nu a motivat decât pe scurt hotărârea să fi examinat totuși în mod real problemele esențiale care i-au fost supuse.</w:t>
      </w:r>
    </w:p>
    <w:p>
      <w:pPr>
        <w:pStyle w:val="NormalWeb"/>
        <w:shd w:val="clear" w:fill="FFFFFF"/>
        <w:spacing w:before="0" w:after="0"/>
        <w:ind w:right="0" w:firstLine="720"/>
        <w:jc w:val="both"/>
        <w:rPr>
          <w:color w:val="212529"/>
          <w:shd w:val="clear" w:fill="FFFFFF"/>
        </w:rPr>
      </w:pPr>
      <w:r>
        <w:rPr>
          <w:color w:val="212529"/>
          <w:shd w:val="clear" w:fill="FFFFFF"/>
        </w:rPr>
        <w:t>Astfel, chiar daca judecătorul nu trebuie să răspundă tuturor argumentelor invocate de părți, argumentele decisive pentru soluționarea cauzei vor trebui totuși să-și găsească reflectare în hotărâre, şi aceasta este şi situația din speţă.</w:t>
      </w:r>
    </w:p>
    <w:p>
      <w:pPr>
        <w:pStyle w:val="NormalWeb"/>
        <w:shd w:val="clear" w:fill="FFFFFF"/>
        <w:spacing w:before="0" w:after="0"/>
        <w:ind w:right="0" w:firstLine="720"/>
        <w:jc w:val="both"/>
        <w:rPr/>
      </w:pPr>
      <w:r>
        <w:rPr>
          <w:color w:val="212529"/>
        </w:rPr>
        <w:t xml:space="preserve">Instanța de fond în baza actelor aflate la dosar și prin interpretarea normelor legale a concluzionat că reclamantul are dreptul la </w:t>
      </w:r>
      <w:r>
        <w:rPr/>
        <w:t>recalcularea indemnizaţiei de concediu de odihnă prin includerea sporului pentru condiţii grele/periculoase sau vătămătoare de care a beneficiat în perioada de referinţă</w:t>
      </w:r>
      <w:r>
        <w:rPr>
          <w:color w:val="212529"/>
        </w:rPr>
        <w:t xml:space="preserve">. Faptul că instanța nu a interpretat argumentele invocate de recurentul-pârât în sensul propus de acesta, nu conduce la concluzia că sentința ar fi nemotivată. De altfel, Curtea subliniază că necercetarea de către instanţa de fond a anumitor argumente ale părţilor, în condiţiile în care au fost indicate motivele avute în vedere pentru pronunţarea soluţiei, nu deschide calea recursului, pentru nemotivare. Prima instanţă a interpretat prevederile OG 38/2003, art.150, alin.1 şi 2 din Legea 53/2003 şi aplicat statuările obligatorii din Decizia RIL nr.23/2021, apreciind că reclamantul este îndreptățit la </w:t>
      </w:r>
      <w:r>
        <w:rPr/>
        <w:t>recalcularea indemnizaţiei de concediu de odihnă prin includerea sporului pentru condiţii grele/periculoase sau vătămătoare de care a beneficiat în perioada de activitate</w:t>
      </w:r>
      <w:r>
        <w:rPr>
          <w:color w:val="212529"/>
        </w:rPr>
        <w:t>; o eventuală interpretare greşită normelor legale aplicabile intră sub incidenţa motivului de casare prevăzut de art. 488 alin. 1 pct. 8 Cpc.</w:t>
      </w:r>
    </w:p>
    <w:p>
      <w:pPr>
        <w:pStyle w:val="NormalWeb"/>
        <w:shd w:val="clear" w:fill="FFFFFF"/>
        <w:spacing w:before="0" w:after="0"/>
        <w:ind w:right="0" w:firstLine="720"/>
        <w:jc w:val="both"/>
        <w:rPr/>
      </w:pPr>
      <w:r>
        <w:rPr>
          <w:color w:val="212529"/>
        </w:rPr>
        <w:t> </w:t>
      </w:r>
      <w:r>
        <w:rPr>
          <w:iCs/>
          <w:color w:val="212529"/>
        </w:rPr>
        <w:t>Relativ la motivul de casare prevăzut de </w:t>
      </w:r>
      <w:r>
        <w:rPr>
          <w:b/>
          <w:iCs/>
          <w:color w:val="212529"/>
        </w:rPr>
        <w:t>art. 488 alin. 1 pct. 8 C.p.c</w:t>
      </w:r>
      <w:r>
        <w:rPr>
          <w:iCs/>
          <w:color w:val="212529"/>
        </w:rPr>
        <w:t>. din cadrul memoriului de recurs, Curtea îl găseşte neîntemeiat, pentru următoarele considerente</w:t>
      </w:r>
      <w:r>
        <w:rPr>
          <w:color w:val="212529"/>
        </w:rPr>
        <w:t>:</w:t>
      </w:r>
    </w:p>
    <w:p>
      <w:pPr>
        <w:pStyle w:val="NormalWeb"/>
        <w:shd w:val="clear" w:fill="FFFFFF"/>
        <w:spacing w:before="0" w:after="0" w:line="300" w:lineRule="atLeast"/>
        <w:ind w:right="0" w:firstLine="708"/>
        <w:jc w:val="both"/>
        <w:rPr>
          <w:color w:val="212529"/>
        </w:rPr>
      </w:pPr>
      <w:r>
        <w:rPr>
          <w:color w:val="212529"/>
        </w:rPr>
        <w:t>În esenţă, Curtea reţine că părţile au o poziţie divergentă cu privire la recalcularea indemnizaţiei de concediu de odihnă prin includerea sporului pentru condiţii periculoase sau vătămătoare de muncă în raport de caracterul permanent/nepermanent al acestuia.</w:t>
      </w:r>
    </w:p>
    <w:p>
      <w:pPr>
        <w:pStyle w:val="Normal"/>
        <w:spacing w:line="252" w:lineRule="auto"/>
        <w:ind w:right="0" w:firstLine="630"/>
        <w:jc w:val="both"/>
        <w:rPr/>
      </w:pPr>
      <w:r>
        <w:rPr>
          <w:color w:val="212529"/>
        </w:rPr>
        <w:t xml:space="preserve">În privinţa indemnizaţiei de concediu de odihnă la care este îndreptăţit intimatul-reclamant funcţionar public, </w:t>
      </w:r>
      <w:r>
        <w:rPr>
          <w:szCs w:val="20"/>
          <w:lang w:eastAsia="en-US"/>
        </w:rPr>
        <w:t xml:space="preserve">conform art. 37 alin. (1) din O.G. nr. 38/2003, </w:t>
      </w:r>
      <w:r>
        <w:rPr>
          <w:i/>
          <w:szCs w:val="20"/>
          <w:lang w:eastAsia="en-US"/>
        </w:rPr>
        <w:t>Poliţiştii, pe timpul cât se află în delegare, detaşare, incapacitate temporară de muncă, concediu de odihnă, concediu de maternitate şi alte concedii plătite care se acordă în baza dispoziţiilor legale în vigoare, primesc salariile de bază şi celelalte drepturi băneşti avute. În cazul în care detaşarea se face pe un post cu un nivel de salarizare superior, poliţiştii beneficiază de salariul funcţiei respective şi de celelalte drepturi băneşti legal cuvenite.</w:t>
      </w:r>
    </w:p>
    <w:p>
      <w:pPr>
        <w:pStyle w:val="Normal"/>
        <w:shd w:val="clear" w:fill="FFFFFF"/>
        <w:ind w:right="0" w:firstLine="709"/>
        <w:jc w:val="both"/>
        <w:rPr>
          <w:color w:val="000000"/>
          <w:szCs w:val="20"/>
          <w:lang w:eastAsia="en-US"/>
        </w:rPr>
      </w:pPr>
      <w:r>
        <w:rPr>
          <w:color w:val="000000"/>
          <w:szCs w:val="20"/>
          <w:lang w:eastAsia="en-US"/>
        </w:rPr>
        <w:t>Conform art. 12, alin.2, lit.a şi b şi alin.3 din Anexa VI la Legea 153/2017 privind salarizarea personalului plătit din fonduri publice:</w:t>
      </w:r>
    </w:p>
    <w:p>
      <w:pPr>
        <w:pStyle w:val="Normal"/>
        <w:shd w:val="clear" w:fill="FFFFFF"/>
        <w:ind w:right="0" w:firstLine="709"/>
        <w:jc w:val="both"/>
        <w:rPr>
          <w:color w:val="000000"/>
          <w:szCs w:val="20"/>
          <w:lang w:eastAsia="en-US"/>
        </w:rPr>
      </w:pPr>
      <w:r>
        <w:rPr>
          <w:color w:val="000000"/>
          <w:szCs w:val="20"/>
          <w:lang w:eastAsia="en-US"/>
        </w:rPr>
        <w:t xml:space="preserve">    </w:t>
      </w:r>
      <w:r>
        <w:rPr>
          <w:color w:val="000000"/>
          <w:szCs w:val="20"/>
          <w:lang w:eastAsia="en-US"/>
        </w:rPr>
        <w:t>(2) Personalul militar, poliţiştii, poliţiştii de penitenciare şi personalul civil beneficiază de următoarele sporuri, în funcţie de condiţiile de muncă:</w:t>
      </w:r>
    </w:p>
    <w:p>
      <w:pPr>
        <w:pStyle w:val="Normal"/>
        <w:shd w:val="clear" w:fill="FFFFFF"/>
        <w:ind w:right="0" w:firstLine="709"/>
        <w:jc w:val="both"/>
        <w:rPr>
          <w:color w:val="000000"/>
          <w:szCs w:val="20"/>
          <w:lang w:eastAsia="en-US"/>
        </w:rPr>
      </w:pPr>
      <w:r>
        <w:rPr>
          <w:color w:val="000000"/>
          <w:szCs w:val="20"/>
          <w:lang w:eastAsia="en-US"/>
        </w:rPr>
        <w:t xml:space="preserve">    </w:t>
      </w:r>
      <w:r>
        <w:rPr>
          <w:color w:val="000000"/>
          <w:szCs w:val="20"/>
          <w:lang w:eastAsia="en-US"/>
        </w:rPr>
        <w:t>a) pentru condiţii periculoase sau vătămătoare, un spor de până la 15% din solda de funcţie/salariul de funcţie/salariul de bază, dar nu mai mult de 1.500 lei brut lunar, corespunzător timpului lucrat la locurile de muncă respective;</w:t>
      </w:r>
    </w:p>
    <w:p>
      <w:pPr>
        <w:pStyle w:val="Normal"/>
        <w:shd w:val="clear" w:fill="FFFFFF"/>
        <w:ind w:right="0" w:firstLine="709"/>
        <w:jc w:val="both"/>
        <w:rPr>
          <w:color w:val="000000"/>
          <w:szCs w:val="20"/>
          <w:lang w:eastAsia="en-US"/>
        </w:rPr>
      </w:pPr>
      <w:r>
        <w:rPr>
          <w:color w:val="000000"/>
          <w:szCs w:val="20"/>
          <w:lang w:eastAsia="en-US"/>
        </w:rPr>
        <w:t xml:space="preserve">    </w:t>
      </w:r>
      <w:r>
        <w:rPr>
          <w:color w:val="000000"/>
          <w:szCs w:val="20"/>
          <w:lang w:eastAsia="en-US"/>
        </w:rPr>
        <w:t>b) pentru condiţii grele de muncă, un spor de până la 15% din solda de funcţie/salariul de funcţie/salariul de bază, corespunzător timpului lucrat la locurile de muncă respective; (...).</w:t>
      </w:r>
    </w:p>
    <w:p>
      <w:pPr>
        <w:pStyle w:val="Normal"/>
        <w:shd w:val="clear" w:fill="FFFFFF"/>
        <w:ind w:right="0" w:firstLine="709"/>
        <w:jc w:val="both"/>
        <w:rPr>
          <w:color w:val="000000"/>
          <w:szCs w:val="20"/>
          <w:lang w:eastAsia="en-US"/>
        </w:rPr>
      </w:pPr>
      <w:r>
        <w:rPr>
          <w:color w:val="000000"/>
          <w:szCs w:val="20"/>
          <w:lang w:eastAsia="en-US"/>
        </w:rPr>
        <w:t xml:space="preserve">    </w:t>
      </w:r>
      <w:r>
        <w:rPr>
          <w:color w:val="000000"/>
          <w:szCs w:val="20"/>
          <w:lang w:eastAsia="en-US"/>
        </w:rPr>
        <w:t>(3) Locurile, condiţiile de muncă şi operaţiunile, precum şi procentele de acordare se stabilesc prin ordin al ordonatorului principal de credite, în limita prevederilor din Regulamentul elaborat potrivit prezentei legi, având la bază buletinele de determinare sau, după caz, expertizare, emise de către autorităţile abilitate în acest sens.”</w:t>
      </w:r>
    </w:p>
    <w:p>
      <w:pPr>
        <w:pStyle w:val="NormalWeb"/>
        <w:shd w:val="clear" w:fill="FFFFFF"/>
        <w:spacing w:before="0" w:after="0" w:line="300" w:lineRule="atLeast"/>
        <w:ind w:right="0" w:firstLine="708"/>
        <w:jc w:val="both"/>
        <w:rPr/>
      </w:pPr>
      <w:r>
        <w:rPr>
          <w:szCs w:val="20"/>
          <w:lang w:eastAsia="en-US"/>
        </w:rPr>
        <w:t>Contrar susținerilor recurentului, art. 150 din Codul muncii este aplicabil în cauză,</w:t>
      </w:r>
      <w:r>
        <w:rPr/>
        <w:t xml:space="preserve"> faptul că funcţionarilor publici nu le sunt stabilite drepturile salariale prin contract individual de muncă, nu poate conduce la inaplicabilitatea dispoziţiilor art. 150 alin.1 din Codul muncii, în raport de dispoziţiile  art. 367 şi art.538, alin.2 din OUG 57/2019-Codul administrativ, art. 1 alin. 2, art. 278 alin. 2 din Legea 53/2003, acesta urmând a se aplica în funcţie de specificul funcţiei publice.</w:t>
      </w:r>
    </w:p>
    <w:p>
      <w:pPr>
        <w:pStyle w:val="NormalWeb"/>
        <w:shd w:val="clear" w:fill="FFFFFF"/>
        <w:spacing w:before="0" w:after="0" w:line="300" w:lineRule="atLeast"/>
        <w:ind w:right="0" w:firstLine="708"/>
        <w:jc w:val="both"/>
        <w:rPr/>
      </w:pPr>
      <w:r>
        <w:rPr/>
        <w:t>Raporturile juridice recurent-intimat sunt raporturi juridice de muncă </w:t>
      </w:r>
      <w:r>
        <w:rPr>
          <w:i/>
          <w:iCs/>
        </w:rPr>
        <w:t>sui generis</w:t>
      </w:r>
      <w:r>
        <w:rPr/>
        <w:t>, calificarea în acest sens a fost făcută de ÎCCJ prin </w:t>
      </w:r>
      <w:r>
        <w:rPr>
          <w:u w:val="single"/>
        </w:rPr>
        <w:t>Decizia RIL nr. 46/2008</w:t>
      </w:r>
      <w:r>
        <w:rPr/>
        <w:t> pri</w:t>
      </w:r>
      <w:r>
        <w:rPr>
          <w:color w:val="212529"/>
        </w:rPr>
        <w:t>n care s-a reţinut că: „Prestarea muncii se realizează în cadrul unor raporturi sociale care, odată reglementate prin norme de drept, devin, de regulă, raporturi juridice de muncă. </w:t>
      </w:r>
      <w:r>
        <w:rPr>
          <w:iCs/>
          <w:color w:val="212529"/>
        </w:rPr>
        <w:t>În această categorie intră raporturile de muncă (de serviciu) ale funcţionarilor publici civili</w:t>
      </w:r>
      <w:r>
        <w:rPr>
          <w:color w:val="212529"/>
        </w:rPr>
        <w:t> sau militari, ale soldaţilor şi gradaţilor voluntari, ale persoanelor care deţin demnităţi publice, ale magistraţilor şi magistraţilor-asistenţi, ale personalului auxiliar de specialitate din cadrul instanţelor şi parchetelor de pe lângă acestea, ale membrilor cooperatori şi raporturile juridice de muncă născute în baza încheierii contractului individual de muncă.“ Deşi pentru pronunţarea acestei decizii ÎCCJ a avut a soluţiona un recurs în interesul legii având un obiect diferit, tangenţial a calificat şi raportul juridic dedus judecăţii în prezentul dosar.</w:t>
      </w:r>
    </w:p>
    <w:p>
      <w:pPr>
        <w:pStyle w:val="Normal"/>
        <w:spacing w:line="252" w:lineRule="auto"/>
        <w:ind w:right="0" w:firstLine="630"/>
        <w:jc w:val="both"/>
        <w:rPr/>
      </w:pPr>
      <w:r>
        <w:rPr>
          <w:szCs w:val="20"/>
          <w:lang w:eastAsia="en-US"/>
        </w:rPr>
        <w:t xml:space="preserve">Astfel, potrivit art.150 alin. (1) din Codul muncii, de principiu, </w:t>
      </w:r>
      <w:r>
        <w:rPr>
          <w:i/>
          <w:szCs w:val="20"/>
          <w:lang w:eastAsia="en-US"/>
        </w:rPr>
        <w:t>„Pentru perioada concediului de odihnă salariatul beneficiază de o indemnizație de concediu, care nu poate fi mai mică decât salariul de bază, indemnizațiile și sporurile cu caracter permanent cuvenite pentru perioada respectivă (…)”.</w:t>
      </w:r>
      <w:r>
        <w:rPr>
          <w:szCs w:val="20"/>
          <w:lang w:eastAsia="en-US"/>
        </w:rPr>
        <w:t xml:space="preserve"> Ca atare, în măsura în care sporurile pentru condiţii periculoase sau vătămătoare, precum şi pentru condiţii grele de muncă au fost incluse în drepturile salariale avute anterior efectuării concediului de odihnă, trebuie a se verifica dacă acestea au avut sau nu caracter permanent, în înţelesul art. 150 alin. (1) din Codul muncii. </w:t>
      </w:r>
    </w:p>
    <w:p>
      <w:pPr>
        <w:pStyle w:val="Normal"/>
        <w:ind w:right="0" w:firstLine="720"/>
        <w:jc w:val="both"/>
        <w:rPr/>
      </w:pPr>
      <w:r>
        <w:rPr>
          <w:szCs w:val="20"/>
          <w:lang w:eastAsia="en-US"/>
        </w:rPr>
        <w:t xml:space="preserve">Or, </w:t>
      </w:r>
      <w:r>
        <w:rPr>
          <w:b/>
          <w:szCs w:val="20"/>
          <w:lang w:eastAsia="en-US"/>
        </w:rPr>
        <w:t>cu privire la caracterul permanent al sporului pentru condiții de muncă periculoase și vătămătoare</w:t>
      </w:r>
      <w:r>
        <w:rPr>
          <w:szCs w:val="20"/>
          <w:lang w:eastAsia="en-US"/>
        </w:rPr>
        <w:t xml:space="preserve"> s-a pronunțat Înalta Curte de Casație și Justiție prin Decizia nr. 23/2021, </w:t>
      </w:r>
      <w:r>
        <w:rPr>
          <w:lang w:eastAsia="en-US"/>
        </w:rPr>
        <w:t>pronunțată de completul competent să judece recursul în interesul legii, prin care la pgf.91 s-a stabilit în mod obligatoriu că „</w:t>
      </w:r>
      <w:r>
        <w:rPr>
          <w:i/>
          <w:lang w:eastAsia="en-US"/>
        </w:rPr>
        <w:t>r</w:t>
      </w:r>
      <w:r>
        <w:rPr>
          <w:i/>
          <w:shd w:val="clear" w:fill="FFFFFF"/>
        </w:rPr>
        <w:t xml:space="preserve">aportat la dispoziţiile legale prevăzute de art. 12 alin. (2) din anexa nr. VII la Legea-cadru nr. 284/2010 şi, respectiv </w:t>
      </w:r>
      <w:r>
        <w:rPr>
          <w:b/>
          <w:i/>
          <w:shd w:val="clear" w:fill="FFFFFF"/>
        </w:rPr>
        <w:t>art. 12 alin. (2) din anexa nr. VI la Legea-cadru nr. 153/2017</w:t>
      </w:r>
      <w:r>
        <w:rPr>
          <w:i/>
          <w:shd w:val="clear" w:fill="FFFFFF"/>
        </w:rPr>
        <w:t>, se impune concluzia că sporurile pentru condiţii periculoase sau vătămătoare, precum şi pentru condiţii grele de muncă, de până la 15% din salariul funcţiei, corespunzător timpului lucrat la locurile de muncă respective, sunt sporuri cu caracter permanent, nu temporar</w:t>
      </w:r>
      <w:r>
        <w:rPr>
          <w:shd w:val="clear" w:fill="FFFFFF"/>
        </w:rPr>
        <w:t>”.</w:t>
      </w:r>
    </w:p>
    <w:p>
      <w:pPr>
        <w:pStyle w:val="Normal"/>
        <w:ind w:right="0" w:firstLine="720"/>
        <w:jc w:val="both"/>
        <w:rPr>
          <w:szCs w:val="20"/>
          <w:lang w:eastAsia="en-US"/>
        </w:rPr>
      </w:pPr>
      <w:r>
        <w:rPr>
          <w:szCs w:val="20"/>
          <w:lang w:eastAsia="en-US"/>
        </w:rPr>
        <w:t>Cu toate că decizia amintită vizează situația polițiștilor de penitenciare, cele statuate de Înalta Curte de Casație și Justiție sunt aplicabile și în prezenta cauză, relevante fiind următoarele considerente:</w:t>
      </w:r>
    </w:p>
    <w:p>
      <w:pPr>
        <w:pStyle w:val="Normal"/>
        <w:ind w:right="0" w:firstLine="720"/>
        <w:jc w:val="both"/>
        <w:rPr>
          <w:i/>
          <w:i/>
          <w:szCs w:val="20"/>
          <w:lang w:eastAsia="en-US"/>
        </w:rPr>
      </w:pPr>
      <w:r>
        <w:rPr>
          <w:i/>
          <w:szCs w:val="20"/>
          <w:lang w:eastAsia="en-US"/>
        </w:rPr>
        <w:t>„</w:t>
      </w:r>
      <w:r>
        <w:rPr>
          <w:i/>
          <w:szCs w:val="20"/>
          <w:lang w:eastAsia="en-US"/>
        </w:rPr>
        <w:t>97. Fiind stabilite și acordate în considerarea condițiilor specifice ale locurilor de muncă și atribuțiilor corespunzătoare statutului profesional, sporurile pentru condiții de muncă grele, vătămătoare sau periculoase constituie elemente ale salarizării polițiștilor de penitenciare care se mențin atât timp cât subzistă premisele ce au justificat acordarea lor, până la modificarea condițiilor locurilor de muncă sau a raporturilor de serviciu ale personalului care beneficiază de aceste drepturi salariale.  </w:t>
      </w:r>
    </w:p>
    <w:p>
      <w:pPr>
        <w:pStyle w:val="Normal"/>
        <w:ind w:right="0" w:firstLine="720"/>
        <w:jc w:val="both"/>
        <w:rPr>
          <w:i/>
          <w:i/>
          <w:szCs w:val="20"/>
          <w:lang w:eastAsia="en-US"/>
        </w:rPr>
      </w:pPr>
      <w:r>
        <w:rPr>
          <w:i/>
          <w:szCs w:val="20"/>
          <w:lang w:eastAsia="en-US"/>
        </w:rPr>
        <w:t>98. Astfel, este evident caracterul permanent al sporurilor în discuție, iar împrejurarea că aceste sporuri se acordă proporțional cu timpul efectiv lucrat în condiții de muncă grele, vătămătoare și periculoase constituie doar o modalitate de cuantificare a lor în perioadele de activitate a personalului, fără a avea vreo influență asupra calificării acestora ca sporuri cu caracter permanent (cu atât mai mult cu cât consecințele condițiilor speciale de muncă repercutate asupra beneficiarilor acestor sporuri nu încetează automat la intrarea acestora în concediu, ci se prelungesc în timp și ulterior, justificând astfel acordarea sporurilor cu caracter de continuitate).</w:t>
      </w:r>
    </w:p>
    <w:p>
      <w:pPr>
        <w:pStyle w:val="Normal"/>
        <w:ind w:right="0" w:firstLine="720"/>
        <w:jc w:val="both"/>
        <w:rPr/>
      </w:pPr>
      <w:r>
        <w:rPr>
          <w:i/>
          <w:szCs w:val="20"/>
          <w:lang w:eastAsia="en-US"/>
        </w:rPr>
        <w:t>101. Caracterul variabil al sporului privește cuantificarea, stabilirea valorii sale nominale prin aplicarea reperelor de cuantificare (în cauzele analizate, timpul efectiv lucrat), opuse sporurilor cu caracter variabil fiind sporurile fixe, iar nu sporurile cu caracter permanent. Altfel spus, caracterul variabil/fix al sporului vizează cuantificarea acestuia, în timp ce caracterul permanent/temporar vizează condițiile de acordare a sporului, acestea fiind două aspecte distincte.  </w:t>
      </w:r>
    </w:p>
    <w:p>
      <w:pPr>
        <w:pStyle w:val="Normal"/>
        <w:ind w:right="0" w:firstLine="720"/>
        <w:jc w:val="both"/>
        <w:rPr>
          <w:i/>
          <w:i/>
          <w:szCs w:val="20"/>
          <w:lang w:eastAsia="en-US"/>
        </w:rPr>
      </w:pPr>
      <w:r>
        <w:rPr>
          <w:i/>
          <w:szCs w:val="20"/>
          <w:lang w:eastAsia="en-US"/>
        </w:rPr>
        <w:t>102. Din perspectiva aplicării dispozițiilor art. 150 alin. (1) și (2) din Codul muncii și ale art. 38 din Ordonanța Guvernului nr. 64/2006, pentru includerea în algoritmul de calcul al indemnizației de concediu, caracterul variabil al sporurilor respective nu prezintă relevanță.  </w:t>
      </w:r>
    </w:p>
    <w:p>
      <w:pPr>
        <w:pStyle w:val="Normal"/>
        <w:ind w:right="0" w:firstLine="720"/>
        <w:jc w:val="both"/>
        <w:rPr>
          <w:i/>
          <w:i/>
          <w:szCs w:val="20"/>
          <w:lang w:eastAsia="en-US"/>
        </w:rPr>
      </w:pPr>
      <w:r>
        <w:rPr>
          <w:i/>
          <w:szCs w:val="20"/>
          <w:lang w:eastAsia="en-US"/>
        </w:rPr>
        <w:t>103. Astfel, chiar dacă au un caracter variabil, în măsura în care sunt permanente, sporurile pentru condiții de muncă se includ în indemnizația de concediu, atunci când "au fost avute", în sensul că au intrat în compunerea salariilor plătite polițiștilor de penitenciare anterior efectuării concediului de odihnă, iar cuantumul indemnizației de concediu urmează a fi stabilit prin aplicarea algoritmului prevăzut de art. 150 alin. (2) din Codul muncii, fiind indiferentă, din această perspectivă, împrejurarea că ele se acordă proporțional cu timpul lucrat, de vreme ce acest aspect ține de caracterul variabil al sporurilor în discuție și nu vizează caracterul lor permanent.”</w:t>
      </w:r>
    </w:p>
    <w:p>
      <w:pPr>
        <w:pStyle w:val="Normal"/>
        <w:ind w:right="0" w:firstLine="851"/>
        <w:jc w:val="both"/>
        <w:rPr>
          <w:szCs w:val="20"/>
          <w:lang w:eastAsia="en-US"/>
        </w:rPr>
      </w:pPr>
      <w:r>
        <w:rPr>
          <w:szCs w:val="20"/>
          <w:lang w:eastAsia="en-US"/>
        </w:rPr>
        <w:t xml:space="preserve">În continuare, instanţa reţine că, deşi recurentul a indicat prevederile Ordinul MAI nr.S/7/31.01.2018, în speță nu s-a contestat împrejurarea că sporul pentru condiții grele/ periculoase sau vătămătoare a fost acordat în considerarea condițiilor la locul de muncă existente în permanență şi nu doar ocazional cu prilejul desfășurării anumitor activități, ipoteză în care devin incidente aspectele dezlegate de Înalta Curte de Casație şi Justiție prin decizia menționată anterior, în special cele de la punctele 97, 99 şi 103. </w:t>
      </w:r>
    </w:p>
    <w:p>
      <w:pPr>
        <w:pStyle w:val="Normal"/>
        <w:ind w:right="0" w:firstLine="851"/>
        <w:jc w:val="both"/>
        <w:rPr/>
      </w:pPr>
      <w:r>
        <w:rPr>
          <w:szCs w:val="20"/>
          <w:lang w:eastAsia="en-US"/>
        </w:rPr>
        <w:t>Astfel, conform considerentelor respective, fiind stabilit şi acordat în temeiul condițiilor specifice ale locurilor de muncă, sporul pentru condiții de muncă vătămătoare</w:t>
      </w:r>
      <w:r>
        <w:rPr>
          <w:i/>
          <w:szCs w:val="20"/>
          <w:lang w:eastAsia="en-US"/>
        </w:rPr>
        <w:t xml:space="preserve"> </w:t>
      </w:r>
      <w:r>
        <w:rPr>
          <w:szCs w:val="20"/>
          <w:lang w:eastAsia="en-US"/>
        </w:rPr>
        <w:t>constituie element al salarizării care se menține atât timp cât subzistă premisele ce au justificat acordarea sa, fiind evident caracterul permanent al acestuia. Împrejurarea că sporul se acordă proporțional cu timpul efectiv lucrat constituie doar o modalitate de cuantificare în perioadele de activitate a personalului, fără a avea vreo influență asupra calificării ca spor cu caracter permanent, cu atât mai mult cu cât consecințele condițiilor speciale de muncă repercutate asupra beneficiarilor nu încetează automat la intrarea acestora în concediu, ci se prelungesc în timp şi ulterior, justificând astfel acordarea sporurilor cu caracter de continuitate.</w:t>
      </w:r>
    </w:p>
    <w:p>
      <w:pPr>
        <w:pStyle w:val="Normal"/>
        <w:ind w:right="0" w:firstLine="851"/>
        <w:jc w:val="both"/>
        <w:rPr>
          <w:szCs w:val="20"/>
          <w:lang w:eastAsia="en-US"/>
        </w:rPr>
      </w:pPr>
      <w:r>
        <w:rPr>
          <w:szCs w:val="20"/>
          <w:lang w:eastAsia="en-US"/>
        </w:rPr>
        <w:t>Pe cale de consecință, sporul pentru condiții grele/ periculoase sau vătămătoare se include în indemnizația de concediu atunci când a intrat în compunerea salariilor plătite anterior efectuării concediului de odihnă, iar cuantumul indemnizației de concediu urmează a fi stabilit prin aplicarea algoritmului prevăzut de art. 150 alin. (2) din Codul muncii, fiind indiferentă, din această perspectivă, împrejurarea că se acordă proporțional cu timpul lucrat, de vreme ce acest aspect ține de caracterul variabil al sporurilor în discuție şi nu vizează caracterul permanent.</w:t>
      </w:r>
    </w:p>
    <w:p>
      <w:pPr>
        <w:pStyle w:val="Normal"/>
        <w:spacing w:line="252" w:lineRule="auto"/>
        <w:ind w:right="0" w:firstLine="630"/>
        <w:jc w:val="both"/>
        <w:rPr>
          <w:szCs w:val="20"/>
          <w:lang w:eastAsia="en-US"/>
        </w:rPr>
      </w:pPr>
      <w:r>
        <w:rPr>
          <w:szCs w:val="20"/>
          <w:lang w:eastAsia="en-US"/>
        </w:rPr>
        <w:t>Recurentul a mai susținut prin cererea de recurs că Decizia nr. 23/2021 nu este aplicabilă și pentru alte categorii de polițiști decât cei din penitenciare, la care s-au referit decizia citată. Însă susținerea este neîntemeiată, deoarece pentru situații similare se va aplica prin analogie același raționament și tratament juridic. Situația polițiștilor intimați reclamanți și a celor din penitenciare este analoagă, deoarece nu există norme juridice sau alte considerente care să impună un tratament juridic diferit, așa cum s-a arătat anterior prin raportare la O.G. nr. 38/2003.</w:t>
      </w:r>
    </w:p>
    <w:p>
      <w:pPr>
        <w:pStyle w:val="Normal"/>
        <w:ind w:right="0" w:firstLine="851"/>
        <w:jc w:val="both"/>
        <w:rPr>
          <w:szCs w:val="20"/>
          <w:lang w:eastAsia="en-US"/>
        </w:rPr>
      </w:pPr>
      <w:r>
        <w:rPr>
          <w:szCs w:val="20"/>
          <w:lang w:eastAsia="en-US"/>
        </w:rPr>
        <w:t xml:space="preserve">În raport de dispozițiile legale anterior amintite şi ce cele statuate de Înalta Curte de Casație şi Justiţie, Curtea apreciază că în mod întemeiat prima instanță a admis acțiunea întrucât în perioada concediilor de odihnă funcționarii publici din cadrul instituției recurente au dreptul la plata salariului de bază, indemnizațiilor şi sporurilor cu caracter permanent, cuvenite pentru perioada respectivă. </w:t>
      </w:r>
    </w:p>
    <w:p>
      <w:pPr>
        <w:pStyle w:val="Normal"/>
        <w:spacing w:line="252" w:lineRule="auto"/>
        <w:ind w:right="0" w:firstLine="630"/>
        <w:jc w:val="both"/>
        <w:rPr/>
      </w:pPr>
      <w:r>
        <w:rPr>
          <w:szCs w:val="20"/>
          <w:lang w:eastAsia="en-US"/>
        </w:rPr>
        <w:t>Pe baza celor ce preced, Curtea reține că prima instanță a pronunțat o soluție legală, care nu se impune a fi reformată.</w:t>
      </w:r>
    </w:p>
    <w:p>
      <w:pPr>
        <w:pStyle w:val="Normal"/>
        <w:spacing w:line="252" w:lineRule="auto"/>
        <w:ind w:right="0" w:firstLine="630"/>
        <w:jc w:val="both"/>
        <w:rPr>
          <w:szCs w:val="20"/>
          <w:lang w:eastAsia="en-US"/>
        </w:rPr>
      </w:pPr>
      <w:r>
        <w:rPr>
          <w:szCs w:val="20"/>
          <w:lang w:eastAsia="en-US"/>
        </w:rPr>
        <w:t xml:space="preserve">Având în vedere considerentele anterior expuse, în temeiul art. 496 Cod procedură civilă şi a art. 20 din Legea 554/2004, Curtea va respinge, ca nefondat, recursul declarat. </w:t>
      </w:r>
    </w:p>
    <w:p>
      <w:pPr>
        <w:pStyle w:val="Normal"/>
        <w:jc w:val="center"/>
        <w:rPr>
          <w:b/>
          <w:bCs/>
        </w:rPr>
      </w:pPr>
      <w:r>
        <w:rPr>
          <w:b/>
          <w:bCs/>
        </w:rPr>
        <w:t>PENTRU ACESTE MOTIVE,</w:t>
        <w:br/>
        <w:t>ÎN NUMELE LEGII</w:t>
      </w:r>
    </w:p>
    <w:p>
      <w:pPr>
        <w:pStyle w:val="Normal"/>
        <w:jc w:val="center"/>
        <w:rPr>
          <w:b/>
          <w:bCs/>
        </w:rPr>
      </w:pPr>
      <w:r>
        <w:rPr>
          <w:b/>
          <w:bCs/>
        </w:rPr>
        <w:t>D E C I D E</w:t>
      </w:r>
    </w:p>
    <w:p>
      <w:pPr>
        <w:pStyle w:val="Normal"/>
        <w:jc w:val="center"/>
        <w:rPr>
          <w:b/>
          <w:bCs/>
        </w:rPr>
      </w:pPr>
      <w:r>
        <w:rPr>
          <w:b/>
          <w:bCs/>
        </w:rPr>
      </w:r>
    </w:p>
    <w:p>
      <w:pPr>
        <w:pStyle w:val="Normal"/>
        <w:jc w:val="both"/>
        <w:rPr/>
      </w:pPr>
      <w:r>
        <w:rPr/>
        <w:tab/>
        <w:t xml:space="preserve">Respinge recursul formulat de pârâtul </w:t>
      </w:r>
      <w:r>
        <w:rPr>
          <w:b/>
          <w:bCs/>
        </w:rPr>
        <w:t>Inspectoratul de Poliție al județului ...</w:t>
      </w:r>
      <w:r>
        <w:rPr/>
        <w:t xml:space="preserve">, cu sediul în ..., județul ... în contradictoriu cu intimata reclamantă </w:t>
      </w:r>
      <w:r>
        <w:rPr>
          <w:b/>
          <w:bCs/>
        </w:rPr>
        <w:t>R1</w:t>
      </w:r>
      <w:r>
        <w:rPr/>
        <w:t xml:space="preserve"> prin Sindicatul ... - Sucursala ..., cu sediul procesual ales la avocat ..., în ... județul ... </w:t>
      </w:r>
      <w:r>
        <w:rPr>
          <w:lang w:val="en-US" w:eastAsia="en-US"/>
        </w:rPr>
        <w:t xml:space="preserve">împotriva sentinţei nr. SC1 din data de ..., pronunţate de Tribunalul ... - </w:t>
      </w:r>
      <w:r>
        <w:rPr>
          <w:bCs/>
        </w:rPr>
        <w:t xml:space="preserve">Secția ..., </w:t>
      </w:r>
      <w:r>
        <w:rPr>
          <w:lang w:val="en-US" w:eastAsia="en-US"/>
        </w:rPr>
        <w:t xml:space="preserve">în dosarul nr. </w:t>
      </w:r>
      <w:r>
        <w:rPr/>
        <w:t>D1 .</w:t>
      </w:r>
    </w:p>
    <w:p>
      <w:pPr>
        <w:pStyle w:val="Normal"/>
        <w:jc w:val="both"/>
        <w:rPr/>
      </w:pPr>
      <w:r>
        <w:rPr/>
        <w:tab/>
        <w:t>Definitivă.</w:t>
      </w:r>
    </w:p>
    <w:p>
      <w:pPr>
        <w:pStyle w:val="Normal"/>
        <w:jc w:val="both"/>
        <w:rPr/>
      </w:pPr>
      <w:r>
        <w:rPr/>
        <w:tab/>
        <w:t>Pronunțată prin punerea la dispoziția părților a soluției de către grefa instanței, azi .....</w:t>
      </w:r>
      <w:r>
        <w:rPr/>
      </w:r>
      <w:r>
        <w:rPr/>
      </w:r>
      <w:r>
        <w:rPr/>
      </w:r>
      <w:r>
        <w:rPr/>
      </w:r>
      <w:r>
        <w:rPr>
          <w:b/>
          <w:bCs/>
          <w:lang w:val="en-US" w:eastAsia="en-US"/>
        </w:rPr>
        <w:t>  </w:t>
      </w:r>
    </w:p>
    <w:tbl>
      <w:tblPr>
        <w:tblW w:w="8579" w:type="dxa"/>
        <w:jc w:val="center"/>
        <w:tblInd w:w="0" w:type="dxa"/>
        <w:tblLayout w:type="fixed"/>
        <w:tblCellMar>
          <w:top w:w="284" w:type="dxa"/>
          <w:left w:w="108" w:type="dxa"/>
          <w:bottom w:w="284" w:type="dxa"/>
          <w:right w:w="108" w:type="dxa"/>
        </w:tblCellMar>
      </w:tblPr>
      <w:tblGrid>
        <w:gridCol w:w="2865"/>
        <w:gridCol w:w="2857"/>
        <w:gridCol w:w="2857"/>
      </w:tblGrid>
      <w:tr>
        <w:trPr/>
        <w:tc>
          <w:tcPr>
            <w:tcW w:w="2865" w:type="dxa"/>
            <w:tcBorders>
              <w:top w:val="single" w:color="FFFFFF" w:sz="4" w:space="0"/>
              <w:left w:val="single" w:color="FFFFFF" w:sz="4" w:space="0"/>
              <w:bottom w:val="single" w:color="FFFFFF" w:sz="4" w:space="0"/>
              <w:right w:val="single" w:color="FFFFFF" w:sz="4" w:space="0"/>
            </w:tcBorders>
          </w:tcPr>
          <w:p>
            <w:pPr>
              <w:pStyle w:val="Normal"/>
              <w:jc w:val="center"/>
              <w:rPr>
                <w:b/>
                <w:bCs/>
                <w:lang w:val="en-US" w:eastAsia="en-US"/>
              </w:rPr>
            </w:pPr>
            <w:r>
              <w:rPr>
                <w:b/>
                <w:bCs/>
                <w:lang w:val="en-US" w:eastAsia="en-US"/>
              </w:rPr>
              <w:t>Preşedinte,</w:t>
            </w:r>
          </w:p>
          <w:p>
            <w:pPr>
              <w:pStyle w:val="Normal"/>
              <w:jc w:val="center"/>
              <w:rPr>
                <w:b/>
                <w:bCs/>
                <w:lang w:val="en-US" w:eastAsia="en-US"/>
              </w:rPr>
            </w:pPr>
            <w:r>
              <w:rPr>
                <w:b/>
                <w:bCs/>
                <w:lang w:val="en-US" w:eastAsia="en-US"/>
              </w:rPr>
              <w:t>...</w:t>
            </w:r>
          </w:p>
        </w:tc>
        <w:tc>
          <w:tcPr>
            <w:tcW w:w="2857" w:type="dxa"/>
            <w:tcBorders>
              <w:top w:val="single" w:color="FFFFFF" w:sz="4" w:space="0"/>
              <w:left w:val="single" w:color="FFFFFF" w:sz="4" w:space="0"/>
              <w:bottom w:val="single" w:color="FFFFFF" w:sz="4" w:space="0"/>
              <w:right w:val="single" w:color="FFFFFF" w:sz="4" w:space="0"/>
            </w:tcBorders>
          </w:tcPr>
          <w:p>
            <w:pPr>
              <w:pStyle w:val="Normal"/>
              <w:jc w:val="center"/>
              <w:rPr>
                <w:b/>
                <w:bCs/>
                <w:lang w:val="en-US" w:eastAsia="en-US"/>
              </w:rPr>
            </w:pPr>
            <w:r>
              <w:rPr>
                <w:b/>
                <w:bCs/>
                <w:lang w:val="en-US" w:eastAsia="en-US"/>
              </w:rPr>
              <w:t>Judecător,</w:t>
            </w:r>
          </w:p>
          <w:p>
            <w:pPr>
              <w:pStyle w:val="Normal"/>
              <w:jc w:val="center"/>
              <w:rPr>
                <w:b/>
                <w:bCs/>
                <w:lang w:val="en-US" w:eastAsia="en-US"/>
              </w:rPr>
            </w:pPr>
            <w:r>
              <w:rPr>
                <w:b/>
                <w:bCs/>
                <w:lang w:val="en-US" w:eastAsia="en-US"/>
              </w:rPr>
              <w:t>...</w:t>
            </w:r>
          </w:p>
        </w:tc>
        <w:tc>
          <w:tcPr>
            <w:tcW w:w="2857" w:type="dxa"/>
            <w:tcBorders>
              <w:top w:val="single" w:color="FFFFFF" w:sz="4" w:space="0"/>
              <w:left w:val="single" w:color="FFFFFF" w:sz="4" w:space="0"/>
              <w:bottom w:val="single" w:color="FFFFFF" w:sz="4" w:space="0"/>
              <w:right w:val="single" w:color="FFFFFF" w:sz="4" w:space="0"/>
            </w:tcBorders>
          </w:tcPr>
          <w:p>
            <w:pPr>
              <w:pStyle w:val="Normal"/>
              <w:jc w:val="center"/>
              <w:rPr>
                <w:b/>
                <w:bCs/>
                <w:lang w:val="en-US" w:eastAsia="en-US"/>
              </w:rPr>
            </w:pPr>
            <w:r>
              <w:rPr>
                <w:b/>
                <w:bCs/>
                <w:lang w:val="en-US" w:eastAsia="en-US"/>
              </w:rPr>
              <w:t>Judecător,</w:t>
            </w:r>
          </w:p>
          <w:p>
            <w:pPr>
              <w:pStyle w:val="Normal"/>
              <w:jc w:val="center"/>
              <w:rPr>
                <w:b/>
                <w:bCs/>
                <w:lang w:val="en-US" w:eastAsia="en-US"/>
              </w:rPr>
            </w:pPr>
            <w:r>
              <w:rPr>
                <w:b/>
                <w:bCs/>
                <w:lang w:val="en-US" w:eastAsia="en-US"/>
              </w:rPr>
              <w:t>A0006</w:t>
            </w:r>
          </w:p>
        </w:tc>
      </w:tr>
      <w:tr>
        <w:trPr/>
        <w:tc>
          <w:tcPr>
            <w:tcW w:w="2865" w:type="dxa"/>
            <w:tcBorders>
              <w:top w:val="single" w:color="FFFFFF" w:sz="4" w:space="0"/>
              <w:left w:val="single" w:color="FFFFFF" w:sz="4" w:space="0"/>
              <w:bottom w:val="single" w:color="FFFFFF" w:sz="4" w:space="0"/>
              <w:right w:val="single" w:color="FFFFFF" w:sz="4" w:space="0"/>
            </w:tcBorders>
          </w:tcPr>
          <w:p>
            <w:pPr>
              <w:pStyle w:val="Normal"/>
              <w:snapToGrid w:val="false"/>
              <w:jc w:val="center"/>
              <w:rPr>
                <w:b/>
                <w:bCs/>
                <w:lang w:val="en-US" w:eastAsia="en-US"/>
              </w:rPr>
            </w:pPr>
            <w:r>
              <w:rPr>
                <w:b/>
                <w:bCs/>
                <w:lang w:val="en-US" w:eastAsia="en-US"/>
              </w:rPr>
            </w:r>
          </w:p>
        </w:tc>
        <w:tc>
          <w:tcPr>
            <w:tcW w:w="2857" w:type="dxa"/>
            <w:tcBorders>
              <w:top w:val="single" w:color="FFFFFF" w:sz="4" w:space="0"/>
              <w:left w:val="single" w:color="FFFFFF" w:sz="4" w:space="0"/>
              <w:bottom w:val="single" w:color="FFFFFF" w:sz="4" w:space="0"/>
              <w:right w:val="single" w:color="FFFFFF" w:sz="4" w:space="0"/>
            </w:tcBorders>
          </w:tcPr>
          <w:p>
            <w:pPr>
              <w:pStyle w:val="Normal"/>
              <w:jc w:val="center"/>
              <w:rPr>
                <w:b/>
                <w:bCs/>
                <w:lang w:val="en-US" w:eastAsia="en-US"/>
              </w:rPr>
            </w:pPr>
            <w:r>
              <w:rPr>
                <w:b/>
                <w:bCs/>
                <w:lang w:val="en-US" w:eastAsia="en-US"/>
              </w:rPr>
              <w:t>Grefier,</w:t>
            </w:r>
          </w:p>
          <w:p>
            <w:pPr>
              <w:pStyle w:val="Normal"/>
              <w:jc w:val="center"/>
              <w:rPr>
                <w:b/>
                <w:bCs/>
                <w:lang w:val="en-US" w:eastAsia="en-US"/>
              </w:rPr>
            </w:pPr>
            <w:r>
              <w:rPr>
                <w:b/>
                <w:bCs/>
                <w:lang w:val="en-US" w:eastAsia="en-US"/>
              </w:rPr>
              <w:t>...</w:t>
            </w:r>
          </w:p>
        </w:tc>
        <w:tc>
          <w:tcPr>
            <w:tcW w:w="2857" w:type="dxa"/>
            <w:tcBorders>
              <w:top w:val="single" w:color="FFFFFF" w:sz="4" w:space="0"/>
              <w:left w:val="single" w:color="FFFFFF" w:sz="4" w:space="0"/>
              <w:bottom w:val="single" w:color="FFFFFF" w:sz="4" w:space="0"/>
              <w:right w:val="single" w:color="FFFFFF" w:sz="4" w:space="0"/>
            </w:tcBorders>
          </w:tcPr>
          <w:p>
            <w:pPr>
              <w:pStyle w:val="Normal"/>
              <w:snapToGrid w:val="false"/>
              <w:jc w:val="center"/>
              <w:rPr>
                <w:b/>
                <w:bCs/>
                <w:lang w:val="en-US" w:eastAsia="en-US"/>
              </w:rPr>
            </w:pPr>
            <w:r>
              <w:rPr>
                <w:b/>
                <w:bCs/>
                <w:lang w:val="en-US" w:eastAsia="en-US"/>
              </w:rPr>
            </w:r>
          </w:p>
        </w:tc>
      </w:tr>
    </w:tbl>
    <w:p>
      <w:pPr>
        <w:pStyle w:val="Normal"/>
        <w:jc w:val="center"/>
        <w:rPr>
          <w:b/>
          <w:bCs/>
          <w:lang w:val="en-US" w:eastAsia="en-US"/>
        </w:rPr>
      </w:pPr>
      <w:r>
        <w:rPr>
          <w:b/>
          <w:bCs/>
          <w:lang w:val="en-US" w:eastAsia="en-US"/>
        </w:rPr>
        <w:t>   </w:t>
      </w:r>
      <w:r>
        <w:rPr/>
      </w:r>
      <w:r>
        <w:rPr/>
      </w:r>
    </w:p>
    <w:p>
      <w:pPr>
        <w:pStyle w:val="Normal"/>
        <w:rPr>
          <w:sz w:val="16"/>
          <w:szCs w:val="16"/>
        </w:rPr>
      </w:pPr>
      <w:r>
        <w:rPr>
          <w:sz w:val="16"/>
          <w:szCs w:val="16"/>
        </w:rPr>
        <w:t>Red. jud.  A0006/...</w:t>
      </w:r>
    </w:p>
    <w:p>
      <w:pPr>
        <w:pStyle w:val="Normal"/>
        <w:rPr>
          <w:sz w:val="16"/>
          <w:szCs w:val="16"/>
        </w:rPr>
      </w:pPr>
      <w:r>
        <w:rPr>
          <w:sz w:val="16"/>
          <w:szCs w:val="16"/>
        </w:rPr>
        <w:t>Tehnored.  gref. ... 4 ex./</w:t>
      </w:r>
    </w:p>
    <w:p>
      <w:pPr>
        <w:pStyle w:val="Normal"/>
        <w:rPr>
          <w:sz w:val="16"/>
          <w:szCs w:val="16"/>
        </w:rPr>
      </w:pPr>
      <w:r>
        <w:rPr>
          <w:sz w:val="16"/>
          <w:szCs w:val="16"/>
        </w:rPr>
        <w:t>Jud. fond   ...</w:t>
      </w:r>
    </w:p>
    <w:sectPr>
      <w:footerReference w:type="default" r:id="rId2"/>
      <w:type w:val="nextPage"/>
      <w:pgSz w:w="11906" w:h="16838"/>
      <w:pgMar w:top="851" w:right="1558" w:bottom="851" w:left="1985" w:header="0" w:footer="72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bri">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11</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mirrorMargins/>
  <w:defaultTabStop w:val="709"/>
  <w:autoHyphenation w:val="true"/>
  <w:compat>
    <w:doNotBreakWrappedTables/>
    <w:compatSetting w:name="compatibilityMode" w:uri="http://schemas.microsoft.com/office/word" w:val="12"/>
  </w:compat>
  <w:docVars>
    <w:docVar w:name="url" w:val="https://cacrv.just.ro/ecris_cdms/document_upload.aspx?id_document=5400000001843721&amp;id_departament=5&amp;id_sesiune=2958132&amp;id_user=364&amp;id_institutie=54&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ejaVu Sans" w:cs="FreeSans"/>
        <w:sz w:val="24"/>
        <w:szCs w:val="24"/>
        <w:lang w:val="en-US" w:eastAsia="zh-CN" w:bidi="hi-IN"/>
      </w:rPr>
    </w:rPrDefault>
    <w:pPrDefault>
      <w:pPr>
        <w:suppressAutoHyphens w:val="true"/>
      </w:pPr>
    </w:pPrDefault>
  </w:docDefaults>
  <w:style w:type="paragraph" w:styleId="Normal">
    <w:name w:val="Normal"/>
    <w:qFormat/>
    <w:pPr>
      <w:widowControl/>
      <w:kinsoku w:val="true"/>
      <w:overflowPunct w:val="true"/>
      <w:autoSpaceDE w:val="true"/>
      <w:bidi w:val="0"/>
    </w:pPr>
    <w:rPr>
      <w:rFonts w:ascii="Times New Roman" w:hAnsi="Times New Roman" w:eastAsia="Times New Roman" w:cs="Times New Roman"/>
      <w:color w:val="auto"/>
      <w:sz w:val="24"/>
      <w:szCs w:val="24"/>
      <w:lang w:val="ro-RO" w:bidi="ar-SA" w:eastAsia="zh-CN"/>
    </w:rPr>
  </w:style>
  <w:style w:type="paragraph" w:styleId="Heading1">
    <w:name w:val="Heading 1"/>
    <w:basedOn w:val="Normal"/>
    <w:next w:val="Normal"/>
    <w:qFormat/>
    <w:pPr>
      <w:keepNext w:val="true"/>
      <w:numPr>
        <w:ilvl w:val="0"/>
        <w:numId w:val="1"/>
      </w:numPr>
      <w:jc w:val="center"/>
      <w:outlineLvl w:val="0"/>
    </w:pPr>
    <w:rPr>
      <w:b/>
      <w:bCs/>
      <w:sz w:val="28"/>
      <w:szCs w:val="15"/>
      <w:lang w:val="en-US"/>
    </w:rPr>
  </w:style>
  <w:style w:type="character" w:styleId="Fontdeparagrafimplicit">
    <w:name w:val="Font de paragraf implicit"/>
    <w:qFormat/>
    <w:rPr/>
  </w:style>
  <w:style w:type="character" w:styleId="AntetCaracter">
    <w:name w:val="Antet Caracter"/>
    <w:qFormat/>
    <w:rPr>
      <w:sz w:val="24"/>
      <w:szCs w:val="24"/>
    </w:rPr>
  </w:style>
  <w:style w:type="character" w:styleId="SubsolCaracter">
    <w:name w:val="Subsol Caracter"/>
    <w:qFormat/>
    <w:rPr>
      <w:sz w:val="24"/>
      <w:szCs w:val="24"/>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rmalWeb">
    <w:name w:val="Normal (Web)"/>
    <w:basedOn w:val="Normal"/>
    <w:qFormat/>
    <w:pPr>
      <w:spacing w:before="280" w:after="280"/>
    </w:pPr>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Header">
    <w:name w:val="Header"/>
    <w:basedOn w:val="Normal"/>
    <w:pPr>
      <w:tabs>
        <w:tab w:val="clear" w:pos="709"/>
        <w:tab w:val="center" w:pos="4536" w:leader="none"/>
        <w:tab w:val="right" w:pos="9072" w:leader="none"/>
      </w:tabs>
    </w:pPr>
    <w:rPr/>
  </w:style>
  <w:style w:type="paragraph" w:styleId="Footer">
    <w:name w:val="Footer"/>
    <w:basedOn w:val="Normal"/>
    <w:pPr>
      <w:tabs>
        <w:tab w:val="clear" w:pos="709"/>
        <w:tab w:val="center" w:pos="4536" w:leader="none"/>
        <w:tab w:val="right" w:pos="9072" w:leader="none"/>
      </w:tabs>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
  <ap:SharedDoc>false</ap:SharedDoc>
  <ap:LinksUpToDate>false</ap:LinksUpToDate>
  <ap:HyperlinkBase/>
  <ap:Manager/>
  <ap:Company/>
  <ap:TotalTime>47</ap:TotalTime>
  <ap:Application>LibreOffice/24.2.7.2$Linux_X86_64 LibreOffice_project/420$Build-2</ap:Application>
  <ap:AppVersion>15.0000</ap:AppVersion>
  <ap:Pages>11</ap:Pages>
  <ap:Words>5908</ap:Words>
  <ap:Characters>34414</ap:Characters>
  <ap:CharactersWithSpaces>40259</ap:CharactersWithSpaces>
  <ap:Paragraphs>125</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keywords/>
  <dc:language/>
  <lastModifiedBy/>
  <revision/>
  <dc:subject/>
  <dc:title/>
  <category/>
  <contentStatus/>
  <dc:identifier/>
  <version/>
</coreProperties>
</file>