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rPr>
      </w:pPr>
      <w:r>
        <w:rPr>
          <w:color w:val="BFBFBF"/>
        </w:rPr>
        <w:t>Document finalizat</w:t>
      </w:r>
    </w:p>
    <w:p>
      <w:pPr>
        <w:pStyle w:val="Normal"/>
        <w:rPr>
          <w:b/>
        </w:rPr>
      </w:pPr>
      <w:r>
        <w:rPr>
          <w:b/>
        </w:rPr>
        <w:t>Hot 18</w:t>
      </w:r>
    </w:p>
    <w:p>
      <w:pPr>
        <w:pStyle w:val="Normal"/>
        <w:rPr>
          <w:b/>
        </w:rPr>
      </w:pPr>
      <w:r>
        <w:rPr>
          <w:b/>
        </w:rPr>
        <w:t>Dosar nr. D1/a1.4</w:t>
      </w:r>
    </w:p>
    <w:p>
      <w:pPr>
        <w:pStyle w:val="Normal"/>
        <w:rPr>
          <w:b/>
        </w:rPr>
      </w:pPr>
      <w:r>
        <w:rPr>
          <w:b/>
        </w:rPr>
      </w:r>
    </w:p>
    <w:p>
      <w:pPr>
        <w:pStyle w:val="Heading3"/>
        <w:rPr>
          <w:rFonts w:ascii="Times New Roman" w:hAnsi="Times New Roman"/>
          <w:b/>
          <w:sz w:val="24"/>
        </w:rPr>
      </w:pPr>
      <w:r>
        <w:rPr>
          <w:rFonts w:ascii="Times New Roman" w:hAnsi="Times New Roman"/>
          <w:b/>
          <w:sz w:val="24"/>
        </w:rPr>
        <w:t>R O M Â N I A</w:t>
      </w:r>
    </w:p>
    <w:p>
      <w:pPr>
        <w:pStyle w:val="Normal"/>
        <w:jc w:val="center"/>
        <w:rPr>
          <w:b/>
        </w:rPr>
      </w:pPr>
      <w:r>
        <w:rPr>
          <w:b/>
        </w:rPr>
        <w:t>CURTEA DE APEL ...</w:t>
      </w:r>
    </w:p>
    <w:p>
      <w:pPr>
        <w:pStyle w:val="Normal"/>
        <w:jc w:val="center"/>
        <w:rPr>
          <w:b/>
        </w:rPr>
      </w:pPr>
      <w:r>
        <w:rPr>
          <w:b/>
        </w:rPr>
        <w:t>CPC-SECŢIA ... – CPP</w:t>
      </w:r>
    </w:p>
    <w:p>
      <w:pPr>
        <w:pStyle w:val="Normal"/>
        <w:jc w:val="center"/>
        <w:rPr>
          <w:b/>
          <w:lang w:val="en-US"/>
        </w:rPr>
      </w:pPr>
      <w:r>
        <w:rPr>
          <w:b/>
          <w:lang w:val="en-US"/>
        </w:rPr>
      </w:r>
    </w:p>
    <w:p>
      <w:pPr>
        <w:pStyle w:val="Heading2"/>
        <w:rPr>
          <w:rFonts w:ascii="Times New Roman" w:hAnsi="Times New Roman"/>
        </w:rPr>
      </w:pPr>
      <w:r>
        <w:rPr>
          <w:rFonts w:ascii="Times New Roman" w:hAnsi="Times New Roman"/>
        </w:rPr>
        <w:t>ÎNCHEIERE FINALĂ CAMERĂ PRELIMINARĂ NR...</w:t>
      </w:r>
    </w:p>
    <w:p>
      <w:pPr>
        <w:pStyle w:val="Normal"/>
        <w:jc w:val="center"/>
        <w:rPr>
          <w:b/>
        </w:rPr>
      </w:pPr>
      <w:r>
        <w:rPr>
          <w:b/>
        </w:rPr>
      </w:r>
    </w:p>
    <w:p>
      <w:pPr>
        <w:pStyle w:val="Normal"/>
        <w:jc w:val="center"/>
        <w:rPr>
          <w:b/>
        </w:rPr>
      </w:pPr>
      <w:r>
        <w:rPr>
          <w:b/>
        </w:rPr>
        <w:t xml:space="preserve">Şedinţa de cameră de consiliu din data de ... </w:t>
      </w:r>
    </w:p>
    <w:p>
      <w:pPr>
        <w:pStyle w:val="Normal"/>
        <w:jc w:val="center"/>
        <w:rPr>
          <w:b/>
        </w:rPr>
      </w:pPr>
      <w:r>
        <w:rPr>
          <w:b/>
        </w:rPr>
      </w:r>
    </w:p>
    <w:p>
      <w:pPr>
        <w:pStyle w:val="Normal"/>
        <w:jc w:val="center"/>
        <w:rPr>
          <w:b/>
        </w:rPr>
      </w:pPr>
      <w:r>
        <w:rPr>
          <w:b/>
        </w:rPr>
        <w:t>Instanţa constituită cu:</w:t>
      </w:r>
    </w:p>
    <w:p>
      <w:pPr>
        <w:pStyle w:val="Normal"/>
        <w:jc w:val="center"/>
        <w:rPr>
          <w:b/>
        </w:rPr>
      </w:pPr>
      <w:r>
        <w:rPr>
          <w:b/>
        </w:rPr>
        <w:t>PREŞEDINTE  - Judecător de cameră preliminară: A0013</w:t>
      </w:r>
    </w:p>
    <w:p>
      <w:pPr>
        <w:pStyle w:val="Normal"/>
        <w:jc w:val="center"/>
        <w:rPr>
          <w:b/>
        </w:rPr>
      </w:pPr>
      <w:r>
        <w:rPr>
          <w:b/>
        </w:rPr>
        <w:t>Judecător de cameră preliminară: ...</w:t>
      </w:r>
    </w:p>
    <w:p>
      <w:pPr>
        <w:pStyle w:val="Normal"/>
        <w:jc w:val="center"/>
        <w:rPr>
          <w:b/>
        </w:rPr>
      </w:pPr>
      <w:r>
        <w:rPr>
          <w:b/>
        </w:rPr>
        <w:t>Grefier: ...</w:t>
      </w:r>
    </w:p>
    <w:p>
      <w:pPr>
        <w:pStyle w:val="Normal"/>
        <w:jc w:val="center"/>
        <w:rPr>
          <w:b/>
        </w:rPr>
      </w:pPr>
      <w:r>
        <w:rPr>
          <w:b/>
        </w:rPr>
      </w:r>
    </w:p>
    <w:p>
      <w:pPr>
        <w:pStyle w:val="Normal"/>
        <w:jc w:val="center"/>
        <w:rPr>
          <w:b/>
        </w:rPr>
      </w:pPr>
      <w:r>
        <w:rPr>
          <w:b/>
        </w:rPr>
        <w:t>Ministerul Public –P.Î.C.C.J. – D.I.I.C.O.T. – Serviciul Teritorial ...</w:t>
      </w:r>
    </w:p>
    <w:p>
      <w:pPr>
        <w:pStyle w:val="Normal"/>
        <w:jc w:val="center"/>
        <w:rPr>
          <w:b/>
        </w:rPr>
      </w:pPr>
      <w:r>
        <w:rPr>
          <w:b/>
        </w:rPr>
        <w:t>reprezentat prin procuror ...</w:t>
      </w:r>
    </w:p>
    <w:p>
      <w:pPr>
        <w:pStyle w:val="Normal"/>
        <w:jc w:val="center"/>
        <w:rPr/>
      </w:pPr>
      <w:r>
        <w:rPr/>
      </w:r>
    </w:p>
    <w:p>
      <w:pPr>
        <w:pStyle w:val="Normal"/>
        <w:ind w:firstLine="709"/>
        <w:jc w:val="both"/>
        <w:rPr/>
      </w:pPr>
      <w:r>
        <w:rPr/>
        <w:t xml:space="preserve">Pe rol se află soluţionarea </w:t>
      </w:r>
      <w:r>
        <w:rPr>
          <w:b/>
        </w:rPr>
        <w:t xml:space="preserve">contestaţiei </w:t>
      </w:r>
      <w:r>
        <w:rPr/>
        <w:t>formulată de către</w:t>
      </w:r>
      <w:r>
        <w:rPr>
          <w:rFonts w:ascii="Calibri" w:hAnsi="Calibri"/>
          <w:sz w:val="22"/>
          <w:lang w:val="en-US"/>
        </w:rPr>
        <w:t xml:space="preserve"> </w:t>
      </w:r>
      <w:r>
        <w:rPr>
          <w:b/>
        </w:rPr>
        <w:t>Ministerul Public - D.I.I.C.O.T - Serviciul Teritorial ...împotriva încheierii din data de IP1, pronunţată de judecătorul de cameră preliminară din cadrul Tribunalului ... în dosarul nr. D1/a1.4,</w:t>
      </w:r>
    </w:p>
    <w:p>
      <w:pPr>
        <w:pStyle w:val="Normal"/>
        <w:ind w:firstLine="709"/>
        <w:jc w:val="both"/>
        <w:rPr/>
      </w:pPr>
      <w:r>
        <w:rPr/>
        <w:t xml:space="preserve">La apelul nominal făcut în şedinţa de cameră de consiliu a răspuns, prin intermediul videoconferinței, inculpatul intimat R1, în prezent aflat în Centrul de Detenție ..., asistat de apărătorul ales, avocat .... </w:t>
      </w:r>
    </w:p>
    <w:p>
      <w:pPr>
        <w:pStyle w:val="Normal"/>
        <w:ind w:firstLine="709"/>
        <w:jc w:val="both"/>
        <w:rPr/>
      </w:pPr>
      <w:r>
        <w:rPr/>
        <w:t xml:space="preserve">S-a făcut </w:t>
      </w:r>
      <w:bookmarkStart w:name="tip_doc_despre_cauza" w:id="0"/>
      <w:r>
        <w:rPr/>
        <w:t>referatul</w:t>
      </w:r>
      <w:bookmarkEnd w:id="0"/>
      <w:r>
        <w:rPr/>
        <w:t xml:space="preserve"> cauzei de către </w:t>
      </w:r>
      <w:bookmarkStart w:name="functia_celui_care_f" w:id="1"/>
      <w:r>
        <w:rPr/>
        <w:t>grefier</w:t>
      </w:r>
      <w:bookmarkEnd w:id="1"/>
      <w:r>
        <w:rPr/>
        <w:t xml:space="preserve">ul de şedinţă care precizează că este primul termen de judecată, iar procedura de citare este legal îndeplinită. </w:t>
      </w:r>
    </w:p>
    <w:p>
      <w:pPr>
        <w:pStyle w:val="Normal"/>
        <w:spacing w:before="0" w:after="0"/>
        <w:ind w:firstLine="709"/>
        <w:contextualSpacing/>
        <w:jc w:val="both"/>
        <w:rPr/>
      </w:pPr>
      <w:r>
        <w:rPr>
          <w:b/>
        </w:rPr>
        <w:t xml:space="preserve">Preşedintele completului </w:t>
      </w:r>
      <w:r>
        <w:rPr/>
        <w:t>procedează la verificarea datelor de identitate ale inculpatului intimat R1, care precizează că este fiul lui ...si..., născut la data de .......</w:t>
      </w:r>
    </w:p>
    <w:p>
      <w:pPr>
        <w:pStyle w:val="Normal"/>
        <w:spacing w:before="0" w:after="0"/>
        <w:ind w:firstLine="709"/>
        <w:contextualSpacing/>
        <w:jc w:val="both"/>
        <w:rPr/>
      </w:pPr>
      <w:r>
        <w:rPr/>
        <w:t xml:space="preserve">Totodată, </w:t>
      </w:r>
      <w:r>
        <w:rPr>
          <w:b/>
        </w:rPr>
        <w:t>preşedintele completului</w:t>
      </w:r>
      <w:r>
        <w:rPr/>
        <w:t xml:space="preserve"> aduce la cunoştinţa inculpatului obiectul prevenţie cauze, respectiv contestaţia formulată de către DIICOT ST .. împotriva soluţia dispusă de către judecătorul de cameră preliminară din cadrul Tribunalului ...prin care s-a înlocuit măsura arestării preventive cu măsura arestului la domiciliu pentru o perioadă de 30 zile. </w:t>
      </w:r>
    </w:p>
    <w:p>
      <w:pPr>
        <w:pStyle w:val="Normal"/>
        <w:spacing w:before="0" w:after="0"/>
        <w:ind w:firstLine="709"/>
        <w:contextualSpacing/>
        <w:jc w:val="both"/>
        <w:rPr/>
      </w:pPr>
      <w:bookmarkStart w:name="_Hlk182668420" w:id="2"/>
      <w:r>
        <w:rPr/>
        <w:t>La interpelarea</w:t>
      </w:r>
      <w:r>
        <w:rPr>
          <w:b/>
        </w:rPr>
        <w:t xml:space="preserve"> preşedintelui completului </w:t>
      </w:r>
      <w:r>
        <w:rPr/>
        <w:t xml:space="preserve">apărătorul şi procurorul precizează că nu au chestiuni prealabile de invocat. </w:t>
      </w:r>
    </w:p>
    <w:p>
      <w:pPr>
        <w:pStyle w:val="Normal"/>
        <w:spacing w:before="0" w:after="0"/>
        <w:ind w:firstLine="709"/>
        <w:contextualSpacing/>
        <w:jc w:val="both"/>
        <w:rPr>
          <w:i/>
          <w:i/>
        </w:rPr>
      </w:pPr>
      <w:bookmarkStart w:name="_Hlk182668420" w:id="3"/>
      <w:r>
        <w:rPr>
          <w:i/>
        </w:rPr>
        <w:t xml:space="preserve">Nemaifiind alte solicitări de soluţionat, Curtea constată contestaţiile formulate în stare de judecată şi acord cuvântul asupra acestora. </w:t>
      </w:r>
      <w:bookmarkEnd w:id="3"/>
    </w:p>
    <w:p>
      <w:pPr>
        <w:pStyle w:val="Normal"/>
        <w:spacing w:before="0" w:after="0"/>
        <w:ind w:firstLine="709"/>
        <w:contextualSpacing/>
        <w:jc w:val="both"/>
        <w:rPr/>
      </w:pPr>
      <w:r>
        <w:rPr>
          <w:b/>
        </w:rPr>
        <w:t xml:space="preserve">Procurorul, având cuvântul, </w:t>
      </w:r>
      <w:r>
        <w:rPr/>
        <w:t xml:space="preserve">arată că încheierea judecătorul de cameră preliminară din cadrul Tribunalului ... este netemeinică. </w:t>
      </w:r>
    </w:p>
    <w:p>
      <w:pPr>
        <w:pStyle w:val="Normal"/>
        <w:spacing w:before="0" w:after="0"/>
        <w:ind w:firstLine="709"/>
        <w:contextualSpacing/>
        <w:jc w:val="both"/>
        <w:rPr/>
      </w:pPr>
      <w:r>
        <w:rPr/>
        <w:t xml:space="preserve">Referitor la aspectele reţinute de judecătorul de cameră preliminară din cadrul Tribunalului ... cu privire la situaţia de fapt arată că acestea nu sunt contestate, însă criticile vizează susţinerea potrivit căreia intervenţia părinţilor care au venit în ţară ar fi un element suficient pentru ca prevenţia să poată fi efectuată într-o manieră sporadică şi nu una permanentă cum se asigură prin menţinerea măsurii arestării preventive. </w:t>
      </w:r>
    </w:p>
    <w:p>
      <w:pPr>
        <w:pStyle w:val="Normal"/>
        <w:spacing w:before="0" w:after="0"/>
        <w:ind w:firstLine="709"/>
        <w:contextualSpacing/>
        <w:jc w:val="both"/>
        <w:rPr/>
      </w:pPr>
      <w:r>
        <w:rPr/>
        <w:t>Aspectele evidenţiate de judecătorul de cameră preliminară din cadrul Tribunalului ..., respectiv lipsa unei ocupaţii stabile şi licite, faptul că inculpatul a abandonat cursurile şcolare încă din clasa I şi nu este în continuare cursurilor, preocuparea inculpatului pare a fi nuna de natură  infracţională, iar exploatarea persoanei vătămate în vârsta de 14 ani a avut s-a desfăşurat pe o perioadă lungă de timp, inculpatul având şi vicii în sfera jocurilor de noroc şi al consumului de droguri, descriu inculpatul ca fiind o persoana a cărei supraveghere sporadică ar genera în continuare o stare de pericol.</w:t>
      </w:r>
    </w:p>
    <w:p>
      <w:pPr>
        <w:pStyle w:val="Normal"/>
        <w:spacing w:before="0" w:after="0"/>
        <w:ind w:firstLine="709"/>
        <w:contextualSpacing/>
        <w:jc w:val="both"/>
        <w:rPr/>
      </w:pPr>
      <w:r>
        <w:rPr/>
        <w:t>Susţine că nu există elemente care să arate că inculpatul a conştientizat natura şi gravitatea faptele sau a orientării comportamentului viitor. Nici intenţia părinţilor de a-l reînscrie la cursurile şcolare şi nici alte elemente nu arată o situaţie nouă care ar putea să justifice diminuarea gradului de prevenţie, ci dimpotrivă.</w:t>
      </w:r>
    </w:p>
    <w:p>
      <w:pPr>
        <w:pStyle w:val="Normal"/>
        <w:spacing w:before="0" w:after="0"/>
        <w:ind w:firstLine="709"/>
        <w:contextualSpacing/>
        <w:jc w:val="both"/>
        <w:rPr/>
      </w:pPr>
      <w:r>
        <w:rPr/>
        <w:t xml:space="preserve">Având în vedere că inculpatul înainte de comiterea faptelor ce formează obiectul acuzaţiei acesta fusese privat de libertate prin reţinere şi alte măsuri preventive restrictive de drepturi, după care s-a dispus o măsură educativă neprivativă de libertate susţine că o simplă avertizare nu apare ca fiind suficientă. </w:t>
      </w:r>
    </w:p>
    <w:p>
      <w:pPr>
        <w:pStyle w:val="Normal"/>
        <w:spacing w:before="0" w:after="0"/>
        <w:ind w:firstLine="709"/>
        <w:contextualSpacing/>
        <w:jc w:val="both"/>
        <w:rPr/>
      </w:pPr>
      <w:r>
        <w:rPr/>
        <w:t>Perioada petrecută de acesta sub imperiul măsurii preventive prin raportare la gravitatea acuzaţiei şi la stadiul procedurii nu apar ca fiind elemente care să justifice la acest moment posibilitatea de a fi supus unei alte forme de prevenţie şi apreciază că menţinerea măsurii arestării preventive este susţinută de toate elementele prezentate.</w:t>
      </w:r>
    </w:p>
    <w:p>
      <w:pPr>
        <w:pStyle w:val="Normal"/>
        <w:spacing w:before="0" w:after="0"/>
        <w:ind w:firstLine="709"/>
        <w:contextualSpacing/>
        <w:jc w:val="both"/>
        <w:rPr/>
      </w:pPr>
      <w:r>
        <w:rPr/>
        <w:t xml:space="preserve">Altfel, solicită admiterea contestaţiei şi menţinerea măsurii arestării preventive.  </w:t>
      </w:r>
    </w:p>
    <w:p>
      <w:pPr>
        <w:pStyle w:val="Normal"/>
        <w:spacing w:before="0" w:after="0"/>
        <w:ind w:firstLine="709"/>
        <w:contextualSpacing/>
        <w:jc w:val="both"/>
        <w:rPr/>
      </w:pPr>
      <w:r>
        <w:rPr>
          <w:b/>
        </w:rPr>
        <w:t>Apărătorul ales al inculpatului intimat R1, avocat ...., având cuvântul</w:t>
      </w:r>
      <w:r>
        <w:rPr/>
        <w:t>, solicită respingerea</w:t>
      </w:r>
      <w:r>
        <w:rPr>
          <w:b/>
        </w:rPr>
        <w:t xml:space="preserve"> </w:t>
      </w:r>
      <w:r>
        <w:rPr/>
        <w:t>contestaţiei.</w:t>
      </w:r>
    </w:p>
    <w:p>
      <w:pPr>
        <w:pStyle w:val="Normal"/>
        <w:spacing w:before="0" w:after="0"/>
        <w:ind w:firstLine="709"/>
        <w:contextualSpacing/>
        <w:jc w:val="both"/>
        <w:rPr/>
      </w:pPr>
      <w:r>
        <w:rPr/>
        <w:t>În acest sens arată că la momentul la care s-a dispus luarea măsurii preventive s-a avut în vedere o faptă deosebit de gravă săvârșită pe o perioadă de timp relativ lungă, de aproximativ 5 luni, dar şi un element subiectiv, respectiv faptul că inculpatul provenea dintr-o familie în care părinţii lucrau în Spania, iar minorul era lipsit de orice fel de grijă şi atenţie din partea familiei, astfel încât pentru inculpatul care şi renunţare la şcoală este uşor de explicat că nu avea resursele necesare pentru a realiza ceea ce se întâmplă.</w:t>
      </w:r>
    </w:p>
    <w:p>
      <w:pPr>
        <w:pStyle w:val="Normal"/>
        <w:spacing w:before="0" w:after="0"/>
        <w:ind w:firstLine="709"/>
        <w:contextualSpacing/>
        <w:jc w:val="both"/>
        <w:rPr/>
      </w:pPr>
      <w:r>
        <w:rPr/>
        <w:t xml:space="preserve">Susţine că aceste împrejurări s-au schimbat. Cauza este în faza de cameră preliminară, acuzaţia şi întinderea acesteia nu este încă suficient de clară, având în vedere că la început s-a discutat de o perioadă de 5 luni, însă prin excepţii depuse în faţa judecătorului de cameră preliminară din cadrul Tribunalului ... s-a arătat că această perioadă este greşit individualizată, iar instanţa de control judiciar poate analiza acest aspect în mod indirect în cadrul contestaţiei. În rechizitoriu se arată că inculpatul şi victima au stopat această activitate pentru o perioadă de o lună şi două săptămâni, rezultând astfel o perioadă de 54 zile în care o persoană minoră a fost exploatată. Subliniază faptul că la acel moment inculpatul avea sub vârsta de 16 ani, iar o condiţie pe care organele de urmărire penală trebuie să o acopere este reprezentată de expertizarea minorilor sub 16 ani care săvârşesc anumite infracţiuni, însă în cauză nimeni nu şi-a pus problema dacă inculpatul a avut sau nu discernământ, dacă acesta a fost diminuat sau dacă reprezentarea corectă a ceea ce s-a întâmplat are un ecou în conştiinţa acestuia. </w:t>
      </w:r>
    </w:p>
    <w:p>
      <w:pPr>
        <w:pStyle w:val="Normal"/>
        <w:spacing w:before="0" w:after="0"/>
        <w:ind w:firstLine="709"/>
        <w:contextualSpacing/>
        <w:jc w:val="both"/>
        <w:rPr/>
      </w:pPr>
      <w:r>
        <w:rPr/>
        <w:t xml:space="preserve">Plasarea unui minor sub imperiul arestării preventive pentru o perioadă de aproape 6 luni trebuie atent analizată, având în vedere că inculpatul este o persoană care îşi formează viitoarele reflexe sociale. Or, situaţia în care se află în prezent u îi este favorabilă, mai ales prin prisma faptului că acesta vine dintr-un mediu care este privit cu reţinere de societate şi care nu a urmat cursurile şcolare. </w:t>
      </w:r>
    </w:p>
    <w:p>
      <w:pPr>
        <w:pStyle w:val="Normal"/>
        <w:spacing w:before="0" w:after="0"/>
        <w:ind w:firstLine="709"/>
        <w:contextualSpacing/>
        <w:jc w:val="both"/>
        <w:rPr/>
      </w:pPr>
      <w:r>
        <w:rPr/>
        <w:t xml:space="preserve">Susţine că în prezent inculpatul are alte resurse, respectiv că părinţii au renunţat la locurile de muncă din Spania şi s-au mutat în ţară pentru a avea grijă de el, urmează să fie reînscris la cursurile şcolare, la ultimul termen în faţa acestui complet de judecată tatăl a precizat că a montat un sistem de supraveghere pentru a avea un control asupra a tot ce se întâmplă în imobil. Astfel, există indicii că plasarea că plasarea sub măsura arestului la domiciliu ar satisface toate cerinţele unui proces care să nu fie influenţat de inculpat, dar şi a faptului că inculpatul nu ar săvârşi alte infracţiuni. Prin plasarea inculpatului sub măsură arestului la domiciliu se poate satisface orice fel de cerinţă pe care instanţa ar avea-o cu privire la o persoană care este judecată. </w:t>
      </w:r>
    </w:p>
    <w:p>
      <w:pPr>
        <w:pStyle w:val="Normal"/>
        <w:spacing w:before="0" w:after="0"/>
        <w:ind w:firstLine="709"/>
        <w:contextualSpacing/>
        <w:jc w:val="both"/>
        <w:rPr/>
      </w:pPr>
      <w:r>
        <w:rPr/>
        <w:t xml:space="preserve">Consideră că încheierea judecătorului de cameră preliminară din cadrul Tribunalului ... este legală şi temeinică, nu există motive pentru desfiinţarea acesteia, inculpatul oferind toate garanţiile că prin plasarea sub măsura arestului la domiciliu inculpatul nu va influenţa în nicio modalitate desfăşurarea procesului. </w:t>
      </w:r>
    </w:p>
    <w:p>
      <w:pPr>
        <w:pStyle w:val="Normal"/>
        <w:spacing w:before="0" w:after="0"/>
        <w:ind w:firstLine="709"/>
        <w:contextualSpacing/>
        <w:jc w:val="both"/>
        <w:rPr/>
      </w:pPr>
      <w:r>
        <w:rPr>
          <w:b/>
        </w:rPr>
        <w:t xml:space="preserve">Inculpatul intimat R1, având ultimul cuvânt, </w:t>
      </w:r>
      <w:r>
        <w:rPr/>
        <w:t xml:space="preserve">arată că este de acord cu apărătorul său, precizând să îşi doreşte să se reînscrie la cursurile şcolare. </w:t>
      </w:r>
    </w:p>
    <w:p>
      <w:pPr>
        <w:pStyle w:val="Normal"/>
        <w:ind w:firstLine="709"/>
        <w:jc w:val="both"/>
        <w:rPr>
          <w:i/>
          <w:i/>
        </w:rPr>
      </w:pPr>
      <w:bookmarkStart w:name="_Hlk179193831" w:id="4"/>
      <w:r>
        <w:rPr>
          <w:i/>
        </w:rPr>
        <w:t>Curtea constată închise dezbaterile, reţine cauza spre deliberare şi pronunţare, care va avea loc astăzi prin punerea soluției la dispoziția inculpatului și procurorului prin mijlocirea grefei instanței.</w:t>
      </w:r>
      <w:bookmarkEnd w:id="4"/>
    </w:p>
    <w:p>
      <w:pPr>
        <w:pStyle w:val="Normal"/>
        <w:jc w:val="both"/>
        <w:rPr/>
      </w:pPr>
      <w:r>
        <w:rPr/>
      </w:r>
    </w:p>
    <w:p>
      <w:pPr>
        <w:pStyle w:val="Normal"/>
        <w:jc w:val="center"/>
        <w:rPr>
          <w:b/>
        </w:rPr>
      </w:pPr>
      <w:r>
        <w:rPr>
          <w:b/>
        </w:rPr>
        <w:t>CURTEA DE APEL</w:t>
      </w:r>
    </w:p>
    <w:p>
      <w:pPr>
        <w:pStyle w:val="Normal"/>
        <w:jc w:val="center"/>
        <w:rPr>
          <w:b/>
        </w:rPr>
      </w:pPr>
      <w:r>
        <w:rPr>
          <w:b/>
        </w:rPr>
        <w:t>COMPLETUL DE JUDECATORI DE CAMERĂ PRELIMINARĂ,</w:t>
      </w:r>
    </w:p>
    <w:p>
      <w:pPr>
        <w:pStyle w:val="Normal"/>
        <w:jc w:val="center"/>
        <w:rPr>
          <w:b/>
        </w:rPr>
      </w:pPr>
      <w:r>
        <w:rPr>
          <w:b/>
        </w:rPr>
      </w:r>
    </w:p>
    <w:p>
      <w:pPr>
        <w:pStyle w:val="Normal"/>
        <w:ind w:firstLine="708"/>
        <w:jc w:val="both"/>
        <w:rPr>
          <w:b/>
        </w:rPr>
      </w:pPr>
      <w:bookmarkStart w:name="_Hlk179193930" w:id="5"/>
      <w:bookmarkStart w:name="_Hlk182740491" w:id="6"/>
      <w:r>
        <w:rPr>
          <w:b/>
        </w:rPr>
        <w:t>Deliberând asupra contestaţiei penale de faţă, constată următoarele</w:t>
      </w:r>
      <w:bookmarkEnd w:id="6"/>
      <w:r>
        <w:rPr>
          <w:b/>
        </w:rPr>
        <w:t>:</w:t>
      </w:r>
    </w:p>
    <w:p>
      <w:pPr>
        <w:pStyle w:val="Normal"/>
        <w:suppressAutoHyphens w:val="true"/>
        <w:ind w:firstLine="709"/>
        <w:jc w:val="both"/>
        <w:rPr/>
      </w:pPr>
      <w:r>
        <w:rPr/>
        <w:t xml:space="preserve">Prin încheierea din data de IP1, pronunţată in dosarul nr. D1/a1.4, constatând legalitatea și temeinicia măsurii arestării preventive sub imperiul căreia se afla inculpatul R1 judecătorul de camera preliminara din cadrul Tribunalului... a dispus înlocuirea măsurii arestării preventive a inculpatului R1 cu măsura preventivă a arestului la domiciliu pe o durată de 30 de zile de la momentul rămânerii definitive a prezentei încheieri, stabilind în sarcina acestuia obligațiile prevăzute de dispozițiile art. 221 Cod procedură penală, </w:t>
      </w:r>
    </w:p>
    <w:p>
      <w:pPr>
        <w:pStyle w:val="Normal"/>
        <w:suppressAutoHyphens w:val="true"/>
        <w:ind w:firstLine="709"/>
        <w:jc w:val="both"/>
        <w:rPr/>
      </w:pPr>
      <w:r>
        <w:rPr/>
        <w:t xml:space="preserve">De asemenea, instanța a atras atenția inculpatului cu privire la consecințele încălcării obligației de a nu părăsi imobilul ori nerespectarea itinerarului sau a condițiilor de deplasare constituie infracțiunea de evadare.   </w:t>
      </w:r>
    </w:p>
    <w:p>
      <w:pPr>
        <w:pStyle w:val="Normal"/>
        <w:suppressAutoHyphens w:val="true"/>
        <w:ind w:firstLine="709"/>
        <w:jc w:val="both"/>
        <w:rPr/>
      </w:pPr>
      <w:r>
        <w:rPr/>
        <w:t xml:space="preserve">Prin aceeași încheiere judecătorul de camera preliminara din cadrul Tribunalului ,,, a constatat legalitatea și temeinicia măsurii arestului la domiciliu sub imperiul căreia se afla inculpatul  R2, măsura pe care a menţinut-o. </w:t>
      </w:r>
    </w:p>
    <w:p>
      <w:pPr>
        <w:pStyle w:val="Normal"/>
        <w:suppressAutoHyphens w:val="true"/>
        <w:ind w:firstLine="709"/>
        <w:jc w:val="both"/>
        <w:rPr/>
      </w:pPr>
      <w:r>
        <w:rPr/>
        <w:t xml:space="preserve">Judecătorul de camera preliminara din cadrul Tribunalului ... după ce a făcut aplicarea dispoziţiilor legale referitoare la cheltuielile judiciare și a menționat ca soluția poate fi contestata în termen de 48 ore de la comunicare. </w:t>
      </w:r>
    </w:p>
    <w:p>
      <w:pPr>
        <w:pStyle w:val="Normal"/>
        <w:suppressAutoHyphens w:val="true"/>
        <w:ind w:firstLine="709"/>
        <w:jc w:val="both"/>
        <w:rPr>
          <w:color w:val="000000"/>
        </w:rPr>
      </w:pPr>
      <w:r>
        <w:rPr/>
        <w:t xml:space="preserve">Pentru a dispune astfel,  judecătorul de camera preliminara din cadrul Tribunalului ... a reținut, în esenţa, ca prin </w:t>
      </w:r>
      <w:bookmarkStart w:name="_Hlk168396487" w:id="7"/>
      <w:r>
        <w:rPr/>
        <w:t xml:space="preserve">rechizitoriul Parchetului de pe lângă Înalta Curte de Casație și Justiție — Direcția de Investigare a Infracțiunilor de Criminalitate Organizată și Terorism Serviciul Teritorial ..., emis la data de ... în dosarul penal nr. D2 şi înregistrat pe rolul Tribunalului ... la data de 28.08.2024, sub nr. D1, s-a dispus trimiterea în judecată, în stare de arest preventiv, a inculpatului R1, zis R1, fiul lui ...si..., născut la data de ... în localitatea ..., domiciliat în municipiul ..., strada ... nr. ..., județul ..., CNP ..., pentru comiterea infracţiunii de trafic de minori, prev. de art. 211 alin. 1 - alin. 2 lit. a din Cod penal raportat la art. 210 alin. 1 lit. a și b Cod penal cu referire la art. 182 lit. c Cod penal, cu aplicarea art. 113 alin. 3 Cod penal şi a inculpatului R2 zis R2 — în stare de arest preventiv - fiul lui și ..., născut la data de ... în mun. ..., jud. ..., domiciliat în municipiul ..., strada ..., nr. ..., județul ..., CNP ..., posesor al C.I. seria ..., nr. ..., eliberată la data de ... de SPC ..., pentru comiterea infracţiunii de trafic de persoane, prev. de art. 210 alin. 1 lit. a și b Cod penal </w:t>
      </w:r>
      <w:r>
        <w:rPr>
          <w:color w:val="000000"/>
        </w:rPr>
        <w:t>raportat la art. 182 lit. c Cod penal, cu aplicarea art. 113 alin. 3 Cod penal.</w:t>
      </w:r>
    </w:p>
    <w:p>
      <w:pPr>
        <w:pStyle w:val="Normal"/>
        <w:suppressAutoHyphens w:val="true"/>
        <w:ind w:firstLine="709"/>
        <w:jc w:val="both"/>
        <w:rPr>
          <w:color w:val="000000"/>
        </w:rPr>
      </w:pPr>
      <w:r>
        <w:rPr>
          <w:color w:val="000000"/>
        </w:rPr>
        <w:t>Prin actul  de sesizare a instanţei s-a reţinut în sarcina inculpatului R1, cercetat pentru infracțiunea de trafic de minori, prev. de art. 211 alin. 1 - alin. 2 lit. a din Cod penal raportat la art. 210 alin. 1 lit. a și b Cod penal cu referire la art. 182 lit. c Cod penal, cu aplicarea art. 113 alin. 3 Cod penal, în esenţă, că, începând cu data de 26.02.2024 şi până la data de 05.06.2024, a recrutat-o prin inducere în eroare și creând inițial aparența unei relații de iubire, pe victima minoră V1 și, profitând de starea de vădită vulnerabilitate a acesteia, a determinat-o, prin constrângere morală și fizică, să practice prostituția în folosul său.</w:t>
      </w:r>
    </w:p>
    <w:p>
      <w:pPr>
        <w:pStyle w:val="Normal"/>
        <w:suppressAutoHyphens w:val="true"/>
        <w:ind w:firstLine="709"/>
        <w:jc w:val="both"/>
        <w:rPr/>
      </w:pPr>
      <w:r>
        <w:rPr/>
        <w:t>În sarcina inculpatului R2, trimis în judecată pentru săvârşirea infracțiunii de trafic de persoane, prev. de art. 210 alin. 1 lit. a și b Cod penal raportat la art. 182 lit. c Cod penal, cu aplicarea art. 113 alin. 3 Cod penal, s-a reţinut, în esenţă, că din cursul anului 2023 și până la data de 05.06.2024, pentru o perioadă de aproximativ un an, a recrutat-o prin inducere în eroare și creând inițial aparența unei relații de iubire, pe victima V2 şi, profitând de starea de vădită vulnerabilitate a acesteia, a determinat-o, prin constrângere morală și fizică, să practice prostituția în folosul său.</w:t>
      </w:r>
    </w:p>
    <w:p>
      <w:pPr>
        <w:pStyle w:val="Normal"/>
        <w:suppressAutoHyphens w:val="true"/>
        <w:ind w:firstLine="709"/>
        <w:jc w:val="both"/>
        <w:rPr/>
      </w:pPr>
      <w:r>
        <w:rPr/>
        <w:t>Pentru a se reține această situație de fapt, procurorul a avut în vedere următoarele mijloace de probă:</w:t>
      </w:r>
      <w:r>
        <w:rPr>
          <w:color w:val="000000"/>
        </w:rPr>
        <w:t xml:space="preserve"> Proces-verbal din data de 11.03.2024 de verificare anunț postat pe Publi24; Declarație martor M1; Proces-verbal de investigații din data de 11.03.2024; Proces-verbal de investigații din data de 13.03.2024; Înscrisuri privind conflictul familial din data de 26.02.2024; Proces-verbal de investigații din data de 18.03.2024; Proces-verbal de investigații din 19.03.2024; Proces-verbal din data 26.03.2024 privind datele puse la dispoziție de T1 SRL; Înscrisuri privind intervenția organelor de poliție din data de 16.03.2024; Proces-verbal din data de 01.04.2024; Procese-verbale </w:t>
      </w:r>
      <w:r>
        <w:rPr/>
        <w:t>de redare în scris a activităților de supraveghere tehnică; Declarație martor M2; Declarație martor M3; Declarație martor M4; Declarație martor M5; Declarație martor M6; Declarație martor M7; Declarație martor M8; Declarație martorul M9; Procese-verbale de percheziție informatică; Proces-verbal de analiză date informatice privind sistemele informatice aparținând victimei V1; Procese-verbale de investigații din 30.04.2024; Procese-verbale de redare convorbiri telefonice; Proces-verbal de investigații din data de 23.05.2024; Procese-verbale din data de 31.05.2024; Înscrisuri înaintate de Poliția Municipiului ...; Înscrisuri medicale; Procese-verbale de investigații din data de 04.06.2024; Declarație martor M10; Declarație persoană vătămată V1; Proces-verbal examinare victimă V1; Declarație persoană vătămată V2; Proces-verbal examinare victimă V2; Declarație persoană vătămată M11; Procese-verbale de percheziții domiciliare; Declarație suspect/inculpat R1; Declarație suspect/inculpat R2, Înscrisuri medicale privind situația persoanei vătămate V2 Proces-verbal de percheziție informatică (f. 44 — 45, Vol. 111);Proces-verbal de analiză date informatice privind sistemele informatice aparținând victimei V1 (f. 46 — 105, Vol. 111);Proces-verbal de percheziție informatică (f. 108, Vol. 111);Proces-verbal de analiză date informatice (f. 110, Vol. 111);Declarație martor M8 (f. 114 — 116, Vol. 111);Declarație martorul M9 (f. 119 — 121, Vol. 111);Referat evaluare minor R1 (f. 134 — 136, Vol. 111);Declarație martor M11 (f. 294 — 296, Vol. IV);Proces-verbal de investigații (f. 3-4, Vol. IV);Raport de evaluare psihologică nr. din data de ...2/20.08.2024 (f. 94-95, Vol. IV);Declarație suspect/inculpat R1 (f. 256, 259, Vol. 1);Declarație suspect/inculpat R2 (f. 272 — 275, 277, Vol. 1);</w:t>
      </w:r>
    </w:p>
    <w:p>
      <w:pPr>
        <w:pStyle w:val="Normal"/>
        <w:suppressAutoHyphens w:val="true"/>
        <w:ind w:firstLine="709"/>
        <w:jc w:val="both"/>
        <w:rPr>
          <w:color w:val="000000"/>
        </w:rPr>
      </w:pPr>
      <w:r>
        <w:rPr>
          <w:color w:val="000000"/>
        </w:rPr>
        <w:t xml:space="preserve">A reținut  judecatorul de camera preliminara din cadrul Tribunalului ... ca din </w:t>
      </w:r>
    </w:p>
    <w:p>
      <w:pPr>
        <w:pStyle w:val="Normal"/>
        <w:suppressAutoHyphens w:val="true"/>
        <w:ind w:firstLine="709"/>
        <w:jc w:val="both"/>
        <w:rPr/>
      </w:pPr>
      <w:r>
        <w:rPr/>
        <w:t xml:space="preserve">datele existente în cauză până în acest moment procesual, fără a se confunda cu probele certe ale vinovăţiei inculpaţilor, conturează un minim de indicii care justifică bănuiala legitimă că aceştia ar fi săvârşit faptele grave prin care au produs o perturbare socială deosebită atât la nivelul comunităţii locale în care au acţionat, dar şi la nivelul întregului corp social. </w:t>
      </w:r>
      <w:r>
        <w:rPr>
          <w:color w:val="000000"/>
        </w:rPr>
        <w:t>În cauză există presupunerea rezonabilă că inculpaţii ar fi comis faptele grave pentru care sunt cercetaţi, aspect ce probează nesocotirea, în mod deliberat, a normelor de drept care protejează valori sociale fundamentale, strâns legate de personalitatea umană şi ignorarea consecinţelor faptelor sale.</w:t>
      </w:r>
    </w:p>
    <w:p>
      <w:pPr>
        <w:pStyle w:val="Normal"/>
        <w:suppressAutoHyphens w:val="true"/>
        <w:ind w:firstLine="709"/>
        <w:jc w:val="both"/>
        <w:rPr/>
      </w:pPr>
      <w:r>
        <w:rPr>
          <w:color w:val="000000"/>
        </w:rPr>
        <w:t>În analiza sa  judecătorul de camera preliminara din cadrul Tribunalului ... a făcut trimitere la jurisprudenţa</w:t>
      </w:r>
      <w:r>
        <w:rPr/>
        <w:t xml:space="preserve"> CEDO în materia arestării preventive, jurisprudenţa menita sa sublinieze standardul și condiţiile în care o persoană acuzată de comiterea unei infracţiuni trebuie cercetată în stare de libertate în timpul procesului, cu excepţia  situaţiei în care statul poate demonstra că există motive suficiente şi relevante pentru a justifica  arestarea preventiva. </w:t>
      </w:r>
    </w:p>
    <w:p>
      <w:pPr>
        <w:pStyle w:val="Normal"/>
        <w:suppressAutoHyphens w:val="true"/>
        <w:ind w:firstLine="709"/>
        <w:jc w:val="both"/>
        <w:rPr/>
      </w:pPr>
      <w:r>
        <w:rPr/>
        <w:tab/>
        <w:t xml:space="preserve">Deşi se admite că există o prezumţie în favoarea libertăţii inculpaţilor, până la stabilirea definitivă a vinovăţiei acestora, se apreciază la acest moment că menţinerea măsurii arestării preventive se justifică întrucât în cauză există indicii concrete care relevă necesitatea protejării ordinii  publice, care prevalează în raport de regula judecării unei persoane în stare de libertate. </w:t>
      </w:r>
    </w:p>
    <w:p>
      <w:pPr>
        <w:pStyle w:val="Normal"/>
        <w:suppressAutoHyphens w:val="true"/>
        <w:ind w:firstLine="709"/>
        <w:jc w:val="both"/>
        <w:rPr/>
      </w:pPr>
      <w:r>
        <w:rPr/>
        <w:t xml:space="preserve">A arătat judecatorul ca starea de pericol pentru ordinea publică trebuie apreciată în raport de întregul ansamblu al circumstanţelor faptelor, în acest sens fiind şi jurisprudenţa Curţii Europene a Drepturilor Omului, care, în cauza Letellier contra Franţei, a admis că prin deosebita lor gravitate şi prin reacţia publicului faţă de săvârşirea lor, anumite infracţiuni pot produce o anumită tulburare socială de natură să justifice o detenţie provizorie. </w:t>
      </w:r>
    </w:p>
    <w:p>
      <w:pPr>
        <w:pStyle w:val="Normal"/>
        <w:suppressAutoHyphens w:val="true"/>
        <w:ind w:firstLine="709"/>
        <w:jc w:val="both"/>
        <w:rPr/>
      </w:pPr>
      <w:r>
        <w:rPr/>
        <w:t>De asemenea, a mai aratat ca în cauza Wemhoff c. Germaniei s-a statuat principiul general care trebuie sa guverneze la luarea măsurii arestarii preventive: „detenţia preventivă trebuie sa aibă un caracter excepţional, starea de libertate fiind starea normală, şi ea nu trebuie sa se prelungească dincolo de limitele rezonabile, independent de faptul ca ea se va computa sau nu din pedeapsă”. Aprecierea limitelor rezonabile ale unei detenţii provizorii se face luându-se în considerare circumstanţele concrete ale fiecarui caz, pentru a vedea în ce masură  “există indicii precise cu privire la un interes public real care, fără a fi adusă atingere prezumţiei de nevinovăţie, are o pondere mai mare decât cea a regulii generale a judecării în stare de libertate” (cauza Labita c. Italia).</w:t>
      </w:r>
    </w:p>
    <w:p>
      <w:pPr>
        <w:pStyle w:val="Normal"/>
        <w:suppressAutoHyphens w:val="true"/>
        <w:ind w:firstLine="709"/>
        <w:jc w:val="both"/>
        <w:rPr/>
      </w:pPr>
      <w:r>
        <w:rPr/>
        <w:t>Prin urmare, a arătat judecatorul ca se poate reţine că anumite infracţiuni, îndeosebi cele grave, pot produce o anumită tulburare socială, care este de natură a justifica o detenţie provizorie, pe o perioadă de timp rezonabilă, mai ales când existenţa motivelor plauzibile împotriva celui acuzat pledează pentru plasarea sa în stare de arest, iar în acest sens trebuie precizat că tulburarea ordinii publice ţine într-o anumită măsură de sfera lucrurilor resimţite de opinia publică, iar nu doar de datele obiective care justifică această plasare în detenţie ca măsură excepţională. Din acest motiv, pericolul pentru ordinea publică a mai fost definit în doctrină drept temerea că, odată pus în libertate, inculpatul ar comite noi fapte penale ori ar declanşa reacţii puternice în rândul opiniei publice determinate de fapta pentru care este cercetat, iar pericolul pentru ordinea publică, ca şi periculozitatea, reprezintă o apreciere asupra comportamentului viitor al acestuia.</w:t>
      </w:r>
    </w:p>
    <w:p>
      <w:pPr>
        <w:pStyle w:val="Normal"/>
        <w:suppressAutoHyphens w:val="true"/>
        <w:ind w:firstLine="709"/>
        <w:jc w:val="both"/>
        <w:rPr/>
      </w:pPr>
      <w:r>
        <w:rPr/>
        <w:t>A apreciat judecătorul ca la acest momentul, în baza  mijloacelor de probă  administrate în faza de urmărire penală, judecătorul de cameră preliminară  a reţinut că în cauză există probe care susţin suspiciunea rezonabilă că că inculpaţii ar fi comis următoarele fapte: inculpatul minor R1 ar putea fi autorul infracțiunii de trafic de minori, prev. de art. 211 alin. 1, alin. 2 lit. a) Cod penal raportat la art. 210 alin. 1 lit. a) și b) Cod penal cu referire la art. 182 lit. c) Cod penal, cu aplicarea art. 113 alin. 3 Cod penal, constând în aceea că începând cu data de 26.02.2024, ar fi recrutat-o prin inducere în eroare și creând inițial aparența unei relații de iubire, pe victima minoră V1 și, profitând de starea de vădită vulnerabilitate a acesteia, ar fi determinat-o, prin constrângere morală și fizică, să practice prostituția în folosul său; inculpatul minor (la data presupuselor fapte) R2 ar putea fi autor al infracțiunii de trafic de persoane, prev. de art. 210 alin. 1 lit. a) și b) Cod penal raportat la art. 182 lit. c) Cod penal, cu aplicarea art. 113 alin. 3 Cod penal, constând în aceea că începând cu anul 2023, pentru o perioadă de aproximativ un an, a recrutat-o prin inducere în eroare și creând inițial aparența unei relații de iubire, pe victima V2 și, profitând de starea de vădită vulnerabilitate a acesteia, a determinat-o pe aceasta, prin constrângere morală și fizică, să practice prostituția în folosul său.</w:t>
      </w:r>
    </w:p>
    <w:p>
      <w:pPr>
        <w:pStyle w:val="Normal"/>
        <w:tabs>
          <w:tab w:val="clear" w:pos="720"/>
          <w:tab w:val="left" w:leader="none" w:pos="8160"/>
        </w:tabs>
        <w:suppressAutoHyphens w:val="true"/>
        <w:ind w:firstLine="709"/>
        <w:jc w:val="both"/>
        <w:rPr/>
      </w:pPr>
      <w:r>
        <w:rPr>
          <w:color w:val="000000"/>
        </w:rPr>
        <w:t xml:space="preserve">A arătat judecătorul ca astfel </w:t>
      </w:r>
      <w:r>
        <w:rPr/>
        <w:t>cum s-a statuat în mod constant în practica instanţelor judecătoreşti interne, în deplin consens cu jurisprudenţa CEDO, probele în baza cărora poate fi dispusă arestarea preventivă şi ulterior prelungirea acestei măsuri, nu trebuie să aibă greutatea celor care ar sta la baza unei soluţii de condamnare. Pentru luarea măsurii arestării şi ulterior pentru menţinerea unei măsuri  preventive nu este necesar să existe probe certe de vinovăţie, ci este suficient să existe indicii temeinice care să justifice în mod rezonabil şi obiectiv presupunerea că a fost săvârșită o faptă prevăzută de legea penală de către persoana a cărei privare de libertate se solicită.</w:t>
      </w:r>
    </w:p>
    <w:p>
      <w:pPr>
        <w:pStyle w:val="Normal"/>
        <w:suppressAutoHyphens w:val="true"/>
        <w:ind w:firstLine="709"/>
        <w:jc w:val="both"/>
        <w:rPr/>
      </w:pPr>
      <w:r>
        <w:rPr/>
        <w:t xml:space="preserve">Judecătorul de cameră preliminară a subliniat că în prezenta procedură nu se analizează situaţia inculpaţilor din perspectiva stabilirii existenţei sau nu a vinovăţiei penale, aceasta putându-se stabili doar cu ocazia judecăţii fondului cauzei. Gradul de evaluare a probatoriului administrat până la momentul analizării  legalităţii şi temeiniciei măsurii preventive în procedura de cameră preliminară trebuie să fie unul care să permită doar creionarea şi consolidarea suspiciunii rezonabile în sensul săvârşirii faptelor de care sunt acuzaţi inculpaţii, nicidecum unul substanţial. </w:t>
      </w:r>
    </w:p>
    <w:p>
      <w:pPr>
        <w:pStyle w:val="Normal"/>
        <w:suppressAutoHyphens w:val="true"/>
        <w:spacing w:before="0" w:after="0"/>
        <w:ind w:firstLine="709"/>
        <w:contextualSpacing/>
        <w:jc w:val="both"/>
        <w:rPr/>
      </w:pPr>
      <w:r>
        <w:rPr/>
        <w:t xml:space="preserve">Analizând, în acest stadiu procesual, legalitatea măsurii arestării preventive/arestului la domiciliu dispuse faţă de inculpaţii R1 şi R2, judecătorul de cameră preliminară a apreciat că la momentul dispunerii măsurii preventive, precum şi ulterior, cu ocazia fiecărei analize efectuate, au fost respectate dispoziţiile legale incidente în materie, precum şi drepturile fundamentale şi procesuale ale inculpaţilor. Aceştia au fost asistaţi de apărător, au beneficiat de o apărare efectivă pe tot parcursul urmăririi penale şi până la acest moment al judecăţii, au avut acces la toate actele şi lucrările dosarului, au dat declaraţii şi le-au fost analizate argumentele prezentate în apărare. Instanţa a constatat că nu a fost identificată nicio cauză care să împiedice punerea în mişcare sau exercitarea acţiunii penale. </w:t>
      </w:r>
    </w:p>
    <w:p>
      <w:pPr>
        <w:pStyle w:val="Normal"/>
        <w:suppressAutoHyphens w:val="true"/>
        <w:spacing w:before="0" w:after="0"/>
        <w:ind w:firstLine="709"/>
        <w:contextualSpacing/>
        <w:jc w:val="both"/>
        <w:rPr/>
      </w:pPr>
      <w:r>
        <w:rPr/>
        <w:t xml:space="preserve">Judecătorul a subliniat ca acuzaţia ce li se aduce inculpaţilor este de o gravitate sporită, inculpaţii ar fi adus o gravă atingere libertăţii sexuale a victimelor, pe care le-ar fi exploatat sexual, folosind inclusiv acte de violenţă fizică şi psihică şi, ţinând seama şi de circumstanţele personale ale inculpaţilor, care sunt cunoscuţi cu antecedente penale, fiindu-le anterior aplicate măsuri educative, pare că aceştia prezintă în continuare o periculozitate crescută şi o predispoziţie spre încălcarea legii penale. </w:t>
      </w:r>
    </w:p>
    <w:p>
      <w:pPr>
        <w:pStyle w:val="Normal"/>
        <w:suppressAutoHyphens w:val="true"/>
        <w:ind w:firstLine="709"/>
        <w:jc w:val="both"/>
        <w:rPr/>
      </w:pPr>
      <w:r>
        <w:rPr/>
        <w:t>Aşa cum s-a mai arătat, persoana vătămată minoră V1 are o vârstă foarte fragedă, de doar 14 ani, ambele persoane vătămate ar fi fost exploatate sexual o perioadă considerabilă de timp, mai ales V2, inculpaţii le-ar fi indus în eroare, simulând relaţii de iubire cu victimele, ar fi profitat de starea lor de vădită vulnerabilitate (determinată de vârstă şi lipsa experienţei de viaţă, de mediul din care provin şi lipsa suportului familial, de educaţia precară şi de inexistenţa resurselor financiare), ar fi exercitat acte de violenţă fizică şi psihică împotriva acestora şi şi-ar fi însuşit o parte a sumelor de bani obţinute de cele două victime în urma practicării prostituţiei.</w:t>
      </w:r>
    </w:p>
    <w:p>
      <w:pPr>
        <w:pStyle w:val="Normal"/>
        <w:suppressAutoHyphens w:val="true"/>
        <w:ind w:right="-2" w:firstLine="709"/>
        <w:jc w:val="both"/>
        <w:rPr/>
      </w:pPr>
      <w:r>
        <w:rPr/>
        <w:t xml:space="preserve">De asemenea, s-a arătat ca pare că inculpaţii au profitat de imaturitatea şi de naivitatea victimelor, mai ales a celei minore, de starea lor financiară precară şi nivelul educaţional scăzut, reducându-le la condiţia de marfă, de simple surse generatoare de venituri, ceea ce denotă lipsa oricăror repere morale şi o completă lipsă de empatie, inculpaţii ignorând cu desăvârşire traumele grave pe care prezumtivele lor fapte le pot avea asupra victimelor. </w:t>
      </w:r>
    </w:p>
    <w:p>
      <w:pPr>
        <w:pStyle w:val="Normal"/>
        <w:suppressAutoHyphens w:val="true"/>
        <w:ind w:firstLine="709"/>
        <w:jc w:val="both"/>
        <w:rPr/>
      </w:pPr>
      <w:r>
        <w:rPr/>
        <w:t>Inculpaţii ar fi exercitat şi un control strict asupra victimelor, iar în urma presupusei activităţi ilicite desfăşurate ar fi obţinut sume importante de bani, adoptând un stil de viaţă parazitar, în detrimentul obţinerii de venituri prin muncă cinstită.</w:t>
      </w:r>
    </w:p>
    <w:p>
      <w:pPr>
        <w:pStyle w:val="Normal"/>
        <w:suppressAutoHyphens w:val="true"/>
        <w:spacing w:before="0" w:after="0"/>
        <w:ind w:firstLine="709"/>
        <w:contextualSpacing/>
        <w:jc w:val="both"/>
        <w:rPr/>
      </w:pPr>
      <w:r>
        <w:rPr/>
        <w:t xml:space="preserve">Judecătorul de cameră preliminară a reţinut că, în conformitate cu prevederile art. 223 alin. 2 şi art. 218 din Codul de procedură penală, în justificarea stării de pericol pentru ordinea publică pe care o prezintă lăsarea în libertate a inculpaţilor se are în vedere, în primul rând, gravitatea faptelor presupus comise, evidențiată şi de sancțiunea prevăzută de lege şi de modalitatea concretă în care acestea ar fi fost săvârșite, dar şi de periculozitatea de care inculpaţii ar fi dat dovadă. </w:t>
      </w:r>
    </w:p>
    <w:p>
      <w:pPr>
        <w:pStyle w:val="Normal"/>
        <w:suppressAutoHyphens w:val="true"/>
        <w:ind w:firstLine="709"/>
        <w:jc w:val="both"/>
        <w:rPr/>
      </w:pPr>
      <w:r>
        <w:rPr/>
        <w:tab/>
        <w:t xml:space="preserve">Analizând gravitatea concretă a faptelor presupus comise de inculpaţi, judecătorul de cameră preliminară a reţinut că activitatea infracţională imputată acestora pare a fi una însemnată, cu implicarea constantă şi activă a celor doi inculpați în activitatea de exploatare a persoanelor vătămate, în vederea obținerii de venituri, în mod facil, cu ignorarea efectelor grave pe care bănuitele lor fapte şi activitatea de prostituţie le pot avea asupra sănătăţii psihice şi fizice a celor două victime, dintre care una minoră de doar 14 ani, cu atât mai mult cu cât asupra lor ar fi fost exercitate şi violenţe fizice şi psihice. </w:t>
      </w:r>
    </w:p>
    <w:p>
      <w:pPr>
        <w:pStyle w:val="Normal"/>
        <w:suppressAutoHyphens w:val="true"/>
        <w:ind w:firstLine="709"/>
        <w:jc w:val="both"/>
        <w:rPr/>
      </w:pPr>
      <w:r>
        <w:rPr/>
        <w:t>Sub aspectul circumstanţelor personale, judecătorul de camera preliminară din cadrul Tribunalului ... a reținut ca inculpatul R1 are vârsta de 16 ani, nu se află în continuarea studiilor, nu are un loc de muncă, o ocupaţie sau o sursă constantă şi licită de venituri, s-ar părea că este consumator de droguri şi amator de jocuri de noroc şi este cunoscut cu antecedente penale, fiindu-i aplicată chiar în cursul acestui an măsura educativă a asistării zilnice, pe o durată de 4 luni, pentru săvârşirea infracţiunii de furt calificat. În cauza respectivă inculpatul a fost supus inclusiv unor măsuri preventive, anume reţinerea şi controlul judiciar.</w:t>
      </w:r>
    </w:p>
    <w:p>
      <w:pPr>
        <w:pStyle w:val="Normal"/>
        <w:suppressAutoHyphens w:val="true"/>
        <w:ind w:firstLine="709"/>
        <w:jc w:val="both"/>
        <w:rPr/>
      </w:pPr>
      <w:r>
        <w:rPr/>
        <w:t xml:space="preserve">Drept urmare, judecătorul de cameră preliminară a reiterat că riscul de comitere a altor presupuse infracţiuni de către inculpaţii R1 şi R2 este unul ridicat, ţinând cont şi de anturaj, de lipsa frecventării şcolii sau a unui loc de muncă, de gravitatea faptelor aparent comise și de antecedentele penale ale inculpaţilor, care par să dea dovadă de perseverenţă infracţională în comiterea de infracţiuni de natură diversă, dar care să le procure venituri.  </w:t>
      </w:r>
    </w:p>
    <w:p>
      <w:pPr>
        <w:pStyle w:val="Normal"/>
        <w:suppressAutoHyphens w:val="true"/>
        <w:ind w:firstLine="709"/>
        <w:jc w:val="both"/>
        <w:rPr/>
      </w:pPr>
      <w:r>
        <w:rPr/>
        <w:t xml:space="preserve">S-a arătat ca și în condiţiile în care inculpatul R1 contestă situaţia de fapt reţinută în rechizitoriu, încercând să acrediteze versiunea conform căreia mama persoanei vătămate minore ar fi fost cea care ar fi coordonat activitatea de prostituţie a fiicei sale şi ar fi obligat-o să practice prostituţia, probele administrate în cauză până la acest moment converg către bănuiala rezonabilă că inculpatul ar fi acţionat în sensul arătat prin rechizitoriu. </w:t>
      </w:r>
    </w:p>
    <w:p>
      <w:pPr>
        <w:pStyle w:val="Normal"/>
        <w:suppressAutoHyphens w:val="true"/>
        <w:ind w:firstLine="709"/>
        <w:jc w:val="both"/>
        <w:rPr/>
      </w:pPr>
      <w:r>
        <w:rPr/>
        <w:t xml:space="preserve">De asemenea, s-a apreciat ca nu prezintă importanţă la acest moment faptul că inculpatul R1 nu şi-ar fi însuşit în totalitate sumele de bani obţinute din prostituţie de persoana vătămată minoră, ci doar o parte a acelor venituri, astfel cum pretinde. </w:t>
      </w:r>
    </w:p>
    <w:p>
      <w:pPr>
        <w:pStyle w:val="Normal"/>
        <w:suppressAutoHyphens w:val="true"/>
        <w:ind w:firstLine="709"/>
        <w:jc w:val="both"/>
        <w:rPr/>
      </w:pPr>
      <w:r>
        <w:rPr/>
        <w:t xml:space="preserve">Judecătorul a subliniat ca aspectele de fapt învederate cu privire la faptul că persoanele vătămate ar mai fi practicat anterior prostituţia nu pot fi analizate la acest moment, în cadrul fazei procesuale prezente, însă, din perspectiva apărărilor specifice verificării măsurii preventive apar ca fiind irelevante, chiar în ipoteza confirmării unei atare situaţii, deoarece şi persoanele care au practicat prostituţia anterior pot fi victime ale infracţiunilor de trafic de minori/trafic de persoane. </w:t>
      </w:r>
    </w:p>
    <w:p>
      <w:pPr>
        <w:pStyle w:val="Normal"/>
        <w:suppressAutoHyphens w:val="true"/>
        <w:ind w:left="-113" w:right="-57" w:firstLine="709"/>
        <w:jc w:val="both"/>
        <w:rPr/>
      </w:pPr>
      <w:r>
        <w:rPr/>
        <w:t>Cât priveşte temeinicia măsurii arestării preventive a inculpatului R1, instanţa a apreciat că, deşi există probe care justifică bănuiala rezonabilă că acesta ar putea fi vinovat de comiterea faptei pentru care este trimis în judecata, acest aspect în sine, însă, nu poate justifica menţinerea în continuare a măsurii arestării preventive</w:t>
      </w:r>
      <w:r>
        <w:rPr>
          <w:color w:val="000000"/>
        </w:rPr>
        <w:t xml:space="preserve">, </w:t>
      </w:r>
      <w:r>
        <w:rPr/>
        <w:t xml:space="preserve">câtă vreme măsura preventivă menţionată nu mai este proporţională şi necesară pentru realizarea scopului urmărit prin dispunerea ei, respectiv prezervarea ordinii şi siguranţei publice, precum şi buna desfăşurare a procesului penal. </w:t>
      </w:r>
    </w:p>
    <w:p>
      <w:pPr>
        <w:pStyle w:val="Normal"/>
        <w:suppressAutoHyphens w:val="true"/>
        <w:ind w:left="-113" w:right="-57" w:firstLine="709"/>
        <w:jc w:val="both"/>
        <w:rPr/>
      </w:pPr>
      <w:r>
        <w:rPr/>
        <w:t>Potrivit art. 202 alin. (3) Cod procedură penală, orice măsură preventivă trebuie să fie, în orice moment, proporţională cu gravitatea acuzaţiei aduse persoanei faţă de care este luată şi necesară pentru realizarea scopului urmărit prin dispunerea acesteia.</w:t>
      </w:r>
    </w:p>
    <w:p>
      <w:pPr>
        <w:pStyle w:val="Normal"/>
        <w:suppressAutoHyphens w:val="true"/>
        <w:ind w:left="-113" w:right="-57" w:firstLine="709"/>
        <w:jc w:val="both"/>
        <w:rPr/>
      </w:pPr>
      <w:r>
        <w:rPr/>
        <w:t xml:space="preserve"> </w:t>
      </w:r>
      <w:r>
        <w:rPr/>
        <w:t xml:space="preserve">În acest sens, instanţa a avut în vedere </w:t>
      </w:r>
      <w:r>
        <w:rPr>
          <w:color w:val="000000"/>
        </w:rPr>
        <w:t>că potrivit art. 5 alin. (3) din Convenţia Europeană a Drepturilor Omului, autorităţile trebuie să ia în considerare măsurile alternative la arestarea preventivă, câtă vreme acuzatul oferă garanţii în privinţa prezentării sale la proces (cauza Calmanovici c.Romaniei).</w:t>
      </w:r>
      <w:r>
        <w:rPr/>
        <w:t xml:space="preserve"> </w:t>
      </w:r>
    </w:p>
    <w:p>
      <w:pPr>
        <w:pStyle w:val="Normal"/>
        <w:suppressAutoHyphens w:val="true"/>
        <w:ind w:left="-113" w:right="-57" w:firstLine="709"/>
        <w:jc w:val="both"/>
        <w:rPr/>
      </w:pPr>
      <w:r>
        <w:rPr/>
        <w:t>Neprezentând fapte concrete privind riscurile apărute în cazul punerii în libertate a inculpatului şi neluând în calcul măsurile alternative precum şi alegând să se sprijine în principal pe gravitatea faptelor comise şi să nu examineze individual situaţia reclamantului, autorităţile nu  ofera motive « relevante şi suficiente » pentru a justifica necesitatea privării de libertate.</w:t>
      </w:r>
    </w:p>
    <w:p>
      <w:pPr>
        <w:pStyle w:val="Normal"/>
        <w:suppressAutoHyphens w:val="true"/>
        <w:ind w:left="-113" w:right="-57" w:firstLine="709"/>
        <w:jc w:val="both"/>
        <w:rPr/>
      </w:pPr>
      <w:r>
        <w:rPr/>
        <w:t xml:space="preserve">Partea a doua a art. 5 alin. (3) din Convenţie nu oferă autorităţilor judiciare o opţiune între judecarea într-un termen rezonabil si eliberarea provizorie, existând o prezumţie în favoarea eliberării (cauza  Neumeister impotriva Austriei).          </w:t>
      </w:r>
    </w:p>
    <w:p>
      <w:pPr>
        <w:pStyle w:val="Normal"/>
        <w:suppressAutoHyphens w:val="true"/>
        <w:ind w:left="-113" w:right="-57" w:firstLine="709"/>
        <w:jc w:val="both"/>
        <w:rPr/>
      </w:pPr>
      <w:r>
        <w:rPr/>
        <w:t>Judecătorul a arătat ca dacă inițial, imediat ulterior momentului săvârșirii faptei, măsura arestării preventive era necesară şi justificată pentru prezervarea ordinii şi siguranţei în cadrul comunităţii şi asigurarea bunei desfăşurări a procesului penal, la acest moment, în care urmărirea penală a fost finalizată, dosarul fiind în cursul camerei preliminare, în prezent, după 5 luni de arest preventiv, argumentul gravităţii faptei şi consecinţelor acesteia nu mai poate justifica, în mod singular, menţinerea măsurii arestării preventive, fiind necesar să fie analizat în contextul tuturor circumstanţelor şi împrejurărilor privind fapta, dar şi persoana inculpatului. În același sens edictează şi dispoziţiile art. 223 alin. (2) teza finală Cod procedură penală.</w:t>
      </w:r>
    </w:p>
    <w:p>
      <w:pPr>
        <w:pStyle w:val="Normal"/>
        <w:suppressAutoHyphens w:val="true"/>
        <w:ind w:left="-113" w:right="-57" w:firstLine="709"/>
        <w:jc w:val="both"/>
        <w:rPr/>
      </w:pPr>
      <w:r>
        <w:rPr/>
        <w:t>Astfel, potrivit art. 223 alin. (2) Cod procedură penală măsura arestării preventive poate fi luată dacă din probe rezultă suspiciunea rezonabilă că inculpatul a săvârşit intenţionat una dintre infracţiunile enumerate în textul de lege, şi, pe baza evaluării gravităţii faptei, a modului şi a circumstanţelor de comitere a acesteia, a anturajului şi a mediului din care acesta provine, a antecedentelor penale şi a altor împrejurări privitoare la persoana acestuia, se constată că privarea sa de libertate este necesară pentru înlăturarea unei stări de pericol pentru ordinea publică.</w:t>
      </w:r>
    </w:p>
    <w:p>
      <w:pPr>
        <w:pStyle w:val="Normal"/>
        <w:suppressAutoHyphens w:val="true"/>
        <w:ind w:left="-113" w:right="-57" w:firstLine="709"/>
        <w:jc w:val="both"/>
        <w:rPr/>
      </w:pPr>
      <w:r>
        <w:rPr/>
        <w:t>În conformitate cu art. 218  alin. (1) Cod procedură penală, arestul la domiciliu se dispune dacă sunt îndeplinite condițiile art. 223 Cod procedură penală şi luarea acestei măsuri este necesară şi suficientă pentru realizarea unuia dintre scopurile prev. de art. 201 alin. (1) Cod procedură penală.</w:t>
      </w:r>
    </w:p>
    <w:p>
      <w:pPr>
        <w:pStyle w:val="Normal"/>
        <w:suppressAutoHyphens w:val="true"/>
        <w:ind w:firstLine="709"/>
        <w:jc w:val="both"/>
        <w:rPr/>
      </w:pPr>
      <w:r>
        <w:rPr/>
        <w:t>Potrivit art. 242 alin. (2) Cod procedură penală, măsura preventivă se înlocuieşte la cerere sau din oficiu, cu o măsură preventivă mai uşoară, dacă sunt îndeplinite condiţiile prevăzute de lege pentru luarea acesteia, şi, în urma evaluării împrejurărilor concrete ale cauzei şi a conduitei procesuale a inculpatului, se apreciază că măsura preventivă mai uşoară este suficientă pentru realizarea scopului prev. de art. 202 alin. (1) Cod procedură penală.</w:t>
      </w:r>
    </w:p>
    <w:p>
      <w:pPr>
        <w:pStyle w:val="Normal"/>
        <w:suppressAutoHyphens w:val="true"/>
        <w:ind w:firstLine="709"/>
        <w:jc w:val="both"/>
        <w:rPr/>
      </w:pPr>
      <w:r>
        <w:rPr/>
        <w:t xml:space="preserve">În consecinţă, în contextul în care nu au fost administrate probe care să demonstreze  că, dincolo de implicarea în presupusa activitate infracţională, inculpatul ar fi caracterizat de date sau împrejurări care să prefigureze un potenţial pericol pentru ordinea publică, în acest punct al procedurii judecătorul a apreciat că </w:t>
      </w:r>
      <w:r>
        <w:rPr>
          <w:color w:val="000000"/>
        </w:rPr>
        <w:t>nu există motive pentru care ordinea publică ar fi efectiv amenințată dacă, la acest moment procesual, inculpatul R1 ar fi cercetat prin plasarea sa sub arest la domiciliu, măsură care prin conţinut şi obligaţiile ce pot fi impuse inculpatului permite împiedicarea acestuia să persevereze în activitatea infracţională sau să influenţeze buna desfăşurare a procesului penal, măsura arestării preventive nemaifiind, la acest moment, proporţională şi necesară.</w:t>
      </w:r>
    </w:p>
    <w:p>
      <w:pPr>
        <w:pStyle w:val="Normal"/>
        <w:suppressAutoHyphens w:val="true"/>
        <w:ind w:firstLine="709"/>
        <w:jc w:val="both"/>
        <w:rPr>
          <w:color w:val="000000"/>
        </w:rPr>
      </w:pPr>
      <w:r>
        <w:rPr>
          <w:color w:val="000000"/>
        </w:rPr>
        <w:t>Astfel, judecătorul a reţinut - prin coroborarea datelor existente la dosarul privind gravitatea faptei, a modului şi circumstanţelor de comitere a acesteia, a circumstanţelor personale ale inculpatului R1, criterii stabilite în mod expres de prevederile art. 223 alin. (2) Cod procedură penală - că măsura arestării preventive a acestui inculpat nu mai este necesară şi proporţională cu scopul urmărit. În cauza de faţă există probe care justifică suspiciunea rezonabilă că inculpatul a comis faptele de care sunt acuzaţi şi aceasta pentru că, în raport de datele probatorii concrete ale speţei, de piesele dosarului, de activitatea infracţională ce poate fi susţinută la nivel rezonabil, la acest moment procesual, din perspectivă probatorie, s-a apreciat că plasarea inculpatului în arest la domiciliu este suficientă pentru a înlătura pericolul concret pentru ordinea publică pe care acesta îl mai prezintă.</w:t>
      </w:r>
    </w:p>
    <w:p>
      <w:pPr>
        <w:pStyle w:val="Normal"/>
        <w:tabs>
          <w:tab w:val="clear" w:pos="720"/>
          <w:tab w:val="left" w:leader="none" w:pos="0"/>
        </w:tabs>
        <w:suppressAutoHyphens w:val="true"/>
        <w:ind w:firstLine="709"/>
        <w:jc w:val="both"/>
        <w:rPr/>
      </w:pPr>
      <w:r>
        <w:rPr/>
        <w:tab/>
        <w:t>Măsura arestării preventive, care presupune excluderea inculpatului din mediul personal, trebuie să aibă un corespondent obiectiv în caracterul reprobabil al faptelor comise şi al persoanei acestuia, faţă de care această măsură trebuie să fie singurul mijloc de asigurare a protecţiei societăţii.</w:t>
      </w:r>
    </w:p>
    <w:p>
      <w:pPr>
        <w:pStyle w:val="Normal"/>
        <w:tabs>
          <w:tab w:val="clear" w:pos="720"/>
          <w:tab w:val="left" w:leader="none" w:pos="0"/>
        </w:tabs>
        <w:suppressAutoHyphens w:val="true"/>
        <w:ind w:firstLine="709"/>
        <w:jc w:val="both"/>
        <w:rPr/>
      </w:pPr>
      <w:r>
        <w:rPr/>
        <w:tab/>
        <w:t xml:space="preserve">Or, raportat atât la natura infracţiunii care formează obiectul acuzaţiei penale, a modalităţii efective şi concrete în care se rezumă că ar fi acţionat inculpatul, a vârstei sale şi a actualei implicări a membrilor familiei (prin revenirea pe teritoriul ţării în vederea supravegherii adecvate a inculpatului minor), cât şi luând în considerare circumstanţele personale ce caracterizează inculpatul şi, mai ales, durata deja petrecută în stare de arest preventiv, de aproximativ 5 luni în prezenta cauză, s-a constatat ca nu se mai poate afirma că măsura preventivă în curs mai prezintă caracter necesar.   </w:t>
      </w:r>
    </w:p>
    <w:p>
      <w:pPr>
        <w:pStyle w:val="Normal"/>
        <w:suppressAutoHyphens w:val="true"/>
        <w:ind w:firstLine="709"/>
        <w:jc w:val="both"/>
        <w:rPr/>
      </w:pPr>
      <w:r>
        <w:rPr>
          <w:color w:val="000000"/>
        </w:rPr>
        <w:t xml:space="preserve">Astfel, a susținut judecătorul ca reindividualizarea măsurii preventive dispuse faţă de inculpat </w:t>
      </w:r>
      <w:r>
        <w:rPr/>
        <w:t>la acest moment procesual şi pentru argumentele expuse anterior asigură un just echilibru între dreptul acestuia de a fi judecat sub imperiul unei măsuri preventive suficiente pentru atingerea scopului prevăzut de art. 202 Cod procedură penală, pe de o parte şi interesul general al prezervării ordinii publice şi asigurării bunei desfăşurări a procesului penal.</w:t>
      </w:r>
    </w:p>
    <w:p>
      <w:pPr>
        <w:pStyle w:val="Normal"/>
        <w:suppressAutoHyphens w:val="true"/>
        <w:ind w:firstLine="709"/>
        <w:jc w:val="both"/>
        <w:rPr/>
      </w:pPr>
      <w:r>
        <w:rPr/>
        <w:t xml:space="preserve">Circumstanţele factuale concrete ce caracterizează acţiunea ilicit penală imputată, nivelul redus de instrucţie al inculpatului, care a absolvit doar o clasă primară, circumstanţele familiale anterioare (absenţa supravegherii parentale corespunzătoare) au condus la concluzia că, după o privare de libertate în mediul carceral, în care inculpatul a reflectat asupra consecinţelor pe care le poate atrage comportamentul propriu, sub măsura arestului la domiciliu va continua a fi menţinut sub supravegherea constantă a membrilor familiei, în măsură să contribuie la o chiar mai bună conştientizare a implicaţiilor încălcării legii. </w:t>
      </w:r>
    </w:p>
    <w:p>
      <w:pPr>
        <w:pStyle w:val="Normal"/>
        <w:suppressAutoHyphens w:val="true"/>
        <w:ind w:firstLine="709"/>
        <w:jc w:val="both"/>
        <w:rPr/>
      </w:pPr>
      <w:r>
        <w:rPr/>
        <w:t xml:space="preserve">În opinia judecătorului de cameră preliminară, la acest moment riscul reiterării comportamentului infracţional a scăzut în mod semnificativ, iar celelalte scopuri prevăzute de art. 202 Cod procedură penală sunt pe deplin asigurate de măsura preventivă imediat următoare ca grad de severitate, respectiv cea a arestului la domiciliu.   </w:t>
      </w:r>
    </w:p>
    <w:p>
      <w:pPr>
        <w:pStyle w:val="Normal"/>
        <w:suppressAutoHyphens w:val="true"/>
        <w:ind w:firstLine="709"/>
        <w:jc w:val="both"/>
        <w:rPr/>
      </w:pPr>
      <w:r>
        <w:rPr/>
        <w:tab/>
        <w:t>Sub aspectul proporționalității, judecătorul a constatat că şi această condiție este îndeplinită în continuare, prin prisma gravității sporite a faptelor imputate şi a periculozităţii pe care o prezintă cei doi inculpaţi, în condiţiile în care durata privării de libertate este una redusă.</w:t>
      </w:r>
    </w:p>
    <w:p>
      <w:pPr>
        <w:pStyle w:val="Normal"/>
        <w:suppressAutoHyphens w:val="true"/>
        <w:ind w:firstLine="709"/>
        <w:jc w:val="both"/>
        <w:rPr/>
      </w:pPr>
      <w:r>
        <w:rPr/>
        <w:tab/>
        <w:t xml:space="preserve">Astfel, s-a arătat ca nu se poate considera că durata actuală a privării de libertate sub imperiul cărora se află inculpaţii ar fi excesivă raportat la gravitatea acuzaţiei aduse şi la pedeapsa prevăzută de lege pentru infracţiunile bănuit comise, respectiv la periculozitatea de care aceştia ar fi dat dovadă, luând în considerare şi stadiul dosarului aflat în procedura de cameră preliminară, finalizarea urmăririi penale fără să fi existat până acum perioade de inactivitate nejustificată din partea organelor de urmărire penală.  </w:t>
      </w:r>
    </w:p>
    <w:p>
      <w:pPr>
        <w:pStyle w:val="Normal"/>
        <w:suppressAutoHyphens w:val="true"/>
        <w:ind w:firstLine="709"/>
        <w:jc w:val="both"/>
        <w:rPr/>
      </w:pPr>
      <w:r>
        <w:rPr/>
        <w:t>În consecință, î</w:t>
      </w:r>
      <w:r>
        <w:rPr>
          <w:color w:val="000000"/>
        </w:rPr>
        <w:t xml:space="preserve">n acest moment al procesului penal, dată fiind </w:t>
      </w:r>
      <w:r>
        <w:rPr/>
        <w:t xml:space="preserve">natura infracţiunilor pentru care sunt cercetaţi inculpaţii, </w:t>
      </w:r>
      <w:r>
        <w:rPr>
          <w:color w:val="000000"/>
        </w:rPr>
        <w:t xml:space="preserve">rezonanţa socială negativă a acestor fapte, necesitatea împiedicării acestora de a reitera comportamentul antisocial, imperativul asigurării unei bune administrări a probelor şi a clarificării aspectelor referitoare la săvârşirea faptelor, </w:t>
      </w:r>
      <w:r>
        <w:rPr/>
        <w:t xml:space="preserve">judecătorul de cameră preliminară apreciază că </w:t>
      </w:r>
      <w:r>
        <w:rPr>
          <w:color w:val="000000"/>
        </w:rPr>
        <w:t>buna desfăşurare a procesului penal şi realizarea eficientă a scopurilor acesteia pot fi garantate prin măsura arestului la domiciliu în cazul ambilor inculpaţi, aceasta fiind aptă, conform art. 202 alin. 3 Cod procedură penală, să asigure şi o bună desfăşurare a activităţii judiciare.</w:t>
      </w:r>
      <w:r>
        <w:rPr/>
        <w:tab/>
      </w:r>
      <w:bookmarkEnd w:id="7"/>
    </w:p>
    <w:p>
      <w:pPr>
        <w:pStyle w:val="Normal"/>
        <w:suppressAutoHyphens w:val="true"/>
        <w:spacing w:before="0" w:after="0"/>
        <w:ind w:firstLine="709"/>
        <w:contextualSpacing/>
        <w:jc w:val="both"/>
        <w:rPr/>
      </w:pPr>
      <w:r>
        <w:rPr/>
      </w:r>
    </w:p>
    <w:p>
      <w:pPr>
        <w:pStyle w:val="Normal"/>
        <w:ind w:firstLine="851"/>
        <w:jc w:val="both"/>
        <w:rPr>
          <w:b/>
        </w:rPr>
      </w:pPr>
      <w:bookmarkStart w:name="_Hlk179194090" w:id="8"/>
      <w:bookmarkStart w:name="_Hlk179196640" w:id="9"/>
      <w:bookmarkStart w:name="_Hlk179195259" w:id="10"/>
      <w:r>
        <w:rPr>
          <w:b/>
        </w:rPr>
        <w:t>Împotriva acestei încheieri Ministerul Public - D.I.I.C.O.T - Serviciul Teritorial ... a formulat contestaţie, cu respectarea termenului prevăzut de lege, criticând-o pentru motivele susţinute oral de procurorul de şedinţă şi consemnate în partea introductivă prezentei încheieri</w:t>
      </w:r>
      <w:bookmarkEnd w:id="10"/>
      <w:r>
        <w:rPr>
          <w:b/>
        </w:rPr>
        <w:t>.</w:t>
      </w:r>
    </w:p>
    <w:p>
      <w:pPr>
        <w:pStyle w:val="Normal"/>
        <w:ind w:firstLine="708"/>
        <w:jc w:val="center"/>
        <w:rPr>
          <w:i/>
          <w:i/>
        </w:rPr>
      </w:pPr>
      <w:r>
        <w:rPr>
          <w:i/>
        </w:rPr>
      </w:r>
      <w:bookmarkStart w:name="_Hlk179195286" w:id="11"/>
      <w:bookmarkStart w:name="_Hlk179195286" w:id="12"/>
    </w:p>
    <w:p>
      <w:pPr>
        <w:pStyle w:val="Normal"/>
        <w:ind w:firstLine="708"/>
        <w:jc w:val="center"/>
        <w:rPr>
          <w:i/>
          <w:i/>
        </w:rPr>
      </w:pPr>
      <w:bookmarkStart w:name="_Hlk179194090" w:id="13"/>
      <w:bookmarkStart w:name="_Hlk179196640" w:id="14"/>
      <w:bookmarkStart w:name="_Hlk179195286" w:id="15"/>
      <w:r>
        <w:rPr>
          <w:i/>
        </w:rPr>
        <w:t>***************</w:t>
      </w:r>
      <w:bookmarkEnd w:id="13"/>
      <w:bookmarkEnd w:id="14"/>
      <w:bookmarkEnd w:id="15"/>
    </w:p>
    <w:p>
      <w:pPr>
        <w:pStyle w:val="Normal"/>
        <w:ind w:firstLine="708"/>
        <w:jc w:val="both"/>
        <w:rPr>
          <w:b/>
          <w:i/>
          <w:i/>
        </w:rPr>
      </w:pPr>
      <w:r>
        <w:rPr>
          <w:b/>
          <w:i/>
        </w:rPr>
      </w:r>
    </w:p>
    <w:p>
      <w:pPr>
        <w:pStyle w:val="Normal"/>
        <w:ind w:firstLine="708"/>
        <w:jc w:val="both"/>
        <w:rPr>
          <w:b/>
          <w:i/>
          <w:i/>
        </w:rPr>
      </w:pPr>
      <w:r>
        <w:rPr>
          <w:b/>
          <w:i/>
        </w:rPr>
        <w:t xml:space="preserve">Analizând contestaţia formulată de Parchetul de pe lângă Înalta Curte de Casaţie şi Justiţie – Direcţia de Investigare a Infracțiunilor de Criminalitate Organizată și Terorism- Serviciul Teritorial ... în raport de soluția </w:t>
      </w:r>
      <w:bookmarkStart w:name="_Hlk121909444" w:id="16"/>
      <w:r>
        <w:rPr>
          <w:b/>
          <w:i/>
        </w:rPr>
        <w:t xml:space="preserve">de înlocuire a măsurii arestului preventiv cu măsura preventivă a arestului la domiciliu față de </w:t>
      </w:r>
      <w:bookmarkEnd w:id="16"/>
      <w:r>
        <w:rPr>
          <w:b/>
          <w:i/>
        </w:rPr>
        <w:t>inculpatul minor R1, dar și din oficiu, în limitele şi condiţiile prevăzute de art. 425</w:t>
      </w:r>
      <w:r>
        <w:rPr>
          <w:b/>
          <w:i/>
          <w:vertAlign w:val="superscript"/>
        </w:rPr>
        <w:t>1</w:t>
      </w:r>
      <w:r>
        <w:rPr>
          <w:b/>
          <w:i/>
        </w:rPr>
        <w:t xml:space="preserve"> alin. (4) din Codul de procedură penală, completul de judecători de cameră preliminară din cadrul Curţii de Apel .... reţine că aceasta este nefondată, pentru următoarele considerente:</w:t>
      </w:r>
    </w:p>
    <w:p>
      <w:pPr>
        <w:pStyle w:val="Normal"/>
        <w:ind w:firstLine="708"/>
        <w:jc w:val="both"/>
        <w:rPr/>
      </w:pPr>
      <w:r>
        <w:rPr/>
        <w:t xml:space="preserve">În primul rând, sub aspectul </w:t>
      </w:r>
      <w:r>
        <w:rPr>
          <w:i/>
        </w:rPr>
        <w:t>legalității</w:t>
      </w:r>
      <w:r>
        <w:rPr/>
        <w:t xml:space="preserve"> încheierii, Curtea – completul de judecători de cameră preliminară constată că nu există cauze de nulitate absolută sau relativă pe care să le poată invoca din oficiu, iar încheierea criticată este temeinic motivată, fiind arătate motivele de fapt şi de drept care au fundamentat aprecierea că se impune o măsură preventivă mai blândă față de inculpatul R1, la acest moment procesual. </w:t>
      </w:r>
    </w:p>
    <w:p>
      <w:pPr>
        <w:pStyle w:val="Normal"/>
        <w:ind w:firstLine="708"/>
        <w:jc w:val="both"/>
        <w:rPr/>
      </w:pPr>
      <w:r>
        <w:rPr/>
        <w:t xml:space="preserve">Examinând încheierea atacată prin prisma </w:t>
      </w:r>
      <w:r>
        <w:rPr>
          <w:i/>
        </w:rPr>
        <w:t>temeiniciei</w:t>
      </w:r>
      <w:r>
        <w:rPr/>
        <w:t xml:space="preserve">, judecătorii de cameră preliminară de la instanța de control judiciar constată că judecătorul de cameră preliminară de la instanţa de fond a apreciat, în mod corect, asupra existenței unei bănuieli rezonabile cu privire la săvârşirea de către inculpatul R1 a infracțiunii  de </w:t>
      </w:r>
      <w:r>
        <w:rPr>
          <w:b/>
        </w:rPr>
        <w:t>trafic de minori</w:t>
      </w:r>
      <w:r>
        <w:rPr/>
        <w:t xml:space="preserve">, prev. de art. 211 alin. (1) - alin. (2) lit. a) din Codul penal raportat la art. 210 alin. (1) lit. a) și b) din Codul penal cu referire la art. 182 lit. c) din Codul penal, cu aplicarea art. 113 alin. (3) din Codul penal, pentru care s-a dispus trimiterea sa în judecată. </w:t>
      </w:r>
    </w:p>
    <w:p>
      <w:pPr>
        <w:pStyle w:val="Normal"/>
        <w:ind w:firstLine="709"/>
        <w:jc w:val="both"/>
        <w:rPr/>
      </w:pPr>
      <w:r>
        <w:rPr/>
        <w:t xml:space="preserve">Judecătorii de cameră preliminară învestiţi cu soluționarea prezentei contestații rețin că încheierea atacată este corespunzător motivată, cu trimitere la probele dosarului și la dispozițiile legale incidente. Temeiurile care în opinia judecătorului de cameră preliminară din cadrul Tribunalului ... justifică luarea măsurii preventive a arestului la domiciliu se sprijină pe argumentele faptice și juridice ale cauzei, răspunzând punctual argumentelor formulate de apărare. </w:t>
      </w:r>
    </w:p>
    <w:p>
      <w:pPr>
        <w:pStyle w:val="Normal"/>
        <w:ind w:firstLine="720"/>
        <w:jc w:val="both"/>
        <w:rPr/>
      </w:pPr>
      <w:r>
        <w:rPr/>
        <w:t>Instanţa de control judiciar îşi însuşeşte întru-totul argumentele şi analiza probatoriului administrat în cauză până la acest moment, analiză efectuată de către judecătorul de cameră preliminară din cadrul Tribunalului .... în mod judicios, cu privire la fiecare dintre elementele probatorii administrate în cauză, apreciind că nu se mai impune reluarea lor.</w:t>
      </w:r>
    </w:p>
    <w:p>
      <w:pPr>
        <w:pStyle w:val="Normal"/>
        <w:ind w:firstLine="705"/>
        <w:jc w:val="both"/>
        <w:rPr/>
      </w:pPr>
      <w:r>
        <w:rPr/>
        <w:t>Totodată, completul de judecători de cameră preliminară din cadrul Curții apreciază că, în mod just, s-a apreciat că măsura arestării preventive nu mai este nici necesară, nici proporţională, întrucât nu mai răspunde exigenţelor art. 202 din Codul de procedură penală, relativ la scopul măsurilor preventive şi la criteriile de individualizare ale acestora, impunându-se luarea unei măsuri preventive mai ușoare.</w:t>
      </w:r>
    </w:p>
    <w:p>
      <w:pPr>
        <w:pStyle w:val="Normal"/>
        <w:ind w:firstLine="708"/>
        <w:jc w:val="both"/>
        <w:rPr/>
      </w:pPr>
      <w:r>
        <w:rPr/>
        <w:t>În fapt, prin rechizitoriu, s-a reținut, în esență, că inculpatul minor R1, începând cu data de 26.02.2024 şi până la data de 05.06.2024, ar fi recrutat-o prin inducere în eroare și creând inițial aparența unei relații de iubire, pe victima minoră V1 și, profitând de starea de vădită vulnerabilitate a acesteia, ar fi determinat-o, prin constrângere moral ă și fizică, să practice prostituția în folosul său.</w:t>
      </w:r>
    </w:p>
    <w:p>
      <w:pPr>
        <w:pStyle w:val="Normal"/>
        <w:ind w:firstLine="708"/>
        <w:jc w:val="both"/>
        <w:rPr/>
      </w:pPr>
      <w:r>
        <w:rPr/>
        <w:t>Potrivit art.202 alin. (3) din Codul de procedură penală</w:t>
      </w:r>
      <w:r>
        <w:rPr>
          <w:i/>
        </w:rPr>
        <w:t xml:space="preserve">, </w:t>
      </w:r>
      <w:r>
        <w:rPr/>
        <w:t>orice măsură preventivă trebuie să fie, în orice moment</w:t>
      </w:r>
      <w:r>
        <w:rPr>
          <w:b/>
        </w:rPr>
        <w:t>,</w:t>
      </w:r>
      <w:r>
        <w:rPr/>
        <w:t xml:space="preserve"> proporţională cu gravitatea acuzaţiei aduse persoanei faţă de care este luată şi necesară pentru realizarea scopului urmărit prin dispunerea acesteia.</w:t>
      </w:r>
    </w:p>
    <w:p>
      <w:pPr>
        <w:pStyle w:val="Normal"/>
        <w:ind w:firstLine="708"/>
        <w:jc w:val="both"/>
        <w:rPr/>
      </w:pPr>
      <w:r>
        <w:rPr/>
        <w:t>În acest sens, potrivit art. 5 alin. (3) din Convenţia Europeană a Drepturilor Omului autorităţile trebuie să ia în considerare măsurile alternative la arestarea preventivă câtă vreme acuzatul oferă garanţii în privinţa prezentării sale la proces (cauza Calmanovici c. Romaniei). Neprezentând fapte concrete privind riscurile apărute</w:t>
      </w:r>
      <w:r>
        <w:rPr>
          <w:b/>
        </w:rPr>
        <w:t xml:space="preserve"> </w:t>
      </w:r>
      <w:r>
        <w:rPr/>
        <w:t>în cazul punerii în libertate a inculpatului şi neluând în calcul măsurile alternative, precum şi alegând să se sprijine în principal pe gravitatea faptelor comise şi să nu examineze individual situaţia reclamantului, autorităţile nu  oferă motive «relevante şi suficiente» pentru a justifica necesitatea privării de libertate.</w:t>
      </w:r>
    </w:p>
    <w:p>
      <w:pPr>
        <w:pStyle w:val="Normal"/>
        <w:ind w:firstLine="708"/>
        <w:jc w:val="both"/>
        <w:rPr/>
      </w:pPr>
      <w:r>
        <w:rPr/>
        <w:t xml:space="preserve">Partea a doua a art. 5 alin. (3) din Conventie nu oferă autorităţilor judiciare o optiune între judecarea într-un termen rezonabil si eliberarea provizorie, existând o prezumție în favoarea eliberarii (cauza  Neumeister împotriva Austriei).           </w:t>
      </w:r>
    </w:p>
    <w:p>
      <w:pPr>
        <w:pStyle w:val="Normal"/>
        <w:ind w:firstLine="708"/>
        <w:jc w:val="both"/>
        <w:rPr/>
      </w:pPr>
      <w:r>
        <w:rPr/>
        <w:t>În ceea ce privește contestația formulată de</w:t>
      </w:r>
      <w:r>
        <w:rPr>
          <w:b/>
          <w:i/>
        </w:rPr>
        <w:t xml:space="preserve"> </w:t>
      </w:r>
      <w:r>
        <w:rPr/>
        <w:t>Parchetul de pe lângă Înalta Curte de Casaţie şi Justiţie – Direcţia de Investigare a Infracțiunilor de Criminalitate Organizată și Terorism - Serviciul Teritorial ...,</w:t>
      </w:r>
      <w:r>
        <w:rPr>
          <w:b/>
        </w:rPr>
        <w:t xml:space="preserve"> </w:t>
      </w:r>
      <w:r>
        <w:rPr/>
        <w:t xml:space="preserve">instanța reţine că existența unor indicii temeinice şi probe privind presupusa comitere a infracțiunii pentru care inculpatul este cercetat </w:t>
      </w:r>
      <w:r>
        <w:rPr>
          <w:b/>
        </w:rPr>
        <w:t>nu este suficientă</w:t>
      </w:r>
      <w:r>
        <w:rPr/>
        <w:t xml:space="preserve"> pentru privarea acestuia de libertate prin intermediul măsurii arestului preventiv,  judecătorul trebuind să verifice și dacă o altă măsură preventivă luată faţă de inculpat nu ar fi suficientă, necesară şi proporţională în vederea înlăturării pericolului pentru ordinea publică, pericol ce trebuie evaluat prin raportare la criterii legale instituite prin art. 223 alin. (2) din Codul de procedură penală, respectiv evaluarea gravităţii faptei, a modului şi a circumstanţelor de comitere a acesteia, a anturajului şi a mediului din care provin, a antecedentelor penale şi a altor împrejurări privitoare la persoana acestuia. </w:t>
      </w:r>
    </w:p>
    <w:p>
      <w:pPr>
        <w:pStyle w:val="Normal"/>
        <w:jc w:val="both"/>
        <w:rPr/>
      </w:pPr>
      <w:r>
        <w:rPr/>
        <w:t xml:space="preserve">           </w:t>
      </w:r>
      <w:r>
        <w:rPr/>
        <w:t xml:space="preserve">În acest context, Curtea reţine că activitatea infracţională reținută în concret pentru inculpatul R1, dar şi datele sale personale fac ca privarea sa de libertate prin intermediul măsurii arestării preventive să fie o </w:t>
      </w:r>
      <w:r>
        <w:rPr>
          <w:i/>
        </w:rPr>
        <w:t>soluţie disproporţionată</w:t>
      </w:r>
      <w:r>
        <w:rPr/>
        <w:t>, la acest moment procesual.</w:t>
      </w:r>
    </w:p>
    <w:p>
      <w:pPr>
        <w:pStyle w:val="Normal"/>
        <w:jc w:val="both"/>
        <w:rPr/>
      </w:pPr>
      <w:r>
        <w:rPr>
          <w:color w:val="FF0000"/>
        </w:rPr>
        <w:t xml:space="preserve"> </w:t>
      </w:r>
      <w:r>
        <w:rPr>
          <w:color w:val="FF0000"/>
        </w:rPr>
        <w:tab/>
      </w:r>
      <w:r>
        <w:rPr/>
        <w:t>Din perspectiva gravităţii faptei sub aspectul căreia este cercetat, respectiv de „</w:t>
      </w:r>
      <w:r>
        <w:rPr>
          <w:i/>
        </w:rPr>
        <w:t>trafic de minori</w:t>
      </w:r>
      <w:r>
        <w:rPr/>
        <w:t xml:space="preserve">”, pe fondul creşterii alarmante a fenomenului infracţional de acest tip, a modalităţii si împrejurărilor în care se bănuieşte a fi fost comisă această faptă (exploatând sexual, pe o perioadă de 3 luni, persoana vătămată în vârstă de doar 14 ani, pe care a indus-o în eroare simulând relaţii de iubire cu victima şi, profitând de starea de vădită vulnerabilitate determinată de vârstă şi lipsa experienţei de viaţă, de mediul din care provine şi lipsa suportului familial, de educaţia precară şi de inexistenţa resurselor financiare; exercitând acte de violenţă fizică şi psihică împotriva acesteia şi însuşindu-şi o parte a sumelor de bani obţinute de victimă în urma practicării prostituţiei), a naturii valorilor sociale protejate prin încriminarea faptei reţinute în sarcina inculpatului dar, mai ales, a urmărilor acesteia (consecinţele asupra unei astfel de victime putînd fi grave şi de lungă durată, afectând atât sănătatea mentală, cât şi bunăstarea generală a victimei), pericolul social nu este unul de neglijat, impunându-se luarea unei măsuri preventive privative de libertate faţă de inculpat, cu impunerea unor obligaţii concrete în sarcina sa. </w:t>
      </w:r>
    </w:p>
    <w:p>
      <w:pPr>
        <w:pStyle w:val="Normal"/>
        <w:ind w:firstLine="705"/>
        <w:jc w:val="both"/>
        <w:rPr/>
      </w:pPr>
      <w:r>
        <w:rPr/>
        <w:t xml:space="preserve">Apreciază Curtea – completul de judecători de cameră preliminară, că pericolul prezumtiv pe care plasarea acestuia în arest la domiciliu l-ar putea prezenta atât pentru ordinea publică, dar şi pentru buna soluţionare a procesului penal, este înlăturat atât ca urmare a perioadei de timp petrecute de acesta în stare de arest preventiv </w:t>
      </w:r>
      <w:r>
        <w:rPr>
          <w:b/>
        </w:rPr>
        <w:t>(</w:t>
      </w:r>
      <w:r>
        <w:rPr/>
        <w:t xml:space="preserve">aproximativ 5 luni), care a fost de natură a-l face să conştientizeze asupra faptei imputate, a urmărilor acesteia, dar si asupra reactiei autorităţii statului de a sancționa cu aspect preventiv conduita infracţională imputată. </w:t>
      </w:r>
    </w:p>
    <w:p>
      <w:pPr>
        <w:pStyle w:val="Normal"/>
        <w:ind w:firstLine="705"/>
        <w:jc w:val="both"/>
        <w:rPr/>
      </w:pPr>
      <w:r>
        <w:rPr/>
        <w:t>În mod corect s-a apreciat de către judecătorul de cameră preliminară de la instanța de fond că lăsarea inculpatului R1 sub măsura arestului la domiciliu nu constituie un pericol pentru prezervarea ordinii publice şi că nu mai este necesar ca inculpatul să fie privat de libertate în mediu custodial, iar luarea unei măsuri preventive uşor mai blânde este suficientă raportat la persoana inculpatului, în vârstă de doar 16 ani, la natura şi împrejurările concrete ale comiterii faptelor, precum şi la actuala implicare a membrilor de familie, care au revenit pe teritoriul ţării în vederea supravegherii adecvate a inculpatului minor.</w:t>
      </w:r>
    </w:p>
    <w:p>
      <w:pPr>
        <w:pStyle w:val="Normal"/>
        <w:ind w:firstLine="705"/>
        <w:jc w:val="both"/>
        <w:rPr/>
      </w:pPr>
      <w:r>
        <w:rPr/>
        <w:t>Astfel cum a subliniat şi judecătorul de cameră preliminară din cadrul primei instanţe, din probele administrate până în prezent, raportat la modalitatea şi împrejurările comiterii faptei imputate, la scăderea semnificativă a riscului reiterării comportamentului infracţional şi la lipsa unor dovezi sau a indiciilor cu privire la posibilitatea influenţării mersului procesului penal</w:t>
      </w:r>
      <w:r>
        <w:rPr>
          <w:i/>
        </w:rPr>
        <w:t xml:space="preserve">, </w:t>
      </w:r>
      <w:r>
        <w:rPr/>
        <w:t>lăsarea inculpatului sub imperiul măsurii preventive a arestului la domiciliu este în măsură a asigura suficiente garanţii pentru aflarea adevărului si terminarea în conditii optime a judecăţii.</w:t>
      </w:r>
    </w:p>
    <w:p>
      <w:pPr>
        <w:pStyle w:val="Normal"/>
        <w:ind w:firstLine="708"/>
        <w:jc w:val="both"/>
        <w:rPr/>
      </w:pPr>
      <w:r>
        <w:rPr/>
        <w:t>Având în vedere noua conjunctură în privința situației familiale a inculpatului şi perioada</w:t>
      </w:r>
      <w:r>
        <w:rPr>
          <w:b/>
        </w:rPr>
        <w:t xml:space="preserve"> </w:t>
      </w:r>
      <w:r>
        <w:rPr/>
        <w:t>petrecută de acesta în stare de arest preventiv, Curtea apreciază că măsura arestării preventive nu mai corespunde, la acest moment, principiului proporţionalităţii cu gravitatea faptei, scopul preventiv vizând buna desfăşurare a procesului penal în continuare şi prezervarea ordinii şi siguranţei publice, prin împiedicarea reiterării comportamentului infracţional, putând fi realizate prin intermediul unei măsuri preventive mai blânde, respectiv măsura arestului la domiciliu.</w:t>
      </w:r>
    </w:p>
    <w:p>
      <w:pPr>
        <w:pStyle w:val="Normal"/>
        <w:ind w:right="-1" w:firstLine="720"/>
        <w:jc w:val="both"/>
        <w:rPr>
          <w:u w:val="single"/>
        </w:rPr>
      </w:pPr>
      <w:r>
        <w:rPr/>
        <w:t xml:space="preserve">În acord cu jurisprudența Curții E.D.O. în cauzele împotriva României care a analizat constant în practica sa arestarea preventivă a unei persoane şi din perspectiva </w:t>
      </w:r>
      <w:r>
        <w:rPr>
          <w:b/>
        </w:rPr>
        <w:t>caracterului necesar al privării de libertate</w:t>
      </w:r>
      <w:r>
        <w:rPr/>
        <w:t xml:space="preserve">, consideră că </w:t>
      </w:r>
      <w:r>
        <w:rPr>
          <w:b/>
        </w:rPr>
        <w:t>arestul la domiciliu, fiind tot o măsură privativă de libertate, este aptă să asigure buna desfăşurare a procesului penal şi protejarea eficientă a interesului public</w:t>
      </w:r>
      <w:r>
        <w:rPr/>
        <w:t>.</w:t>
      </w:r>
    </w:p>
    <w:p>
      <w:pPr>
        <w:pStyle w:val="Normal"/>
        <w:ind w:right="-1" w:firstLine="708"/>
        <w:jc w:val="both"/>
        <w:rPr/>
      </w:pPr>
      <w:r>
        <w:rPr/>
        <w:t xml:space="preserve">Prin urmare, gravitatea generică a presupusei fapte comise de inculpat - acuzat de săvârșirea infracțiunii de </w:t>
      </w:r>
      <w:r>
        <w:rPr>
          <w:i/>
        </w:rPr>
        <w:t>trafic de minori</w:t>
      </w:r>
      <w:r>
        <w:rPr/>
        <w:t xml:space="preserve"> nu poate constitui unic temei al reţinerii necesității privării sale de libertate, nefiind întrunită condiţia de proporţionalitate a măsurii, prevăzută de art. 202 alin. (3) din Codul de procedură penală.</w:t>
      </w:r>
    </w:p>
    <w:p>
      <w:pPr>
        <w:pStyle w:val="Normal"/>
        <w:ind w:firstLine="720"/>
        <w:jc w:val="both"/>
        <w:rPr>
          <w:b/>
        </w:rPr>
      </w:pPr>
      <w:r>
        <w:rPr/>
        <w:t>Pentru toate considerentele anterior expuse, apreciind că încheierea contestată este legală şi temeinică, în raport de criticile aduse împotriva ei, în baza art. 425</w:t>
      </w:r>
      <w:r>
        <w:rPr>
          <w:vertAlign w:val="superscript"/>
        </w:rPr>
        <w:t>1</w:t>
      </w:r>
      <w:r>
        <w:rPr/>
        <w:t xml:space="preserve"> alin. 7 pct. 1 lit. b) Cod procedură penală, raportat la art. 206 Cod procedură penală, Curtea – completul de judecători de cameră preliminară</w:t>
      </w:r>
      <w:r>
        <w:rPr>
          <w:b/>
        </w:rPr>
        <w:t xml:space="preserve"> va respinge, ca nefondată, contestaţia formulată de către</w:t>
      </w:r>
      <w:r>
        <w:rPr>
          <w:rFonts w:ascii="Calibri" w:hAnsi="Calibri"/>
          <w:sz w:val="22"/>
        </w:rPr>
        <w:t xml:space="preserve"> </w:t>
      </w:r>
      <w:r>
        <w:rPr>
          <w:b/>
        </w:rPr>
        <w:t>Ministerul Public - D.I.I.C.O.T - Serviciul Teritorial ....  împotriva încheierii din data de IP1, pronunţată de judecătorul de cameră preliminară din cadrul Tribunalului ...., în dosarul nr. D1/a1.4, încheiere pe care o va menţine.</w:t>
      </w:r>
    </w:p>
    <w:p>
      <w:pPr>
        <w:pStyle w:val="Normal"/>
        <w:spacing w:line="259" w:lineRule="auto"/>
        <w:ind w:firstLine="720"/>
        <w:jc w:val="both"/>
        <w:rPr/>
      </w:pPr>
      <w:bookmarkStart w:name="_Hlk179193930" w:id="17"/>
      <w:r>
        <w:rPr/>
        <w:t>În baza art. 275 alin. 3 Cod procedură penală, cheltuielile judiciare avansate de stat, ocazionate de soluționarea prezentei contestații, vor rămâne în sarcina acestuia.</w:t>
      </w:r>
      <w:bookmarkEnd w:id="17"/>
    </w:p>
    <w:p>
      <w:pPr>
        <w:pStyle w:val="Normal"/>
        <w:rPr>
          <w:b/>
        </w:rPr>
      </w:pPr>
      <w:r>
        <w:rPr>
          <w:b/>
        </w:rPr>
      </w:r>
    </w:p>
    <w:p>
      <w:pPr>
        <w:pStyle w:val="Normal"/>
        <w:jc w:val="center"/>
        <w:rPr>
          <w:b/>
        </w:rPr>
      </w:pPr>
      <w:r>
        <w:rPr>
          <w:b/>
        </w:rPr>
        <w:t>PENTRU ACESTE MOTIVE,</w:t>
        <w:br/>
        <w:t>ÎN NUMELE LEGII:</w:t>
      </w:r>
    </w:p>
    <w:p>
      <w:pPr>
        <w:pStyle w:val="Normal"/>
        <w:jc w:val="center"/>
        <w:rPr>
          <w:b/>
        </w:rPr>
      </w:pPr>
      <w:r>
        <w:rPr>
          <w:b/>
        </w:rPr>
        <w:t>DISPUNE,</w:t>
      </w:r>
    </w:p>
    <w:p>
      <w:pPr>
        <w:pStyle w:val="Normal"/>
        <w:ind w:right="250"/>
        <w:jc w:val="center"/>
        <w:rPr>
          <w:b/>
        </w:rPr>
      </w:pPr>
      <w:r>
        <w:rPr>
          <w:b/>
        </w:rPr>
      </w:r>
    </w:p>
    <w:p>
      <w:pPr>
        <w:pStyle w:val="Normal"/>
        <w:ind w:firstLine="720"/>
        <w:jc w:val="both"/>
        <w:rPr>
          <w:b/>
        </w:rPr>
      </w:pPr>
      <w:r>
        <w:rPr/>
        <w:t>În baza art. 425</w:t>
      </w:r>
      <w:r>
        <w:rPr>
          <w:vertAlign w:val="superscript"/>
        </w:rPr>
        <w:t>1</w:t>
      </w:r>
      <w:r>
        <w:rPr/>
        <w:t xml:space="preserve"> alin. 7 pct. 1 lit. b Cod procedură penală, raportat la art. 206 Cod procedură penală, </w:t>
      </w:r>
      <w:r>
        <w:rPr>
          <w:b/>
        </w:rPr>
        <w:t>respinge, ca nefondată, contestaţia formulată de către</w:t>
      </w:r>
      <w:r>
        <w:rPr>
          <w:rFonts w:ascii="Calibri" w:hAnsi="Calibri"/>
          <w:sz w:val="22"/>
          <w:lang w:val="en-US"/>
        </w:rPr>
        <w:t xml:space="preserve"> </w:t>
      </w:r>
      <w:r>
        <w:rPr>
          <w:b/>
        </w:rPr>
        <w:t>Ministerul Public - D.I.I.C.O.T - Serviciul Teritorial ...  împotriva încheierii din data de IP1, pronunţată de judecătorul de cameră preliminară din cadrul Tribunalului ..., în dosarul nr. D1/a1.4, încheiere pe care o menţine.</w:t>
      </w:r>
    </w:p>
    <w:p>
      <w:pPr>
        <w:pStyle w:val="Normal"/>
        <w:spacing w:line="259" w:lineRule="auto"/>
        <w:ind w:firstLine="720"/>
        <w:jc w:val="both"/>
        <w:rPr/>
      </w:pPr>
      <w:r>
        <w:rPr/>
        <w:t>În baza art. 275 alin. 3 Cod procedură penală, cheltuielile judiciare avansate de stat, ocazionate de soluționarea prezentei contestații, rămân în sarcina acestuia.</w:t>
      </w:r>
    </w:p>
    <w:p>
      <w:pPr>
        <w:pStyle w:val="Normal"/>
        <w:spacing w:line="259" w:lineRule="auto"/>
        <w:ind w:firstLine="720"/>
        <w:jc w:val="both"/>
        <w:rPr>
          <w:b/>
        </w:rPr>
      </w:pPr>
      <w:r>
        <w:rPr>
          <w:b/>
        </w:rPr>
        <w:t>Definitivă.</w:t>
      </w:r>
    </w:p>
    <w:p>
      <w:pPr>
        <w:pStyle w:val="Normal"/>
        <w:spacing w:line="259" w:lineRule="auto"/>
        <w:ind w:firstLine="720"/>
        <w:jc w:val="both"/>
        <w:rPr/>
      </w:pPr>
      <w:r>
        <w:rPr/>
        <w:t>Pronunţată azi, ..., prin punerea soluţiei la dispoziţia inculpatului şi a procurorului, prin mijlocirea grefei instanţei.</w:t>
      </w:r>
    </w:p>
    <w:p>
      <w:pPr>
        <w:pStyle w:val="Normal"/>
        <w:ind w:right="250" w:firstLine="708"/>
        <w:jc w:val="both"/>
        <w:rPr/>
      </w:pPr>
      <w:r>
        <w:rPr/>
      </w:r>
    </w:p>
    <w:p>
      <w:pPr>
        <w:pStyle w:val="Normal"/>
        <w:ind w:right="249"/>
        <w:rPr>
          <w:b/>
        </w:rPr>
      </w:pPr>
      <w:r>
        <w:rPr>
          <w:b/>
        </w:rPr>
        <w:t xml:space="preserve">           </w:t>
      </w:r>
      <w:r>
        <w:rPr>
          <w:b/>
        </w:rPr>
        <w:t xml:space="preserve">Preşedinte,                                                                                      Judecător,      </w:t>
      </w:r>
    </w:p>
    <w:p>
      <w:pPr>
        <w:pStyle w:val="Normal"/>
        <w:rPr>
          <w:b/>
        </w:rPr>
      </w:pPr>
      <w:r>
        <w:rPr>
          <w:b/>
        </w:rPr>
        <w:t xml:space="preserve">          </w:t>
      </w:r>
      <w:r>
        <w:rPr>
          <w:b/>
        </w:rPr>
        <w:t>A0013                                                                                    .........</w:t>
      </w:r>
    </w:p>
    <w:p>
      <w:pPr>
        <w:pStyle w:val="Normal"/>
        <w:jc w:val="center"/>
        <w:rPr>
          <w:b/>
        </w:rPr>
      </w:pPr>
      <w:r>
        <w:rPr>
          <w:b/>
        </w:rPr>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jc w:val="center"/>
        <w:rPr>
          <w:b/>
        </w:rPr>
      </w:pPr>
      <w:r>
        <w:rPr>
          <w:b/>
        </w:rPr>
      </w:r>
    </w:p>
    <w:p>
      <w:pPr>
        <w:pStyle w:val="Normal"/>
        <w:rPr>
          <w:i/>
          <w:i/>
          <w:sz w:val="16"/>
        </w:rPr>
      </w:pPr>
      <w:bookmarkStart w:name="_Hlk182740579" w:id="18"/>
      <w:r>
        <w:rPr>
          <w:i/>
          <w:sz w:val="16"/>
        </w:rPr>
        <w:t>Red/tehnored jud. A0013</w:t>
      </w:r>
    </w:p>
    <w:p>
      <w:pPr>
        <w:pStyle w:val="Normal"/>
        <w:rPr>
          <w:i/>
          <w:i/>
          <w:sz w:val="16"/>
        </w:rPr>
      </w:pPr>
      <w:r>
        <w:rPr>
          <w:i/>
          <w:sz w:val="16"/>
        </w:rPr>
        <w:t>2 ex/...</w:t>
      </w:r>
    </w:p>
    <w:p>
      <w:pPr>
        <w:pStyle w:val="Normal"/>
        <w:rPr>
          <w:i/>
          <w:i/>
          <w:sz w:val="16"/>
        </w:rPr>
      </w:pPr>
      <w:r>
        <w:rPr>
          <w:i/>
          <w:sz w:val="16"/>
        </w:rPr>
        <w:t xml:space="preserve">Tribunalul ....                                                          </w:t>
      </w:r>
    </w:p>
    <w:p>
      <w:pPr>
        <w:pStyle w:val="Normal"/>
        <w:rPr>
          <w:i/>
          <w:i/>
          <w:sz w:val="16"/>
        </w:rPr>
      </w:pPr>
      <w:bookmarkStart w:name="_Hlk182740579" w:id="19"/>
      <w:r>
        <w:rPr>
          <w:i/>
          <w:sz w:val="16"/>
        </w:rPr>
        <w:t xml:space="preserve">2 ex comunicate: 1 ex inculpat, 1 ex DIICOT... </w:t>
      </w:r>
      <w:bookmarkEnd w:id="19"/>
    </w:p>
    <w:p>
      <w:pPr>
        <w:pStyle w:val="Normal"/>
        <w:jc w:val="center"/>
        <w:rPr/>
      </w:pPr>
      <w:r>
        <w:rPr/>
      </w:r>
    </w:p>
    <w:p>
      <w:pPr>
        <w:pStyle w:val="Normal"/>
        <w:rPr/>
      </w:pPr>
      <w:r>
        <w:rPr/>
        <w:t xml:space="preserve">                </w:t>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12</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caias.just.ro/ecris_cdms/document_upload.aspx?id_document=4500000001368299&amp;id_departament=27&amp;id_sesiune=768983&amp;id_user=253&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qFormat/>
    <w:pPr>
      <w:keepNext w:val="true"/>
      <w:numPr>
        <w:ilvl w:val="0"/>
        <w:numId w:val="0"/>
      </w:numPr>
      <w:jc w:val="center"/>
      <w:outlineLvl w:val="1"/>
    </w:pPr>
    <w:rPr>
      <w:rFonts w:ascii="Garamond" w:hAnsi="Garamond"/>
      <w:b/>
    </w:rPr>
  </w:style>
  <w:style w:type="paragraph" w:styleId="Heading3">
    <w:name w:val="Heading 3"/>
    <w:basedOn w:val="Normal"/>
    <w:next w:val="Normal"/>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703" w:leader="none"/>
        <w:tab w:val="right" w:pos="9406" w:leader="none"/>
      </w:tabs>
    </w:pPr>
    <w:rPr/>
  </w:style>
  <w:style w:type="paragraph" w:styleId="Footer">
    <w:name w:val="Footer"/>
    <w:basedOn w:val="Normal"/>
    <w:link w:val="SubsolCaracter"/>
    <w:pPr>
      <w:tabs>
        <w:tab w:val="clear" w:pos="720"/>
        <w:tab w:val="center" w:pos="4703" w:leader="none"/>
        <w:tab w:val="right" w:pos="9406"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24</ap:TotalTime>
  <ap:Application>LibreOffice/24.2.7.2$Linux_X86_64 LibreOffice_project/420$Build-2</ap:Application>
  <ap:AppVersion>15.0000</ap:AppVersion>
  <ap:Pages>7</ap:Pages>
  <ap:Words>7200</ap:Words>
  <ap:Characters>41087</ap:Characters>
  <ap:CharactersWithSpaces>48570</ap:CharactersWithSpaces>
  <ap:Paragraphs>127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