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845195" w:rsidP="00845195">
      <w:pPr>
        <w:rPr>
          <w:rFonts w:ascii="Garamond" w:hAnsi="Garamond"/>
        </w:rPr>
      </w:pPr>
    </w:p>
    <w:p w:rsidRPr="00930E96" w:rsidR="00845195" w:rsidP="00845195">
      <w:pPr>
        <w:ind w:firstLine="567"/>
        <w:rPr>
          <w:b/>
        </w:rPr>
      </w:pPr>
      <w:r w:rsidRPr="00930E96" w:rsidR="00930E96">
        <w:rPr>
          <w:b/>
        </w:rPr>
        <w:t>HOTĂRÂRE 28</w:t>
      </w:r>
    </w:p>
    <w:p w:rsidRPr="008267C5" w:rsidR="00845195" w:rsidP="00845195">
      <w:pPr>
        <w:ind w:right="-1" w:firstLine="567"/>
        <w:jc w:val="center"/>
        <w:rPr>
          <w:b/>
        </w:rPr>
      </w:pPr>
      <w:r w:rsidRPr="008267C5">
        <w:rPr>
          <w:b/>
        </w:rPr>
        <w:t>R O M Â N I A</w:t>
      </w:r>
    </w:p>
    <w:p w:rsidRPr="008267C5" w:rsidR="00845195" w:rsidP="00845195">
      <w:pPr>
        <w:ind w:right="-1" w:firstLine="567"/>
        <w:jc w:val="center"/>
        <w:rPr>
          <w:b/>
        </w:rPr>
      </w:pPr>
      <w:r w:rsidRPr="008267C5">
        <w:rPr>
          <w:b/>
        </w:rPr>
        <w:t xml:space="preserve">CURTEA DE APEL </w:t>
      </w:r>
      <w:r w:rsidR="00930E96">
        <w:rPr>
          <w:b/>
        </w:rPr>
        <w:t>X</w:t>
      </w:r>
    </w:p>
    <w:p w:rsidRPr="008267C5" w:rsidR="00845195" w:rsidP="00845195">
      <w:pPr>
        <w:ind w:right="-1" w:firstLine="567"/>
        <w:jc w:val="center"/>
        <w:rPr>
          <w:b/>
        </w:rPr>
      </w:pPr>
      <w:r w:rsidRPr="008267C5">
        <w:rPr>
          <w:b/>
        </w:rPr>
        <w:t xml:space="preserve">SECŢIA CONTENCIOS ADMINISTRATIV ŞI FISCAL </w:t>
      </w:r>
    </w:p>
    <w:p w:rsidRPr="008267C5" w:rsidR="00845195" w:rsidP="00845195"/>
    <w:p w:rsidRPr="006526ED" w:rsidR="00845195" w:rsidP="00845195">
      <w:pPr>
        <w:rPr>
          <w:color w:val="D9D9D9"/>
          <w:sz w:val="20"/>
          <w:szCs w:val="20"/>
        </w:rPr>
      </w:pPr>
      <w:r w:rsidRPr="006526ED">
        <w:rPr>
          <w:color w:val="D9D9D9"/>
          <w:sz w:val="20"/>
          <w:szCs w:val="20"/>
        </w:rPr>
        <w:t>Document finalizat</w:t>
      </w:r>
    </w:p>
    <w:p w:rsidRPr="008267C5" w:rsidR="00845195" w:rsidP="008267C5">
      <w:pPr>
        <w:rPr>
          <w:b/>
        </w:rPr>
      </w:pPr>
      <w:r w:rsidRPr="008267C5">
        <w:rPr>
          <w:b/>
        </w:rPr>
        <w:t>Cod ECLI    ECLI:RO:</w:t>
      </w:r>
      <w:r w:rsidR="00930E96">
        <w:rPr>
          <w:b/>
        </w:rPr>
        <w:t>...</w:t>
      </w:r>
    </w:p>
    <w:p w:rsidRPr="008267C5" w:rsidR="00845195" w:rsidP="008267C5">
      <w:pPr>
        <w:pBdr>
          <w:top w:val="single" w:color="auto" w:sz="4" w:space="1"/>
          <w:left w:val="single" w:color="auto" w:sz="4" w:space="4"/>
          <w:bottom w:val="single" w:color="auto" w:sz="4" w:space="1"/>
          <w:right w:val="single" w:color="auto" w:sz="4" w:space="4"/>
        </w:pBdr>
        <w:ind w:right="-1"/>
        <w:rPr>
          <w:b/>
        </w:rPr>
      </w:pPr>
      <w:r w:rsidRPr="008267C5">
        <w:rPr>
          <w:b/>
        </w:rPr>
        <w:t xml:space="preserve">DOSAR NR. </w:t>
      </w:r>
      <w:r w:rsidR="00930E96">
        <w:rPr>
          <w:b/>
        </w:rPr>
        <w:t>...</w:t>
      </w:r>
      <w:r w:rsidRPr="008267C5">
        <w:rPr>
          <w:b/>
        </w:rPr>
        <w:t>/</w:t>
      </w:r>
      <w:r w:rsidR="00930E96">
        <w:rPr>
          <w:b/>
        </w:rPr>
        <w:t>.../</w:t>
      </w:r>
      <w:r w:rsidRPr="008267C5">
        <w:rPr>
          <w:b/>
        </w:rPr>
        <w:t>2024</w:t>
      </w:r>
    </w:p>
    <w:p w:rsidRPr="008267C5" w:rsidR="00845195" w:rsidP="008267C5">
      <w:pPr>
        <w:ind w:firstLine="567"/>
        <w:jc w:val="center"/>
        <w:rPr>
          <w:b/>
          <w:u w:val="single"/>
        </w:rPr>
      </w:pPr>
    </w:p>
    <w:p w:rsidRPr="008267C5" w:rsidR="00845195" w:rsidP="008267C5">
      <w:pPr>
        <w:ind w:firstLine="567"/>
        <w:jc w:val="center"/>
        <w:rPr>
          <w:b/>
          <w:i/>
          <w:u w:val="single"/>
        </w:rPr>
      </w:pPr>
      <w:r w:rsidRPr="008267C5">
        <w:rPr>
          <w:b/>
          <w:i/>
          <w:u w:val="single"/>
        </w:rPr>
        <w:t xml:space="preserve">DECIZIA CIVILĂ NR. </w:t>
      </w:r>
      <w:r w:rsidR="00930E96">
        <w:rPr>
          <w:b/>
          <w:i/>
          <w:u w:val="single"/>
        </w:rPr>
        <w:t>...</w:t>
      </w:r>
    </w:p>
    <w:p w:rsidRPr="008267C5" w:rsidR="00845195" w:rsidP="008267C5">
      <w:pPr>
        <w:ind w:firstLine="567"/>
        <w:jc w:val="center"/>
        <w:rPr>
          <w:b/>
        </w:rPr>
      </w:pPr>
      <w:r w:rsidRPr="008267C5">
        <w:rPr>
          <w:b/>
        </w:rPr>
        <w:t xml:space="preserve">Şedinţa publică din data de </w:t>
      </w:r>
      <w:r w:rsidR="00930E96">
        <w:rPr>
          <w:b/>
        </w:rPr>
        <w:t>...</w:t>
      </w:r>
      <w:r w:rsidRPr="008267C5">
        <w:rPr>
          <w:b/>
        </w:rPr>
        <w:t>2025</w:t>
      </w:r>
    </w:p>
    <w:p w:rsidRPr="008267C5" w:rsidR="00845195" w:rsidP="008267C5">
      <w:pPr>
        <w:ind w:firstLine="567"/>
        <w:jc w:val="center"/>
        <w:rPr>
          <w:b/>
        </w:rPr>
      </w:pPr>
      <w:r w:rsidRPr="008267C5">
        <w:rPr>
          <w:b/>
        </w:rPr>
        <w:t>Curtea constituită din:</w:t>
      </w:r>
    </w:p>
    <w:p w:rsidRPr="008267C5" w:rsidR="00845195" w:rsidP="008267C5">
      <w:pPr>
        <w:ind w:firstLine="567"/>
        <w:jc w:val="center"/>
        <w:rPr>
          <w:b/>
        </w:rPr>
      </w:pPr>
      <w:r w:rsidRPr="008267C5">
        <w:rPr>
          <w:b/>
        </w:rPr>
        <w:t xml:space="preserve">PREŞEDINTE: </w:t>
      </w:r>
      <w:r w:rsidR="00930E96">
        <w:rPr>
          <w:b/>
        </w:rPr>
        <w:t>...</w:t>
      </w:r>
      <w:r w:rsidRPr="008267C5">
        <w:rPr>
          <w:b/>
        </w:rPr>
        <w:t xml:space="preserve"> </w:t>
      </w:r>
    </w:p>
    <w:p w:rsidRPr="008267C5" w:rsidR="00845195" w:rsidP="008267C5">
      <w:pPr>
        <w:ind w:firstLine="567"/>
        <w:jc w:val="center"/>
        <w:rPr>
          <w:b/>
        </w:rPr>
      </w:pPr>
      <w:r w:rsidRPr="008267C5">
        <w:rPr>
          <w:b/>
        </w:rPr>
        <w:t xml:space="preserve">JUDECĂTOR: </w:t>
      </w:r>
      <w:r w:rsidR="00930E96">
        <w:rPr>
          <w:b/>
        </w:rPr>
        <w:t>...</w:t>
      </w:r>
    </w:p>
    <w:p w:rsidRPr="008267C5" w:rsidR="00845195" w:rsidP="008267C5">
      <w:pPr>
        <w:ind w:firstLine="567"/>
        <w:jc w:val="center"/>
        <w:rPr>
          <w:b/>
        </w:rPr>
      </w:pPr>
      <w:r w:rsidRPr="008267C5">
        <w:rPr>
          <w:b/>
        </w:rPr>
        <w:t xml:space="preserve">JUDECĂTOR: </w:t>
      </w:r>
      <w:r w:rsidR="00930E96">
        <w:rPr>
          <w:b/>
        </w:rPr>
        <w:t>A0012</w:t>
      </w:r>
    </w:p>
    <w:p w:rsidRPr="008267C5" w:rsidR="00845195" w:rsidP="008267C5">
      <w:pPr>
        <w:ind w:firstLine="567"/>
        <w:jc w:val="center"/>
        <w:rPr>
          <w:b/>
        </w:rPr>
      </w:pPr>
      <w:r w:rsidRPr="008267C5">
        <w:rPr>
          <w:b/>
        </w:rPr>
        <w:t xml:space="preserve">GREFIER: </w:t>
      </w:r>
      <w:r w:rsidR="00930E96">
        <w:rPr>
          <w:b/>
        </w:rPr>
        <w:t>...</w:t>
      </w:r>
    </w:p>
    <w:p w:rsidRPr="008267C5" w:rsidR="00845195" w:rsidP="008267C5">
      <w:pPr>
        <w:ind w:firstLine="567"/>
        <w:jc w:val="center"/>
      </w:pPr>
    </w:p>
    <w:p w:rsidRPr="008267C5" w:rsidR="00845195" w:rsidP="008267C5">
      <w:pPr>
        <w:ind w:firstLine="567"/>
        <w:jc w:val="both"/>
      </w:pPr>
    </w:p>
    <w:p w:rsidRPr="008267C5" w:rsidR="00845195" w:rsidP="008267C5">
      <w:pPr>
        <w:ind w:firstLine="567"/>
        <w:jc w:val="both"/>
      </w:pPr>
      <w:r w:rsidRPr="008267C5">
        <w:t xml:space="preserve">Pe rol, </w:t>
      </w:r>
      <w:r w:rsidRPr="008267C5">
        <w:rPr>
          <w:b/>
          <w:bCs/>
        </w:rPr>
        <w:t>recursul principal</w:t>
      </w:r>
      <w:r w:rsidRPr="008267C5">
        <w:t xml:space="preserve"> formulat de </w:t>
      </w:r>
      <w:r w:rsidRPr="008267C5">
        <w:rPr>
          <w:b/>
        </w:rPr>
        <w:t>recurenta-reclamantă</w:t>
      </w:r>
      <w:r w:rsidRPr="008267C5">
        <w:t xml:space="preserve"> </w:t>
      </w:r>
      <w:r w:rsidR="00930E96">
        <w:rPr>
          <w:b/>
        </w:rPr>
        <w:t>R1</w:t>
      </w:r>
      <w:r w:rsidRPr="008267C5">
        <w:rPr>
          <w:b/>
        </w:rPr>
        <w:t xml:space="preserve"> SRL </w:t>
      </w:r>
      <w:r w:rsidRPr="008267C5">
        <w:rPr>
          <w:bCs/>
        </w:rPr>
        <w:t xml:space="preserve">şi </w:t>
      </w:r>
      <w:r w:rsidRPr="008267C5">
        <w:rPr>
          <w:b/>
        </w:rPr>
        <w:t>recursul incident</w:t>
      </w:r>
      <w:r w:rsidRPr="008267C5">
        <w:rPr>
          <w:bCs/>
        </w:rPr>
        <w:t xml:space="preserve"> declarat de </w:t>
      </w:r>
      <w:r w:rsidRPr="008267C5">
        <w:rPr>
          <w:b/>
        </w:rPr>
        <w:t xml:space="preserve">recurentul-pârât Consiliul Local  al Municipiului </w:t>
      </w:r>
      <w:r w:rsidR="00930E96">
        <w:rPr>
          <w:b/>
        </w:rPr>
        <w:t>X</w:t>
      </w:r>
      <w:r w:rsidRPr="008267C5">
        <w:rPr>
          <w:b/>
        </w:rPr>
        <w:t xml:space="preserve"> </w:t>
      </w:r>
      <w:r w:rsidRPr="008267C5">
        <w:t xml:space="preserve">împotriva Sentinţei civile nr. </w:t>
      </w:r>
      <w:r w:rsidR="00CE1D66">
        <w:t>...</w:t>
      </w:r>
      <w:r w:rsidRPr="008267C5">
        <w:t xml:space="preserve"> din </w:t>
      </w:r>
      <w:r w:rsidR="00CE1D66">
        <w:t>...</w:t>
      </w:r>
      <w:r w:rsidRPr="008267C5">
        <w:t xml:space="preserve">.2024, pronunţate de Tribunalul </w:t>
      </w:r>
      <w:r w:rsidR="00930E96">
        <w:t>X</w:t>
      </w:r>
      <w:r w:rsidRPr="008267C5">
        <w:t xml:space="preserve"> - Secţia Contencios administrativ şi fiscal în dosarul nr. </w:t>
      </w:r>
      <w:r w:rsidR="00CE1D66">
        <w:t>...</w:t>
      </w:r>
      <w:r w:rsidRPr="008267C5">
        <w:t>/</w:t>
      </w:r>
      <w:r w:rsidR="00CE1D66">
        <w:t>...</w:t>
      </w:r>
      <w:r w:rsidRPr="008267C5">
        <w:t>/2024, având ca obiect „suspendare executare act administrativ”.</w:t>
      </w:r>
    </w:p>
    <w:p w:rsidRPr="008267C5" w:rsidR="00845195" w:rsidP="008267C5">
      <w:pPr>
        <w:ind w:firstLine="567"/>
        <w:jc w:val="both"/>
      </w:pPr>
      <w:r w:rsidRPr="008267C5">
        <w:t xml:space="preserve">Dezbaterile au avut loc în şedinţa publică din </w:t>
      </w:r>
      <w:r w:rsidR="00CE1D66">
        <w:t>...</w:t>
      </w:r>
      <w:r w:rsidRPr="008267C5">
        <w:t xml:space="preserve">2025, fiind consemnate în încheierea de la acea dată (încheiere care face parte integrantă din prezenta hotărâre), când instanţa, </w:t>
      </w:r>
      <w:r w:rsidRPr="008267C5">
        <w:rPr>
          <w:i/>
        </w:rPr>
        <w:t>având nevoie de timp pentru a delibera</w:t>
      </w:r>
      <w:r w:rsidRPr="008267C5">
        <w:t xml:space="preserve">, a amânat pronunţarea până la data de </w:t>
      </w:r>
      <w:r w:rsidR="00CE1D66">
        <w:t>...</w:t>
      </w:r>
      <w:r w:rsidRPr="008267C5">
        <w:t>.2025.</w:t>
      </w:r>
    </w:p>
    <w:p w:rsidRPr="008267C5" w:rsidR="00845195" w:rsidP="008267C5">
      <w:pPr>
        <w:ind w:firstLine="567"/>
      </w:pPr>
    </w:p>
    <w:p w:rsidRPr="008267C5" w:rsidR="00845195" w:rsidP="008267C5">
      <w:pPr>
        <w:ind w:firstLine="567"/>
        <w:jc w:val="center"/>
        <w:rPr>
          <w:b/>
        </w:rPr>
      </w:pPr>
      <w:r w:rsidRPr="008267C5">
        <w:rPr>
          <w:b/>
        </w:rPr>
        <w:t>C U R T E A,</w:t>
      </w:r>
    </w:p>
    <w:p w:rsidRPr="008267C5" w:rsidR="00845195" w:rsidP="008267C5">
      <w:pPr>
        <w:tabs>
          <w:tab w:val="left" w:pos="3855"/>
        </w:tabs>
        <w:ind w:firstLine="567"/>
        <w:jc w:val="center"/>
        <w:rPr>
          <w:b/>
        </w:rPr>
      </w:pPr>
    </w:p>
    <w:p w:rsidRPr="008267C5" w:rsidR="00845195" w:rsidP="008267C5">
      <w:pPr>
        <w:ind w:firstLine="720"/>
        <w:jc w:val="both"/>
        <w:rPr>
          <w:i/>
        </w:rPr>
      </w:pPr>
      <w:r w:rsidRPr="008267C5">
        <w:rPr>
          <w:i/>
        </w:rPr>
        <w:t>Deliberând asupra cererilor de recurs, constată următoarele:</w:t>
      </w:r>
    </w:p>
    <w:p w:rsidRPr="008267C5" w:rsidR="00845195" w:rsidP="008267C5">
      <w:pPr>
        <w:ind w:firstLine="708"/>
        <w:jc w:val="both"/>
        <w:rPr>
          <w:b/>
          <w:bCs/>
        </w:rPr>
      </w:pPr>
      <w:r w:rsidRPr="008267C5">
        <w:rPr>
          <w:b/>
          <w:bCs/>
        </w:rPr>
        <w:t>I. Circumstanțele cauzei</w:t>
      </w:r>
    </w:p>
    <w:p w:rsidRPr="008267C5" w:rsidR="00845195" w:rsidP="008267C5">
      <w:pPr>
        <w:pStyle w:val="NoSpacing"/>
        <w:ind w:firstLine="708"/>
        <w:jc w:val="both"/>
        <w:rPr>
          <w:rFonts w:ascii="Times New Roman" w:hAnsi="Times New Roman" w:cs="Times New Roman"/>
          <w:b/>
          <w:bCs/>
          <w:i/>
          <w:sz w:val="24"/>
          <w:szCs w:val="24"/>
          <w:lang w:val="ro-RO" w:eastAsia="ro-RO"/>
        </w:rPr>
      </w:pPr>
      <w:r w:rsidRPr="008267C5">
        <w:rPr>
          <w:rFonts w:ascii="Times New Roman" w:hAnsi="Times New Roman" w:cs="Times New Roman"/>
          <w:b/>
          <w:bCs/>
          <w:i/>
          <w:sz w:val="24"/>
          <w:szCs w:val="24"/>
          <w:lang w:val="ro-RO" w:eastAsia="ro-RO"/>
        </w:rPr>
        <w:t>I.1.Obiectul acțiunii deduse judecății</w:t>
      </w:r>
    </w:p>
    <w:p w:rsidRPr="008267C5" w:rsidR="00845195" w:rsidP="008267C5">
      <w:pPr>
        <w:ind w:firstLine="708"/>
        <w:jc w:val="both"/>
      </w:pPr>
      <w:r w:rsidRPr="008267C5">
        <w:t xml:space="preserve">Prin </w:t>
      </w:r>
      <w:r w:rsidRPr="008267C5">
        <w:rPr>
          <w:b/>
          <w:i/>
        </w:rPr>
        <w:t>cererea de chemare în judecată</w:t>
      </w:r>
      <w:r w:rsidRPr="008267C5">
        <w:t xml:space="preserve"> înregistrată pe rolul Tribunalului </w:t>
      </w:r>
      <w:r w:rsidR="00930E96">
        <w:t>X</w:t>
      </w:r>
      <w:r w:rsidRPr="008267C5">
        <w:t xml:space="preserve">, Secţia Contencios Administrativ şi Fiscal, sub nr. </w:t>
      </w:r>
      <w:r w:rsidR="00CE1D66">
        <w:t>...</w:t>
      </w:r>
      <w:r w:rsidRPr="008267C5">
        <w:t>/</w:t>
      </w:r>
      <w:r w:rsidR="00CE1D66">
        <w:t>...</w:t>
      </w:r>
      <w:r w:rsidRPr="008267C5">
        <w:t xml:space="preserve">/2024, reclamanta </w:t>
      </w:r>
      <w:r w:rsidR="00930E96">
        <w:rPr>
          <w:b/>
        </w:rPr>
        <w:t>R1</w:t>
      </w:r>
      <w:r w:rsidRPr="008267C5">
        <w:rPr>
          <w:b/>
        </w:rPr>
        <w:t xml:space="preserve"> SRL</w:t>
      </w:r>
      <w:r w:rsidRPr="008267C5">
        <w:t xml:space="preserve"> a solicitat în contradictoriu cu pârâtul </w:t>
      </w:r>
      <w:r w:rsidRPr="008267C5">
        <w:rPr>
          <w:b/>
        </w:rPr>
        <w:t>Consiliul Loc</w:t>
      </w:r>
      <w:r w:rsidRPr="008267C5">
        <w:rPr>
          <w:b/>
        </w:rPr>
        <w:t xml:space="preserve">al  al Municipiului </w:t>
      </w:r>
      <w:r w:rsidR="00930E96">
        <w:rPr>
          <w:b/>
        </w:rPr>
        <w:t>X</w:t>
      </w:r>
      <w:r w:rsidRPr="008267C5">
        <w:rPr>
          <w:b/>
        </w:rPr>
        <w:t>,</w:t>
      </w:r>
      <w:r w:rsidRPr="008267C5">
        <w:t xml:space="preserve"> suspendarea executării </w:t>
      </w:r>
      <w:r w:rsidR="00CE1D66">
        <w:t>HC</w:t>
      </w:r>
      <w:r w:rsidRPr="008267C5">
        <w:t xml:space="preserve"> nr.</w:t>
      </w:r>
      <w:r w:rsidR="00CE1D66">
        <w:t>.../2024</w:t>
      </w:r>
      <w:r w:rsidRPr="008267C5">
        <w:t>, până la pronunţarea instanţei de fond.</w:t>
      </w:r>
    </w:p>
    <w:p w:rsidRPr="008267C5" w:rsidR="00845195" w:rsidP="008267C5">
      <w:pPr>
        <w:ind w:firstLine="708"/>
        <w:jc w:val="both"/>
        <w:rPr>
          <w:b/>
          <w:bCs/>
        </w:rPr>
      </w:pPr>
      <w:r w:rsidRPr="008267C5">
        <w:rPr>
          <w:b/>
          <w:bCs/>
        </w:rPr>
        <w:t>I.2. Hotărârea instanței de fond</w:t>
      </w:r>
    </w:p>
    <w:p w:rsidRPr="008267C5" w:rsidR="00845195" w:rsidP="008267C5">
      <w:pPr>
        <w:ind w:firstLine="708"/>
        <w:jc w:val="both"/>
      </w:pPr>
      <w:r w:rsidRPr="008267C5">
        <w:t xml:space="preserve">Prin </w:t>
      </w:r>
      <w:r w:rsidRPr="008267C5">
        <w:rPr>
          <w:b/>
          <w:bCs/>
          <w:i/>
          <w:iCs/>
        </w:rPr>
        <w:t xml:space="preserve">sentinţa civilă  nr. </w:t>
      </w:r>
      <w:r w:rsidR="00CE1D66">
        <w:rPr>
          <w:b/>
          <w:bCs/>
          <w:i/>
          <w:iCs/>
        </w:rPr>
        <w:t>...</w:t>
      </w:r>
      <w:r w:rsidRPr="008267C5">
        <w:rPr>
          <w:b/>
          <w:bCs/>
          <w:i/>
          <w:iCs/>
        </w:rPr>
        <w:t>/</w:t>
      </w:r>
      <w:r w:rsidR="00CE1D66">
        <w:rPr>
          <w:b/>
          <w:bCs/>
          <w:i/>
          <w:iCs/>
        </w:rPr>
        <w:t>...</w:t>
      </w:r>
      <w:r w:rsidRPr="008267C5">
        <w:rPr>
          <w:b/>
          <w:bCs/>
          <w:i/>
          <w:iCs/>
        </w:rPr>
        <w:t xml:space="preserve">.2024, </w:t>
      </w:r>
      <w:r w:rsidRPr="008267C5">
        <w:rPr>
          <w:bCs/>
          <w:iCs/>
        </w:rPr>
        <w:t xml:space="preserve">Tribunalul </w:t>
      </w:r>
      <w:r w:rsidR="00930E96">
        <w:rPr>
          <w:bCs/>
          <w:iCs/>
        </w:rPr>
        <w:t>X</w:t>
      </w:r>
      <w:r w:rsidRPr="008267C5">
        <w:rPr>
          <w:bCs/>
          <w:iCs/>
        </w:rPr>
        <w:t>-</w:t>
      </w:r>
      <w:r w:rsidRPr="008267C5">
        <w:t xml:space="preserve"> </w:t>
      </w:r>
      <w:r w:rsidRPr="008267C5">
        <w:rPr>
          <w:bCs/>
          <w:iCs/>
        </w:rPr>
        <w:t xml:space="preserve">Secţia CAF </w:t>
      </w:r>
      <w:r w:rsidRPr="008267C5">
        <w:rPr>
          <w:bCs/>
        </w:rPr>
        <w:t>a respins, ca neîntemeiată,</w:t>
      </w:r>
      <w:r w:rsidRPr="008267C5">
        <w:t xml:space="preserve"> cererea formulată de reclamanta </w:t>
      </w:r>
      <w:r w:rsidR="00930E96">
        <w:t>R1</w:t>
      </w:r>
      <w:r w:rsidRPr="008267C5">
        <w:t xml:space="preserve"> SRL.</w:t>
      </w:r>
    </w:p>
    <w:p w:rsidRPr="008267C5" w:rsidR="00845195" w:rsidP="008267C5">
      <w:pPr>
        <w:ind w:firstLine="708"/>
        <w:jc w:val="both"/>
        <w:rPr>
          <w:b/>
          <w:bCs/>
          <w:i/>
        </w:rPr>
      </w:pPr>
      <w:r w:rsidRPr="008267C5">
        <w:rPr>
          <w:b/>
          <w:bCs/>
          <w:i/>
        </w:rPr>
        <w:t>I.3. Calea de atac exercitată în cauză</w:t>
      </w:r>
    </w:p>
    <w:p w:rsidRPr="008267C5" w:rsidR="00845195" w:rsidP="008267C5">
      <w:pPr>
        <w:ind w:firstLine="708"/>
        <w:jc w:val="both"/>
      </w:pPr>
      <w:r w:rsidRPr="008267C5">
        <w:rPr>
          <w:b/>
          <w:bCs/>
        </w:rPr>
        <w:t>3.1.</w:t>
      </w:r>
      <w:r w:rsidRPr="008267C5">
        <w:t xml:space="preserve"> Împotriva acestei sentinţei a declarat </w:t>
      </w:r>
      <w:r w:rsidRPr="008267C5">
        <w:rPr>
          <w:b/>
          <w:i/>
        </w:rPr>
        <w:t>recurs</w:t>
      </w:r>
      <w:r w:rsidRPr="008267C5">
        <w:rPr>
          <w:i/>
        </w:rPr>
        <w:t xml:space="preserve"> </w:t>
      </w:r>
      <w:r w:rsidRPr="008267C5">
        <w:t xml:space="preserve">reclamanta </w:t>
      </w:r>
      <w:r w:rsidR="00930E96">
        <w:rPr>
          <w:b/>
        </w:rPr>
        <w:t>R1</w:t>
      </w:r>
      <w:r w:rsidRPr="008267C5">
        <w:rPr>
          <w:b/>
        </w:rPr>
        <w:t xml:space="preserve"> SRL</w:t>
      </w:r>
      <w:r w:rsidRPr="008267C5">
        <w:t xml:space="preserve">, prin care a solicitat admiterea recursului, casarea în tot a sentinţei civile şi, pe cale de consecinţă, admiterea cererii de suspendare a executării Hotărârii Consiliului Local  nr. </w:t>
      </w:r>
      <w:r w:rsidR="00F96DFD">
        <w:t>...</w:t>
      </w:r>
      <w:r w:rsidRPr="008267C5">
        <w:t xml:space="preserve">/10.07.2024 privind reîntregirea suprafețelor verzi din Parcul </w:t>
      </w:r>
      <w:r w:rsidR="00F96DFD">
        <w:t>...</w:t>
      </w:r>
      <w:r w:rsidRPr="008267C5">
        <w:t xml:space="preserve"> şi amenajarea de noi spaţii verzi prin dezafectarea unei construcții provizorii, proprietate privată, situată pe domeniul public al Municip</w:t>
      </w:r>
      <w:r w:rsidRPr="008267C5">
        <w:t xml:space="preserve">iului </w:t>
      </w:r>
      <w:r w:rsidR="00930E96">
        <w:t>X</w:t>
      </w:r>
      <w:r w:rsidRPr="008267C5">
        <w:t>, a cărei extindere neautorizată afectează spațiul verde, domeniul public.</w:t>
      </w:r>
    </w:p>
    <w:p w:rsidRPr="008267C5" w:rsidR="00845195" w:rsidP="008267C5">
      <w:pPr>
        <w:ind w:firstLine="708"/>
        <w:jc w:val="both"/>
        <w:rPr>
          <w:i/>
        </w:rPr>
      </w:pPr>
      <w:r w:rsidRPr="008267C5">
        <w:t>În motivare, recurenta a invocat motivele de casare prevăzute de dispoziţiile art. 488 alin. (1) pct. 6 şi pct. 8 C.pr.civ., arătând că instanța de fond a formulat o motivare contradictorie și a aplicat în mod eronat normele de drept material.</w:t>
      </w:r>
    </w:p>
    <w:p w:rsidRPr="008267C5" w:rsidR="00845195" w:rsidP="008267C5">
      <w:pPr>
        <w:ind w:firstLine="708"/>
        <w:jc w:val="both"/>
      </w:pPr>
      <w:r w:rsidRPr="008267C5">
        <w:t>În ceea ce privește primul motiv de recurs prevăzut de art. 488 alin. (1) pct. 6 C. pr. civ., recurenta a evidențiat existența unor contradicții în motivarea instanței, exemplificând prin următoarele aspecte:</w:t>
      </w:r>
    </w:p>
    <w:p w:rsidRPr="008267C5" w:rsidR="00845195" w:rsidP="008267C5">
      <w:pPr>
        <w:ind w:firstLine="708"/>
        <w:jc w:val="both"/>
      </w:pPr>
      <w:r w:rsidRPr="008267C5">
        <w:t xml:space="preserve">Referitor la analiza condiției „cazului bine justificat”, instanța a constatat că există o aparentă motivare a HCL nr. </w:t>
      </w:r>
      <w:r w:rsidR="00F96DFD">
        <w:t>...</w:t>
      </w:r>
      <w:r w:rsidRPr="008267C5">
        <w:t>/10.07.2024, bazată pe trei înscrisuri emise de intimată, care nu au fost aduse la cunoștința recurentei și care, prin ele însele, nu puteau justifica măsura desființării unei construcții autorizate, edificată pe un teren închiriat prin licitație publică și beneficiind de prezumția de legalitate. În același timp, instanța de fond a menționat că un act administrativ cu consecințe grave asupra patrimoniului reclamantei trebuie să fie justificat printr-un interes public major sau printr-o atingere gravă adusă interesului public, aspecte care nu rezultă din conținutul HCL.</w:t>
      </w:r>
    </w:p>
    <w:p w:rsidRPr="008267C5" w:rsidR="00845195" w:rsidP="008267C5">
      <w:pPr>
        <w:ind w:firstLine="708"/>
        <w:jc w:val="both"/>
      </w:pPr>
      <w:r w:rsidRPr="008267C5">
        <w:t xml:space="preserve">Cu privire la necesitatea motivării actului administrativ, s-a arătat că orice act administrativ trebuie să respecte principiul proporționalității, astfel încât măsurile adoptate să fie adecvate și necesare pentru atingerea scopului urmărit, evitând impunerea unor inconveniente disproporționate. Deși instanța de fond a recunoscut că un act administrativ poate fi suspendat dacă a fost emis prin exces de putere, a concluzionat că între neregularitatea reținută și măsura adoptată nu s-a dovedit o disproporție. Or, recurenta a susținut că HCL nr. </w:t>
      </w:r>
      <w:r w:rsidR="00F96DFD">
        <w:t>...</w:t>
      </w:r>
      <w:r w:rsidRPr="008267C5">
        <w:t>/10.07.2024 nu reține în sarcina sa vreo neregularitate, iar instanța a emis o motivare contradictorie, întrucât actul contestat nu face referire la vreo faptă imputabilă recurentei și nici nu indică vreo situație de fapt sau de drept care să justifice emiterea sa.</w:t>
      </w:r>
    </w:p>
    <w:p w:rsidRPr="008267C5" w:rsidR="00845195" w:rsidP="008267C5">
      <w:pPr>
        <w:ind w:firstLine="708"/>
        <w:jc w:val="both"/>
      </w:pPr>
      <w:r w:rsidRPr="008267C5">
        <w:t>Cu privire la posibilitatea intrării în legalitate, instanța de fond a apreciat că adoptarea HCL nu împiedică intrarea în legalitate a construcției, menționând că doar instanța de fond are competența de a stabili dacă extinderile neautorizate pe domeniul public pot fi reglementate. Recurenta a arătat că această argumentare este contradictorie și lipsită de fundament juridic, deoarece intrarea în legalitate nu poate fi dispusă de instanță în cadrul acțiunii privind anularea actului administrativ.</w:t>
      </w:r>
    </w:p>
    <w:p w:rsidRPr="008267C5" w:rsidR="00845195" w:rsidP="008267C5">
      <w:pPr>
        <w:ind w:firstLine="708"/>
        <w:jc w:val="both"/>
      </w:pPr>
      <w:r w:rsidRPr="008267C5">
        <w:t xml:space="preserve">Referitor la existența unor depășiri ale autorizațiilor de construire, instanța a reținut că închirierea terenului în 2023 și lipsa unor lucrări ulterioare nu exclud posibilitatea depășirii limitelor autorizațiilor din 2013 și 2017, care nu ar fi fost notificate locatorului. Recurenta a contestat această afirmație, arătând că în 2013 nu era proprietara construcției și nici locatarul terenului, iar abia în 2017 a obținut autorizația de construire nr. </w:t>
      </w:r>
      <w:r w:rsidR="006C703A">
        <w:t>...</w:t>
      </w:r>
      <w:r w:rsidRPr="008267C5">
        <w:t xml:space="preserve">/24.07.2017, edificând construcția în baza unui acord legal cu </w:t>
      </w:r>
      <w:r w:rsidRPr="008267C5">
        <w:t xml:space="preserve">DITL </w:t>
      </w:r>
      <w:r w:rsidR="006C703A">
        <w:t>..</w:t>
      </w:r>
      <w:r w:rsidRPr="008267C5">
        <w:t>. Mai mult, această construcție a fost autorizată, recepționată și certificată chiar de către pârâtă.</w:t>
      </w:r>
    </w:p>
    <w:p w:rsidRPr="008267C5" w:rsidR="00845195" w:rsidP="008267C5">
      <w:pPr>
        <w:ind w:firstLine="708"/>
        <w:jc w:val="both"/>
      </w:pPr>
      <w:r w:rsidRPr="008267C5">
        <w:t>Cu privire la condiția pagubei iminente, instanța a concluzionat că recurenta nu a dovedit perturbarea gravă și previzibilă a funcționării unei autorități publice sau a unui serviciu public, așa cum prevede teza finală a art. 2 lit. s) din Legea nr. 554/2004. Recurenta a susținut că această concluzie este contradictorie, întrucât cererea de suspendare a vizat doar protecția patrimoniului său privat, iar instanța a analizat o ipoteză străină de natura cauzei. De asemenea, recurenta nu a invocat și nici nu avea obligația să dovedească perturbarea funcționării unei autorități publice, motiv pentru care argumentarea instanței este nelegală.</w:t>
      </w:r>
    </w:p>
    <w:p w:rsidRPr="008267C5" w:rsidR="00845195" w:rsidP="008267C5">
      <w:pPr>
        <w:ind w:firstLine="708"/>
        <w:jc w:val="both"/>
      </w:pPr>
      <w:r w:rsidRPr="008267C5">
        <w:t xml:space="preserve">În concluzie, recurenta a susținut că hotărârea instanței de fond este afectată de motive contradictorii și străine de obiectul cauzei, ceea ce impune admiterea recursului și casarea hotărârii atacate. </w:t>
      </w:r>
    </w:p>
    <w:p w:rsidRPr="008267C5" w:rsidR="00845195" w:rsidP="008267C5">
      <w:pPr>
        <w:ind w:firstLine="708"/>
        <w:jc w:val="both"/>
      </w:pPr>
      <w:r w:rsidRPr="008267C5">
        <w:t>Recurenta a susținut că hotărârea a fost pronunțată cu încălcarea sau aplicarea greșită a normelor de drept material, motiv de casare reglementat de art. 488 alin. (1) pct. 8 C.pr.civ.</w:t>
      </w:r>
    </w:p>
    <w:p w:rsidRPr="008267C5" w:rsidR="00845195" w:rsidP="008267C5">
      <w:pPr>
        <w:ind w:firstLine="708"/>
        <w:jc w:val="both"/>
      </w:pPr>
      <w:r w:rsidRPr="008267C5">
        <w:t xml:space="preserve">În considerentele sentinței civile nr. </w:t>
      </w:r>
      <w:r w:rsidR="006C703A">
        <w:t>...</w:t>
      </w:r>
      <w:r w:rsidRPr="008267C5">
        <w:t>/</w:t>
      </w:r>
      <w:r w:rsidR="006C703A">
        <w:t>..</w:t>
      </w:r>
      <w:r w:rsidRPr="008267C5">
        <w:t>.2024, instanța a citat art. 33 din Legea nr. 50/1991, însă nu a subliniat faptul că acest articol prevede desființarea construcțiilor pe cale administrativă, pe cheltuiala contravenientului. Această omisiune contrazice interpretarea corectă a textului de lege, susținută de doctrină și jurisprudență, potrivit căreia desființarea poate avea loc fără emiterea unei autorizații și fără intervenția instanței, dar exclusiv pe cheltuiala contravenientului.</w:t>
      </w:r>
    </w:p>
    <w:p w:rsidRPr="008267C5" w:rsidR="00845195" w:rsidP="008267C5">
      <w:pPr>
        <w:ind w:firstLine="708"/>
        <w:jc w:val="both"/>
      </w:pPr>
      <w:r w:rsidRPr="008267C5">
        <w:t xml:space="preserve">De asemenea, recurenta a semnalat că instanța nu s-a pronunțat asupra aparenței de nelegalitate a Hotărârii Consiliului Local  nr. </w:t>
      </w:r>
      <w:r w:rsidR="00EA48E2">
        <w:t>...</w:t>
      </w:r>
      <w:r w:rsidRPr="008267C5">
        <w:t xml:space="preserve">/10.07.2024, </w:t>
      </w:r>
      <w:bookmarkStart w:name="_Hlk192855812" w:id="0"/>
      <w:r w:rsidRPr="008267C5">
        <w:t xml:space="preserve">evidențiată în Avizul de legalitate emis de Prefectul Municipiului </w:t>
      </w:r>
      <w:r w:rsidR="00930E96">
        <w:t>X</w:t>
      </w:r>
      <w:r w:rsidRPr="008267C5">
        <w:t xml:space="preserve"> (nr. MS/</w:t>
      </w:r>
      <w:r w:rsidR="00EA48E2">
        <w:t>...</w:t>
      </w:r>
      <w:r w:rsidRPr="008267C5">
        <w:t xml:space="preserve">; </w:t>
      </w:r>
      <w:r w:rsidR="00EA48E2">
        <w:t>...</w:t>
      </w:r>
      <w:r w:rsidRPr="008267C5">
        <w:t>/P/19.08.2024).</w:t>
      </w:r>
      <w:bookmarkEnd w:id="0"/>
      <w:r w:rsidRPr="008267C5">
        <w:t xml:space="preserve"> În acest aviz, prefectul menționează că, deși HCL susține reîntregirea spațiilor verzi, nu poate dispune dezafectarea construcției provizorii, aceasta fiind posibilă doar în temeiul art. 33 alin. (4) din Legea nr. 50/1991.</w:t>
      </w:r>
    </w:p>
    <w:p w:rsidRPr="008267C5" w:rsidR="00845195" w:rsidP="008267C5">
      <w:pPr>
        <w:ind w:firstLine="708"/>
        <w:jc w:val="both"/>
      </w:pPr>
      <w:r w:rsidRPr="008267C5">
        <w:t>Recurenta a invocat acest articol, argumentând că, anterior dispunerii măsurii demolării, autoritatea publică trebuie să aplice o sancțiune contravențională pentru edificarea lucrărilor fără autorizație. Dacă petentul nu se conformează sau nu poate intra în legalitate, abia atunci intervine competența autorității de a efectua demolarea, pe cheltuiala contravenientului.</w:t>
      </w:r>
    </w:p>
    <w:p w:rsidRPr="008267C5" w:rsidR="00845195" w:rsidP="008267C5">
      <w:pPr>
        <w:ind w:firstLine="708"/>
        <w:jc w:val="both"/>
      </w:pPr>
      <w:r w:rsidRPr="008267C5">
        <w:t>Totodată, aceasta a arătat că un act administrativ nu poate aduce o gravă atingere dreptului de proprietate fără a demonstra culpa proprietarului sau fără ca măsura să fie prevăzută de lege într-un scop legitim, cu respectarea principiului proporționalității. Obligarea la desființarea unei construcții reprezintă o ingerință în dreptul de proprietate, garantat de art. 44 din Constituție și art. 1 din Protocolul nr. 1 al CEDO.</w:t>
      </w:r>
    </w:p>
    <w:p w:rsidRPr="008267C5" w:rsidR="00845195" w:rsidP="008267C5">
      <w:pPr>
        <w:ind w:firstLine="708"/>
        <w:jc w:val="both"/>
      </w:pPr>
      <w:r w:rsidRPr="008267C5">
        <w:t xml:space="preserve">Instanța a interpretat eronat art. 33 din Legea nr. 50/1991 și, în consecință, a analizat în mod nelegal condiția „cazului bine justificat”. De asemenea, a aplicat incorect criteriul „pagubei iminente”, apreciind că desființarea construcției nu rezultă direct din HCL nr. </w:t>
      </w:r>
      <w:r w:rsidR="00EA48E2">
        <w:t>....</w:t>
      </w:r>
      <w:r w:rsidRPr="008267C5">
        <w:t>/10.07.2024, ci doar din dispoziția ulterioară a primarului. Această interpretare ignoră faptul că HCL produce efecte juridice imediate, constituind temeiul pentru emiterea altor acte administrative necesare demolării.</w:t>
      </w:r>
    </w:p>
    <w:p w:rsidRPr="008267C5" w:rsidR="00845195" w:rsidP="008267C5">
      <w:pPr>
        <w:ind w:firstLine="708"/>
        <w:jc w:val="both"/>
      </w:pPr>
      <w:r w:rsidRPr="008267C5">
        <w:t xml:space="preserve">Recurenta a subliniat că HCL nr. </w:t>
      </w:r>
      <w:r w:rsidR="00EA48E2">
        <w:t>...</w:t>
      </w:r>
      <w:r w:rsidRPr="008267C5">
        <w:t>/10.07.2024 este un act administrativ principal, cu efect executoriu imediat, care afectează direct patrimoniul său, iar actele ulterioare (precum dispoziția de demolare) sunt doar consecințe ale acestuia. Negarea acestui efect contravine teoriei actelor administrative, întrucât hotărârea are caracter de autoritate publică, generând obligații concrete.</w:t>
      </w:r>
    </w:p>
    <w:p w:rsidRPr="008267C5" w:rsidR="00845195" w:rsidP="008267C5">
      <w:pPr>
        <w:ind w:firstLine="708"/>
        <w:jc w:val="both"/>
      </w:pPr>
      <w:r w:rsidRPr="008267C5">
        <w:t>În plus, recurenta a contestat ideea că prejudiciul ar putea fi reparat ulterior prin despăgubiri, susținând că pierderea construcției ar duce nu doar la afectarea dreptului de proprietate, ci și la imposibilitatea utilizării acesteia. Mai mult, demolarea sediului social ar putea provoca colapsul activității societății, împiedicând respectarea obligațiilor față de stat și față de cei 22 de angajați, existând chiar riscul intrării în insolvență din cauza incapacității de plată.</w:t>
      </w:r>
    </w:p>
    <w:p w:rsidRPr="008267C5" w:rsidR="00845195" w:rsidP="008267C5">
      <w:pPr>
        <w:ind w:firstLine="708"/>
        <w:jc w:val="both"/>
      </w:pPr>
      <w:r w:rsidRPr="008267C5">
        <w:t>În drept a invocat art. 488 alin. (1) pct. 6 şi 8 C.pr.cv., Legea nr. 554/2004, Legea nr. 50/1991.</w:t>
      </w:r>
    </w:p>
    <w:p w:rsidRPr="008267C5" w:rsidR="00845195" w:rsidP="008267C5">
      <w:pPr>
        <w:pStyle w:val="NoSpacing"/>
        <w:ind w:firstLine="708"/>
        <w:jc w:val="both"/>
        <w:rPr>
          <w:rFonts w:ascii="Times New Roman" w:hAnsi="Times New Roman" w:cs="Times New Roman"/>
          <w:sz w:val="24"/>
          <w:szCs w:val="24"/>
          <w:lang w:val="ro-RO"/>
        </w:rPr>
      </w:pPr>
      <w:r w:rsidRPr="008267C5">
        <w:rPr>
          <w:rFonts w:ascii="Times New Roman" w:hAnsi="Times New Roman" w:cs="Times New Roman"/>
          <w:b/>
          <w:bCs/>
          <w:sz w:val="24"/>
          <w:szCs w:val="24"/>
          <w:lang w:val="ro-RO"/>
        </w:rPr>
        <w:t>3.2.</w:t>
      </w:r>
      <w:r w:rsidRPr="008267C5">
        <w:rPr>
          <w:rFonts w:ascii="Times New Roman" w:hAnsi="Times New Roman" w:cs="Times New Roman"/>
          <w:sz w:val="24"/>
          <w:szCs w:val="24"/>
          <w:lang w:val="ro-RO"/>
        </w:rPr>
        <w:t xml:space="preserve"> </w:t>
      </w:r>
      <w:r w:rsidRPr="008267C5">
        <w:rPr>
          <w:rFonts w:ascii="Times New Roman" w:hAnsi="Times New Roman" w:cs="Times New Roman"/>
          <w:b/>
          <w:sz w:val="24"/>
          <w:szCs w:val="24"/>
          <w:lang w:val="ro-RO"/>
        </w:rPr>
        <w:t xml:space="preserve">Consiliul Local  al Municipiului </w:t>
      </w:r>
      <w:r w:rsidR="00930E96">
        <w:rPr>
          <w:rFonts w:ascii="Times New Roman" w:hAnsi="Times New Roman" w:cs="Times New Roman"/>
          <w:b/>
          <w:sz w:val="24"/>
          <w:szCs w:val="24"/>
          <w:lang w:val="ro-RO"/>
        </w:rPr>
        <w:t>X</w:t>
      </w:r>
      <w:r w:rsidRPr="008267C5">
        <w:rPr>
          <w:rFonts w:ascii="Times New Roman" w:hAnsi="Times New Roman" w:cs="Times New Roman"/>
          <w:b/>
          <w:sz w:val="24"/>
          <w:szCs w:val="24"/>
          <w:lang w:val="ro-RO"/>
        </w:rPr>
        <w:t xml:space="preserve"> </w:t>
      </w:r>
      <w:r w:rsidRPr="008267C5">
        <w:rPr>
          <w:rFonts w:ascii="Times New Roman" w:hAnsi="Times New Roman" w:cs="Times New Roman"/>
          <w:sz w:val="24"/>
          <w:szCs w:val="24"/>
          <w:lang w:val="ro-RO"/>
        </w:rPr>
        <w:t xml:space="preserve">a formulat </w:t>
      </w:r>
      <w:r w:rsidRPr="008267C5">
        <w:rPr>
          <w:rFonts w:ascii="Times New Roman" w:hAnsi="Times New Roman" w:cs="Times New Roman"/>
          <w:b/>
          <w:i/>
          <w:sz w:val="24"/>
          <w:szCs w:val="24"/>
          <w:lang w:val="ro-RO"/>
        </w:rPr>
        <w:t>recurs incident</w:t>
      </w:r>
      <w:r w:rsidRPr="008267C5">
        <w:rPr>
          <w:rFonts w:ascii="Times New Roman" w:hAnsi="Times New Roman" w:cs="Times New Roman"/>
          <w:i/>
          <w:sz w:val="24"/>
          <w:szCs w:val="24"/>
          <w:lang w:val="ro-RO"/>
        </w:rPr>
        <w:t>,</w:t>
      </w:r>
      <w:r w:rsidRPr="008267C5">
        <w:rPr>
          <w:rFonts w:ascii="Times New Roman" w:hAnsi="Times New Roman" w:cs="Times New Roman"/>
          <w:sz w:val="24"/>
          <w:szCs w:val="24"/>
          <w:lang w:val="ro-RO"/>
        </w:rPr>
        <w:t xml:space="preserve"> prin care a solicitat admiterea recursului ca fiind fondat, casarea în tot a sentinţei civile nr. </w:t>
      </w:r>
      <w:r w:rsidR="006C703A">
        <w:rPr>
          <w:rFonts w:ascii="Times New Roman" w:hAnsi="Times New Roman" w:cs="Times New Roman"/>
          <w:sz w:val="24"/>
          <w:szCs w:val="24"/>
          <w:lang w:val="ro-RO"/>
        </w:rPr>
        <w:t>...</w:t>
      </w:r>
      <w:r w:rsidRPr="008267C5">
        <w:rPr>
          <w:rFonts w:ascii="Times New Roman" w:hAnsi="Times New Roman" w:cs="Times New Roman"/>
          <w:sz w:val="24"/>
          <w:szCs w:val="24"/>
          <w:lang w:val="ro-RO"/>
        </w:rPr>
        <w:t>/21.08.2024, şi în rejudecare, admiterea excepţiei inadmisibilității cererii de chemare în judecată.</w:t>
      </w:r>
    </w:p>
    <w:p w:rsidRPr="008267C5" w:rsidR="00845195" w:rsidP="008267C5">
      <w:pPr>
        <w:pStyle w:val="NoSpacing"/>
        <w:ind w:firstLine="708"/>
        <w:jc w:val="both"/>
        <w:rPr>
          <w:rFonts w:ascii="Times New Roman" w:hAnsi="Times New Roman" w:cs="Times New Roman"/>
          <w:sz w:val="24"/>
          <w:szCs w:val="24"/>
          <w:lang w:val="ro-RO"/>
        </w:rPr>
      </w:pPr>
      <w:r w:rsidRPr="008267C5">
        <w:rPr>
          <w:rFonts w:ascii="Times New Roman" w:hAnsi="Times New Roman" w:cs="Times New Roman"/>
          <w:sz w:val="24"/>
          <w:szCs w:val="24"/>
          <w:lang w:val="ro-RO"/>
        </w:rPr>
        <w:t xml:space="preserve"> Recurentul a susținut că Hotărârea nr. </w:t>
      </w:r>
      <w:r w:rsidR="00CE1D66">
        <w:rPr>
          <w:rFonts w:ascii="Times New Roman" w:hAnsi="Times New Roman" w:cs="Times New Roman"/>
          <w:sz w:val="24"/>
          <w:szCs w:val="24"/>
          <w:lang w:val="ro-RO"/>
        </w:rPr>
        <w:t>.../2024</w:t>
      </w:r>
      <w:r w:rsidRPr="008267C5">
        <w:rPr>
          <w:rFonts w:ascii="Times New Roman" w:hAnsi="Times New Roman" w:cs="Times New Roman"/>
          <w:sz w:val="24"/>
          <w:szCs w:val="24"/>
          <w:lang w:val="ro-RO"/>
        </w:rPr>
        <w:t xml:space="preserve"> nu are natura unui act administrativ în sensul art. 2 alin. (1) lit. c) din Legea nr. 554/2004, deoarece, deși este emisă de o autoritate publică, nu generează, modifică sau stinge raporturi juridice. În consecință, a considerat că acest aspect constituie un motiv de neprimire a cererii reclamantei.</w:t>
      </w:r>
    </w:p>
    <w:p w:rsidRPr="008267C5" w:rsidR="00845195" w:rsidP="008267C5">
      <w:pPr>
        <w:pStyle w:val="NoSpacing"/>
        <w:ind w:firstLine="708"/>
        <w:jc w:val="both"/>
        <w:rPr>
          <w:rFonts w:ascii="Times New Roman" w:hAnsi="Times New Roman" w:cs="Times New Roman"/>
          <w:sz w:val="24"/>
          <w:szCs w:val="24"/>
          <w:lang w:val="ro-RO"/>
        </w:rPr>
      </w:pPr>
      <w:r w:rsidRPr="008267C5">
        <w:rPr>
          <w:rFonts w:ascii="Times New Roman" w:hAnsi="Times New Roman" w:cs="Times New Roman"/>
          <w:sz w:val="24"/>
          <w:szCs w:val="24"/>
          <w:lang w:val="ro-RO"/>
        </w:rPr>
        <w:t>Acesta a arătat că soluția instanței privind excepția inadmisibilității este nelegală, fiind incidente motivele de recurs prevăzute la art. 488 alin. (1) pct. 5, 6 și 8 C. pr. civ. Astfel, a subliniat că, în conformitate cu art. 1, raportat la art. 8 alin. (1) și art. 14 din Legea nr. 554/2004, doar actele administrative tipice, actele administrative atipice, refuzul soluționării unei cereri sau nesoluționarea acesteia, cu efect vătămător asupra drepturilor ori intereselor legitime ale unei persoane fizice sau juridice, pot fi supuse controlului instanțelor de contencios administrativ.</w:t>
      </w:r>
    </w:p>
    <w:p w:rsidRPr="008267C5" w:rsidR="00845195" w:rsidP="008267C5">
      <w:pPr>
        <w:pStyle w:val="NoSpacing"/>
        <w:ind w:firstLine="708"/>
        <w:jc w:val="both"/>
        <w:rPr>
          <w:rFonts w:ascii="Times New Roman" w:hAnsi="Times New Roman" w:cs="Times New Roman"/>
          <w:sz w:val="24"/>
          <w:szCs w:val="24"/>
          <w:lang w:val="ro-RO"/>
        </w:rPr>
      </w:pPr>
      <w:r w:rsidRPr="008267C5">
        <w:rPr>
          <w:rFonts w:ascii="Times New Roman" w:hAnsi="Times New Roman" w:cs="Times New Roman"/>
          <w:sz w:val="24"/>
          <w:szCs w:val="24"/>
          <w:lang w:val="ro-RO"/>
        </w:rPr>
        <w:t>Conform definiției legale, actul administrativ este emis unilateral de o autoritate publică pentru organizarea executării sau executarea în concret a legii, având ca efect crearea, modificarea ori stingerea unor raporturi juridice. Prin urmare, elementele definitorii ale unui act administrativ includ calitatea emitentului, caracterul unilateral, scopul de a pune în aplicare legea și efectele juridice produse.</w:t>
      </w:r>
    </w:p>
    <w:p w:rsidRPr="008267C5" w:rsidR="00845195" w:rsidP="008267C5">
      <w:pPr>
        <w:pStyle w:val="NoSpacing"/>
        <w:ind w:firstLine="708"/>
        <w:jc w:val="both"/>
        <w:rPr>
          <w:rFonts w:ascii="Times New Roman" w:hAnsi="Times New Roman" w:cs="Times New Roman"/>
          <w:sz w:val="24"/>
          <w:szCs w:val="24"/>
          <w:lang w:val="ro-RO"/>
        </w:rPr>
      </w:pPr>
      <w:r w:rsidRPr="008267C5">
        <w:rPr>
          <w:rFonts w:ascii="Times New Roman" w:hAnsi="Times New Roman" w:cs="Times New Roman"/>
          <w:sz w:val="24"/>
          <w:szCs w:val="24"/>
          <w:lang w:val="ro-RO"/>
        </w:rPr>
        <w:t>În acest context, recurentul a susținut că actul contestat, deși emis de o autoritate publică și având caracter unilateral, nu poate fi considerat un act administrativ, deoarece nu produce efecte juridice asupra raporturilor de drept. Hotărârea Consiliului Local  nu reprezintă decât o constatare a situației de fapt și a poziției emitentului cu privire la un teren aflat în administrarea sa, fără a crea drepturi sau obligații pentru reclamantă.</w:t>
      </w:r>
    </w:p>
    <w:p w:rsidRPr="008267C5" w:rsidR="00845195" w:rsidP="008267C5">
      <w:pPr>
        <w:pStyle w:val="NoSpacing"/>
        <w:ind w:firstLine="708"/>
        <w:jc w:val="both"/>
        <w:rPr>
          <w:rFonts w:ascii="Times New Roman" w:hAnsi="Times New Roman" w:cs="Times New Roman"/>
          <w:sz w:val="24"/>
          <w:szCs w:val="24"/>
          <w:lang w:val="ro-RO"/>
        </w:rPr>
      </w:pPr>
      <w:r w:rsidRPr="008267C5">
        <w:rPr>
          <w:rFonts w:ascii="Times New Roman" w:hAnsi="Times New Roman" w:cs="Times New Roman"/>
          <w:sz w:val="24"/>
          <w:szCs w:val="24"/>
          <w:lang w:val="ro-RO"/>
        </w:rPr>
        <w:t>Astfel, în opinia recurentului, acțiunea în contencios administrativ era inadmisibilă, neavând ca obiect un act administrativ conform definiției legale. Cu toate acestea, instanța a respins excepția invocată, apreciind că argumentele recurentului vizau potențialul vătămător al actului, deși acesta susținuse exclusiv lipsa efectelor juridice necesare pentru calificarea actului ca fiind administrativ.</w:t>
      </w:r>
    </w:p>
    <w:p w:rsidRPr="008267C5" w:rsidR="00845195" w:rsidP="008267C5">
      <w:pPr>
        <w:pStyle w:val="NoSpacing"/>
        <w:ind w:firstLine="708"/>
        <w:jc w:val="both"/>
        <w:rPr>
          <w:rFonts w:ascii="Times New Roman" w:hAnsi="Times New Roman" w:cs="Times New Roman"/>
          <w:sz w:val="24"/>
          <w:szCs w:val="24"/>
          <w:lang w:val="ro-RO"/>
        </w:rPr>
      </w:pPr>
      <w:r w:rsidRPr="008267C5">
        <w:rPr>
          <w:rFonts w:ascii="Times New Roman" w:hAnsi="Times New Roman" w:cs="Times New Roman"/>
          <w:sz w:val="24"/>
          <w:szCs w:val="24"/>
          <w:lang w:val="ro-RO"/>
        </w:rPr>
        <w:t>În probaţiune, a solicitat administrarea probei cu înscrisuri, precum  şi orice alte probe a căror necesitate va reieşi din dezbateri.</w:t>
      </w:r>
    </w:p>
    <w:p w:rsidRPr="008267C5" w:rsidR="00845195" w:rsidP="008267C5">
      <w:pPr>
        <w:pStyle w:val="NoSpacing"/>
        <w:ind w:firstLine="708"/>
        <w:jc w:val="both"/>
        <w:rPr>
          <w:rFonts w:ascii="Times New Roman" w:hAnsi="Times New Roman" w:cs="Times New Roman"/>
          <w:sz w:val="24"/>
          <w:szCs w:val="24"/>
          <w:lang w:val="ro-RO"/>
        </w:rPr>
      </w:pPr>
      <w:r w:rsidRPr="008267C5">
        <w:rPr>
          <w:rFonts w:ascii="Times New Roman" w:hAnsi="Times New Roman" w:cs="Times New Roman"/>
          <w:sz w:val="24"/>
          <w:szCs w:val="24"/>
          <w:lang w:val="ro-RO"/>
        </w:rPr>
        <w:t>În drept, recurentul a invocat art. 491 C.pr.civ.</w:t>
      </w:r>
    </w:p>
    <w:p w:rsidRPr="008267C5" w:rsidR="00845195" w:rsidP="008267C5">
      <w:pPr>
        <w:pStyle w:val="NoSpacing"/>
        <w:ind w:firstLine="708"/>
        <w:jc w:val="both"/>
        <w:rPr>
          <w:rFonts w:ascii="Times New Roman" w:hAnsi="Times New Roman" w:cs="Times New Roman"/>
          <w:b/>
          <w:i/>
          <w:sz w:val="24"/>
          <w:szCs w:val="24"/>
          <w:lang w:val="ro-RO"/>
        </w:rPr>
      </w:pPr>
      <w:r w:rsidRPr="008267C5">
        <w:rPr>
          <w:rFonts w:ascii="Times New Roman" w:hAnsi="Times New Roman" w:cs="Times New Roman"/>
          <w:b/>
          <w:i/>
          <w:sz w:val="24"/>
          <w:szCs w:val="24"/>
          <w:lang w:val="ro-RO"/>
        </w:rPr>
        <w:t>III.4. Apărările formulate în cauză</w:t>
      </w:r>
    </w:p>
    <w:p w:rsidRPr="008267C5" w:rsidR="00845195" w:rsidP="008267C5">
      <w:pPr>
        <w:ind w:firstLine="708"/>
        <w:jc w:val="both"/>
      </w:pPr>
      <w:r w:rsidRPr="008267C5">
        <w:t xml:space="preserve">Intimatul-pârât </w:t>
      </w:r>
      <w:r w:rsidRPr="008267C5">
        <w:rPr>
          <w:b/>
        </w:rPr>
        <w:t xml:space="preserve">Consiliul Local  al Municipiului </w:t>
      </w:r>
      <w:r w:rsidR="00930E96">
        <w:rPr>
          <w:b/>
        </w:rPr>
        <w:t>X</w:t>
      </w:r>
      <w:r w:rsidRPr="008267C5">
        <w:t xml:space="preserve"> a formulat </w:t>
      </w:r>
      <w:r w:rsidRPr="008267C5">
        <w:rPr>
          <w:b/>
          <w:i/>
        </w:rPr>
        <w:t>întâmpinare</w:t>
      </w:r>
      <w:r w:rsidRPr="008267C5">
        <w:t>, prin care a solicitat instanţei respingerea cererii de recurs ca neîntemeiată.</w:t>
      </w:r>
    </w:p>
    <w:p w:rsidRPr="008267C5" w:rsidR="00845195" w:rsidP="008267C5">
      <w:pPr>
        <w:ind w:firstLine="708"/>
        <w:jc w:val="both"/>
      </w:pPr>
      <w:r w:rsidRPr="008267C5">
        <w:t xml:space="preserve"> În ceea ce privește motivul prevăzut la art. 488 alin. (1) pct. 6 C.pr.civ., intimatul-pârât a solicitat respingerea tuturor susținerilor recurentei referitoare la acest motiv de casare, apreciind că argumentele acesteia sunt nefondate, fiind bazate pe interpretări trunchiate și scoase din context.</w:t>
      </w:r>
    </w:p>
    <w:p w:rsidRPr="008267C5" w:rsidR="00845195" w:rsidP="008267C5">
      <w:pPr>
        <w:ind w:firstLine="708"/>
        <w:jc w:val="both"/>
      </w:pPr>
      <w:r w:rsidRPr="008267C5">
        <w:t>Hotărârea contestată a fost pronunțată de instanța de fond în baza probatoriului administrat, având în vedere motivele de nelegalitate invocate de reclamantă și dispozițiile legale aplicabile. Instanța a analizat fiecare aspect ridicat de reclamantă, iar simplul fapt că aceasta nu este mulțumită de soluția pronunțată nu echivalează cu concluzia că hotărârea este nemotivată sau contradictorie.</w:t>
      </w:r>
    </w:p>
    <w:p w:rsidRPr="008267C5" w:rsidR="00845195" w:rsidP="008267C5">
      <w:pPr>
        <w:ind w:firstLine="708"/>
        <w:jc w:val="both"/>
      </w:pPr>
      <w:r w:rsidRPr="008267C5">
        <w:t>Dimpotrivă, faptul că instanța a constatat că actul contestat conține o motivare aparentă, referindu-se la documentația prealabilă fără a intra în analiza acesteia, dovedește că soluția a fost pronunțată cu respectarea limitelor legale. În procedura specială de suspendare a executării unui act administrativ, conform art. 14 din Legea nr. 554/2004, instanța nu poate realiza o examinare complexă a probatoriului.</w:t>
      </w:r>
    </w:p>
    <w:p w:rsidRPr="008267C5" w:rsidR="00845195" w:rsidP="008267C5">
      <w:pPr>
        <w:ind w:firstLine="708"/>
        <w:jc w:val="both"/>
      </w:pPr>
      <w:r w:rsidRPr="008267C5">
        <w:t xml:space="preserve">Astfel, suspendarea executării presupune demonstrarea unor circumstanțe care creează o îndoială serioasă asupra legalității actului administrativ și justifică temporar înlăturarea caracterului său executoriu pentru a preveni o pagubă iminentă. Noțiunea de „îndoială serioasă” presupune că nelegalitatea trebuie să reiasă clar din probe sau raționamente </w:t>
      </w:r>
      <w:r w:rsidRPr="008267C5">
        <w:rPr>
          <w:i/>
        </w:rPr>
        <w:t>prima fac</w:t>
      </w:r>
      <w:r w:rsidRPr="008267C5">
        <w:rPr>
          <w:i/>
        </w:rPr>
        <w:t>ie</w:t>
      </w:r>
      <w:r w:rsidRPr="008267C5">
        <w:t>, instanța limitându-se la o analiză sumară, fără a intra în fondul legalității actului.</w:t>
      </w:r>
    </w:p>
    <w:p w:rsidRPr="008267C5" w:rsidR="00845195" w:rsidP="008267C5">
      <w:pPr>
        <w:ind w:firstLine="708"/>
        <w:jc w:val="both"/>
      </w:pPr>
      <w:r w:rsidRPr="008267C5">
        <w:t>Instanța de fond a concluzionat corect că motivele invocate în cererea de chemare în judecată sunt incompatibile cu procedura sumară a suspendării și urmează să fie analizate în cadrul acțiunii privind anularea actului administrativ. De asemenea, s-a reținut în mod legal că actul contestat este aparent motivat, nu se impunea sancționarea contravențională a reclamantei, iar paguba iminentă nu a fost dovedită.</w:t>
      </w:r>
    </w:p>
    <w:p w:rsidRPr="008267C5" w:rsidR="00845195" w:rsidP="008267C5">
      <w:pPr>
        <w:ind w:firstLine="708"/>
        <w:jc w:val="both"/>
      </w:pPr>
      <w:r w:rsidRPr="008267C5">
        <w:t>În ceea ce privește susținerile recurentei privind necesitatea existenței unei fapte contravenționale reținute de partea pârâtă, intimatul a argumentat că legea nu prevede o asemenea obligație. Totodată, în raport cu actele premergătoare emiterii actului administrativ contestat, nu exista obligația comunicării către recurentă a documentelor care au stat la baza emiterii acestuia, nefiind indicată vreo normă legală care să impună o astfel de procedură.</w:t>
      </w:r>
    </w:p>
    <w:p w:rsidRPr="008267C5" w:rsidR="00845195" w:rsidP="008267C5">
      <w:pPr>
        <w:ind w:firstLine="708"/>
        <w:jc w:val="both"/>
      </w:pPr>
      <w:r w:rsidRPr="008267C5">
        <w:t>Referitor la paguba iminentă, instanța a constatat că recurenta prezintă selectiv și trunchiat considerentele deciziei prin care i-au fost respinse argumentele. Contrar afirmațiilor recurentei, instanța de fond nu a considerat-o drept autoritate publică sau serviciu public. Conform art. 2 lit. ş) din Legea nr. 554/2004, desființarea efectivă a construcției nu rezultă din hotărârea contestată, aceasta neproducând efecte executorii directe care să afecteze reclamanta.</w:t>
      </w:r>
    </w:p>
    <w:p w:rsidRPr="008267C5" w:rsidR="00845195" w:rsidP="008267C5">
      <w:pPr>
        <w:ind w:firstLine="708"/>
        <w:jc w:val="both"/>
      </w:pPr>
      <w:r w:rsidRPr="008267C5">
        <w:t>În consecință, intimatul-pârât a solicitat respingerea recursului ca nefondat în ceea ce privește dispozițiile art. 488 alin. (1) pct. 6 C.pr.civ.</w:t>
      </w:r>
    </w:p>
    <w:p w:rsidRPr="008267C5" w:rsidR="00845195" w:rsidP="008267C5">
      <w:pPr>
        <w:ind w:firstLine="708"/>
        <w:jc w:val="both"/>
      </w:pPr>
      <w:r w:rsidRPr="008267C5">
        <w:t xml:space="preserve">Referitor la motivul prevăzut la art. 488 alin. (1) pct. 8 C.pr.civ., intimatul a susținut că expresia „pe cheltuiala contravenientului” din art. 33 din Legea nr. 50/1991 impune existența unui proces-verbal de contravenție anterior procedurii administrative de desființare, fără a adăuga condiții suplimentare. Emiterea unei dispoziții de desființare nu presupune obligativitatea sancționării contravenționale a celui care a edificat ilegal pe domeniul public. În susținerea acestui punct de vedere, intimatul a invocat Decizia nr. </w:t>
      </w:r>
      <w:r w:rsidR="00EA48E2">
        <w:t>...</w:t>
      </w:r>
      <w:r w:rsidRPr="008267C5">
        <w:t xml:space="preserve">/2019 a Curții de Apel </w:t>
      </w:r>
      <w:r w:rsidR="00930E96">
        <w:t>X</w:t>
      </w:r>
      <w:r w:rsidRPr="008267C5">
        <w:t>.</w:t>
      </w:r>
    </w:p>
    <w:p w:rsidRPr="008267C5" w:rsidR="00845195" w:rsidP="008267C5">
      <w:pPr>
        <w:ind w:firstLine="708"/>
        <w:jc w:val="both"/>
      </w:pPr>
      <w:r w:rsidRPr="008267C5">
        <w:t xml:space="preserve">Cu privire la cea de-a doua critică a recurentei, întemeiată pe art. 488 alin. (1) pct. 8 C.pr.civ., intimatul a subliniat că aceasta vizează considerentele privind efectul executoriu al Hotărârii nr. </w:t>
      </w:r>
      <w:r w:rsidR="00CE1D66">
        <w:t>.../2024</w:t>
      </w:r>
      <w:r w:rsidRPr="008267C5">
        <w:t xml:space="preserve">. În acest sens, a argumentat că, independent de existența HCL </w:t>
      </w:r>
      <w:r w:rsidR="00727C83">
        <w:t>...</w:t>
      </w:r>
      <w:r w:rsidRPr="008267C5">
        <w:t xml:space="preserve"> nr. </w:t>
      </w:r>
      <w:r w:rsidR="00CE1D66">
        <w:t>.../2024</w:t>
      </w:r>
      <w:r w:rsidRPr="008267C5">
        <w:t xml:space="preserve">, autoritatea publică locală poate iniția procedura de desființare în temeiul art. 33 din Legea nr. 50/1991. Astfel, chiar și în absența acestui act, Primarul </w:t>
      </w:r>
      <w:r w:rsidR="00727C83">
        <w:t>...</w:t>
      </w:r>
      <w:r w:rsidRPr="008267C5">
        <w:t xml:space="preserve"> ar fi avut competența de a dispune desființarea administrativă a construcției recurentei, legea neimpunând condiția existenței unui act emis de proprietarul sau administratorul terenului public.</w:t>
      </w:r>
    </w:p>
    <w:p w:rsidRPr="008267C5" w:rsidR="00845195" w:rsidP="008267C5">
      <w:pPr>
        <w:ind w:firstLine="708"/>
        <w:jc w:val="both"/>
      </w:pPr>
      <w:r w:rsidRPr="008267C5">
        <w:t xml:space="preserve">Hotărârea nr. </w:t>
      </w:r>
      <w:r w:rsidR="00CE1D66">
        <w:t>.../2024</w:t>
      </w:r>
      <w:r w:rsidRPr="008267C5">
        <w:t xml:space="preserve"> nu produce prin ea însăși efectul desființării construcției, ci reprezintă doar o constatare privind situația terenului public și necesitatea restabilirii spațiilor verzi conform legislației în vigoare. Aceasta a fost adoptată pentru protejarea interesului public și respectarea dispozițiilor privind administrarea domeniului public, în conformitate cu art. 300 alin. (1) lit. b) din Codul administrativ, care impune obligația de protecție și conservare a bunurilor publice.</w:t>
      </w:r>
    </w:p>
    <w:p w:rsidRPr="008267C5" w:rsidR="00845195" w:rsidP="008267C5">
      <w:pPr>
        <w:ind w:firstLine="708"/>
        <w:jc w:val="both"/>
      </w:pPr>
      <w:r w:rsidRPr="008267C5">
        <w:t xml:space="preserve">În ceea ce privește susținerile recurentei privind încetarea bruscă a activității sale, intrarea în incapacitate de plată și imposibilitatea achitării salariilor angajaților ca urmare a desființării construcției în temeiul Hotărârii nr. </w:t>
      </w:r>
      <w:r w:rsidR="00CE1D66">
        <w:t>.../2024</w:t>
      </w:r>
      <w:r w:rsidRPr="008267C5">
        <w:t>, intimatul a apreciat că aceste motive sunt neîntemeiate și nedovedite. Mai mult, conduita recurentei contrazice propriile afirmații, întrucât aceasta și-a desfășurat activitatea în afara cadrului legal, ocupând domeniul public fără autorizație și fără a deține avizele necesare desfășurării activității comerciale. Aceste obligații erau prevăzute atât de lege, cât și de contractul de închiriere, iar nerespectarea lor atrage sancțiuni privind încetarea dreptului de folosință.</w:t>
      </w:r>
    </w:p>
    <w:p w:rsidRPr="008267C5" w:rsidR="00845195" w:rsidP="008267C5">
      <w:pPr>
        <w:ind w:firstLine="708"/>
        <w:jc w:val="both"/>
      </w:pPr>
      <w:r w:rsidRPr="008267C5">
        <w:t xml:space="preserve">Prin urmare, instanța de fond a pronunțat o hotărâre legală și temeinică, motiv pentru care intimatul-pârât a solicitat respingerea recursului formulat de </w:t>
      </w:r>
      <w:r w:rsidR="00930E96">
        <w:t>R1</w:t>
      </w:r>
      <w:r w:rsidRPr="008267C5">
        <w:t xml:space="preserve"> SRL ca nefondat.</w:t>
      </w:r>
    </w:p>
    <w:p w:rsidRPr="008267C5" w:rsidR="00845195" w:rsidP="008267C5">
      <w:pPr>
        <w:ind w:firstLine="708"/>
        <w:jc w:val="both"/>
      </w:pPr>
      <w:r w:rsidRPr="008267C5">
        <w:t>În drept, întâmpinarea se întemeiază pe art. 205 C.pr.civ, precum şi dispoziţiile legale invocate în cuprinsul întâmpinării</w:t>
      </w:r>
    </w:p>
    <w:p w:rsidRPr="008267C5" w:rsidR="00845195" w:rsidP="008267C5">
      <w:pPr>
        <w:pStyle w:val="NoSpacing"/>
        <w:ind w:firstLine="708"/>
        <w:jc w:val="both"/>
        <w:rPr>
          <w:rFonts w:ascii="Times New Roman" w:hAnsi="Times New Roman" w:cs="Times New Roman"/>
          <w:b/>
          <w:bCs/>
          <w:i/>
          <w:sz w:val="24"/>
          <w:szCs w:val="24"/>
          <w:lang w:val="ro-RO"/>
        </w:rPr>
      </w:pPr>
      <w:r w:rsidRPr="008267C5">
        <w:rPr>
          <w:rFonts w:ascii="Times New Roman" w:hAnsi="Times New Roman" w:cs="Times New Roman"/>
          <w:b/>
          <w:bCs/>
          <w:i/>
          <w:sz w:val="24"/>
          <w:szCs w:val="24"/>
          <w:lang w:val="ro-RO"/>
        </w:rPr>
        <w:t xml:space="preserve">I.5.. Procedura derulată în recurs </w:t>
      </w:r>
    </w:p>
    <w:p w:rsidRPr="008267C5" w:rsidR="00845195" w:rsidP="008267C5">
      <w:pPr>
        <w:ind w:firstLine="708"/>
        <w:jc w:val="both"/>
      </w:pPr>
      <w:r w:rsidRPr="008267C5">
        <w:t xml:space="preserve">În recurs </w:t>
      </w:r>
      <w:r w:rsidRPr="008267C5">
        <w:t>nu au fost administrate probe noi.</w:t>
      </w:r>
    </w:p>
    <w:p w:rsidRPr="008267C5" w:rsidR="00845195" w:rsidP="008267C5">
      <w:pPr>
        <w:ind w:firstLine="709"/>
        <w:jc w:val="both"/>
      </w:pPr>
      <w:r w:rsidRPr="008267C5">
        <w:rPr>
          <w:b/>
          <w:bCs/>
        </w:rPr>
        <w:t>II. Soluţia şi considerentele Curţii asupra recursului, potrivit prevederilor art.496-499 din Codul de procedură civilă.</w:t>
      </w:r>
    </w:p>
    <w:p w:rsidRPr="008267C5" w:rsidR="00845195" w:rsidP="008267C5">
      <w:pPr>
        <w:ind w:firstLine="709"/>
        <w:jc w:val="both"/>
        <w:rPr>
          <w:b/>
          <w:bCs/>
          <w:i/>
          <w:iCs/>
        </w:rPr>
      </w:pPr>
      <w:r w:rsidRPr="008267C5">
        <w:rPr>
          <w:b/>
          <w:bCs/>
          <w:i/>
          <w:iCs/>
        </w:rPr>
        <w:t>Examinând sentinţa atacată, în raport cu actele şi lucrările dosarului şi cu dispoziţiile legale incidente în cauză, prin prisma criticilor formulate, Curtea reţine următoarele:</w:t>
      </w:r>
    </w:p>
    <w:p w:rsidRPr="008267C5" w:rsidR="00845195" w:rsidP="008267C5">
      <w:pPr>
        <w:ind w:firstLine="708"/>
        <w:jc w:val="both"/>
      </w:pPr>
      <w:r w:rsidRPr="008267C5">
        <w:t xml:space="preserve">Art. 488 alin. (1) C.pr.civ prevede: „(1) Casarea unor hotărâri se poate cere numai pentru următoarele motive de nelegalitate: (…); </w:t>
      </w:r>
      <w:r w:rsidRPr="008267C5">
        <w:rPr>
          <w:rStyle w:val="alb"/>
          <w:b/>
          <w:bCs/>
          <w:i/>
          <w:iCs/>
        </w:rPr>
        <w:t>5.</w:t>
      </w:r>
      <w:r w:rsidRPr="008267C5">
        <w:rPr>
          <w:rStyle w:val="alb"/>
        </w:rPr>
        <w:t xml:space="preserve"> </w:t>
      </w:r>
      <w:r w:rsidRPr="008267C5">
        <w:t xml:space="preserve">când, prin hotărârea dată, instanţa a încălcat regulile de procedură a căror nerespectare atrage sancţiunea nulităţii; </w:t>
      </w:r>
      <w:r w:rsidRPr="008267C5">
        <w:rPr>
          <w:b/>
          <w:bCs/>
          <w:i/>
          <w:iCs/>
        </w:rPr>
        <w:t>6.</w:t>
      </w:r>
      <w:r w:rsidRPr="008267C5">
        <w:t xml:space="preserve"> când hotărârea nu cuprinde motivele pe care se întemeiază sau când cuprinde motive contradictorii ori numai motive străine de natura cauzei; </w:t>
      </w:r>
      <w:r w:rsidRPr="008267C5">
        <w:rPr>
          <w:b/>
          <w:bCs/>
          <w:i/>
          <w:iCs/>
        </w:rPr>
        <w:t>8.</w:t>
      </w:r>
      <w:r w:rsidRPr="008267C5">
        <w:t xml:space="preserve"> când hotărârea a fost dată cu încălcarea sau aplicarea greșită a normelor de drept material.”; totodată, potrivit art. 483 C.pr.civ. „(3) Recursul urmărește să supună Înaltei Curți de Casație și Justiție examinarea, în condițiile legii, a conformității hotărârii atacate cu regulile de drept aplicabile. (4) În cazurile anume prevăzute de lege, recursul se soluționează de către instanța ierarhic superioară celei care a pronunțat hotărârea atacată. Dispozițiile alin. (3) se aplică în mod corespunzător.”. De asemenea, potrivit art. 486 alin. (1) lit. d) C.pr.civ, „Cererea de recurs va cuprinde următoarele mențiuni: (…) d) motivele de nelegalitate pe care se întemeiază recursul și dezvoltarea lor sau, după caz, mențiunea că motivele vor fi depuse printr-un memoriu separat; (…)”.</w:t>
      </w:r>
    </w:p>
    <w:p w:rsidRPr="008267C5" w:rsidR="00845195" w:rsidP="008267C5">
      <w:pPr>
        <w:ind w:firstLine="708"/>
        <w:jc w:val="both"/>
      </w:pPr>
      <w:r w:rsidRPr="008267C5">
        <w:t>Din interpretarea dispozițiilor citate în precedent, Curtea reține că recursul reprezintă acea cale extraordinară de atac prin care hotărârea atacată este supusă controlului judiciar prin prisma conformității sale cu regulile de drept aplicabile, ceea ce implică recunoașterea posibilității părții interesate de a o critica doar pentru motive de nelegalitate, iar nu și de netemeinicie.</w:t>
      </w:r>
    </w:p>
    <w:p w:rsidRPr="008267C5" w:rsidR="00845195" w:rsidP="008267C5">
      <w:pPr>
        <w:jc w:val="both"/>
      </w:pPr>
      <w:r w:rsidRPr="008267C5">
        <w:tab/>
      </w:r>
      <w:r w:rsidRPr="008267C5">
        <w:rPr>
          <w:b/>
          <w:bCs/>
          <w:i/>
          <w:iCs/>
        </w:rPr>
        <w:t xml:space="preserve">Asupra recursului principal formulat de recurenta-reclamantă </w:t>
      </w:r>
      <w:r w:rsidR="00930E96">
        <w:rPr>
          <w:b/>
          <w:bCs/>
          <w:i/>
          <w:iCs/>
        </w:rPr>
        <w:t>R1</w:t>
      </w:r>
      <w:r w:rsidRPr="008267C5">
        <w:rPr>
          <w:b/>
          <w:bCs/>
          <w:i/>
          <w:iCs/>
        </w:rPr>
        <w:t xml:space="preserve"> SRL, </w:t>
      </w:r>
      <w:r w:rsidRPr="008267C5">
        <w:t>Curtea îl va respinge ca nefondat, având în vedere următoarele considerente:</w:t>
      </w:r>
    </w:p>
    <w:p w:rsidRPr="008267C5" w:rsidR="00845195" w:rsidP="008267C5">
      <w:pPr>
        <w:jc w:val="both"/>
      </w:pPr>
      <w:r w:rsidRPr="008267C5">
        <w:tab/>
        <w:t xml:space="preserve">Referitor la motivul de recurs prevăzut de </w:t>
      </w:r>
      <w:r w:rsidRPr="008267C5">
        <w:rPr>
          <w:b/>
          <w:bCs/>
          <w:i/>
          <w:iCs/>
        </w:rPr>
        <w:t>art. 488 alin. (1) pct. 6 C.pr.civ</w:t>
      </w:r>
      <w:r w:rsidRPr="008267C5">
        <w:t>., acesta implică o nelegalitate a hotărârii recurate fie prin prisma faptului că aceasta nu cuprinde motivele pe care se întemeiază, fie că acele motive sunt contradictorii sau toate motivele sunt străine de natura cauzei.</w:t>
      </w:r>
    </w:p>
    <w:p w:rsidRPr="008267C5" w:rsidR="00845195" w:rsidP="008267C5">
      <w:pPr>
        <w:jc w:val="both"/>
      </w:pPr>
      <w:r w:rsidRPr="008267C5">
        <w:tab/>
        <w:t>Referitor la critica recurentei-reclamante privind faptul că prima instanţă are o motivare contradictorie, Curtea o constată neîntemeiată.</w:t>
      </w:r>
    </w:p>
    <w:p w:rsidRPr="008267C5" w:rsidR="00845195" w:rsidP="008267C5">
      <w:pPr>
        <w:jc w:val="both"/>
      </w:pPr>
      <w:r w:rsidRPr="008267C5">
        <w:tab/>
      </w:r>
      <w:bookmarkStart w:name="_Hlk125031550" w:id="1"/>
      <w:r w:rsidRPr="008267C5">
        <w:t xml:space="preserve">Înalta Curte de Casaţie şi Justiţie a statuat faptul că </w:t>
      </w:r>
      <w:r w:rsidRPr="008267C5">
        <w:rPr>
          <w:i/>
        </w:rPr>
        <w:t>ipoteze</w:t>
      </w:r>
      <w:r w:rsidRPr="008267C5">
        <w:rPr>
          <w:i/>
        </w:rPr>
        <w:t>le în care se poate ajunge la o contrarietate,</w:t>
      </w:r>
      <w:r w:rsidRPr="008267C5">
        <w:t xml:space="preserve"> în sensul dispoziţiilor art. 488 alin. (1) pct. 6 C.pr.civ., pot fi existenţa unei </w:t>
      </w:r>
      <w:r w:rsidRPr="008267C5">
        <w:rPr>
          <w:i/>
        </w:rPr>
        <w:t>contrarietăţi între considerentele</w:t>
      </w:r>
      <w:r w:rsidRPr="008267C5">
        <w:t xml:space="preserve"> hotărârii, în sensul că din unele rezultă netemeinicia acţiunii, iar din altele faptul că acţiunea este fondată; </w:t>
      </w:r>
      <w:r w:rsidRPr="008267C5">
        <w:rPr>
          <w:i/>
        </w:rPr>
        <w:t>contrarietatea flagrantă dintre dispozitiv şi considerente</w:t>
      </w:r>
      <w:r w:rsidRPr="008267C5">
        <w:t xml:space="preserve">, cum este cazul admiterii acţiunii prin dispozitiv şi justificarea în considerente a soluţiei de respingere a cererii de chemare în judecată; </w:t>
      </w:r>
      <w:r w:rsidRPr="008267C5">
        <w:rPr>
          <w:i/>
        </w:rPr>
        <w:t>nemotivarea soluţiei din dispozitiv</w:t>
      </w:r>
      <w:r w:rsidRPr="008267C5">
        <w:t xml:space="preserve"> sau motivarea insuficientă a acesteia ori </w:t>
      </w:r>
      <w:r w:rsidRPr="008267C5">
        <w:rPr>
          <w:i/>
        </w:rPr>
        <w:t>prezentarea în exclusivitate a unor considerente străine de natura pricinii</w:t>
      </w:r>
      <w:r w:rsidRPr="008267C5">
        <w:t xml:space="preserve"> (Decizia nr. 2030 din 8 octombrie 2015 pronunţată în recurs de Secţia a II-a Civilă a Înaltei Curţi de Casaţie şi Justiţie).</w:t>
      </w:r>
    </w:p>
    <w:p w:rsidRPr="008267C5" w:rsidR="00845195" w:rsidP="008267C5">
      <w:pPr>
        <w:ind w:firstLine="720"/>
        <w:jc w:val="both"/>
      </w:pPr>
      <w:r w:rsidRPr="008267C5">
        <w:t>Obligaţia de motivare a unei hotărâri trebuie înţeleasă ca un silogism logic, de natură a explica inteligibil hotărârea luată, o expunerea a argumentelor fundamentale, care, prin conţinutul lor, sunt susceptibile să influenţeze soluţia, ceea ce a fost respectat de prima instanţă.</w:t>
      </w:r>
    </w:p>
    <w:p w:rsidRPr="008267C5" w:rsidR="00845195" w:rsidP="008267C5">
      <w:pPr>
        <w:ind w:firstLine="709"/>
        <w:jc w:val="both"/>
      </w:pPr>
      <w:r w:rsidRPr="008267C5">
        <w:t xml:space="preserve">Verificând conţinutul sentinţei atacate, Curtea constată că nu există contradicţie între considerente, acestea fiind coerente, unitare, susţinând soluţia din dispozitiv. Considerentele instanţei de fond sunt decizorii, conţin dezlegarea cauzei, constituind fundamentul şi explicaţia soluţiei adoptate de prima instanţă. </w:t>
      </w:r>
    </w:p>
    <w:p w:rsidRPr="008267C5" w:rsidR="00845195" w:rsidP="008267C5">
      <w:pPr>
        <w:ind w:firstLine="709"/>
        <w:jc w:val="both"/>
      </w:pPr>
      <w:r w:rsidRPr="008267C5">
        <w:t>Astfel, Curtea constată că recurenta-reclamantă se află în eroare cu privire la ipotezele în care se poare ajunge la o contrarietate din perspectiva motivului de casare prevăzut de art. 488 alin. (1) pct. 6 C.pr.civ., întrucât aceasta nu a arătat existenţa unei contrarietăţi între considerentele expuse de instanţa de fond, ci a arătat modalitatea în care a considerat că ar fi trebuit analizat probatoriul şi conţinutul actului a cărui suspendare o solicită.</w:t>
      </w:r>
    </w:p>
    <w:p w:rsidRPr="008267C5" w:rsidR="00845195" w:rsidP="008267C5">
      <w:pPr>
        <w:ind w:firstLine="709"/>
        <w:jc w:val="both"/>
      </w:pPr>
      <w:r w:rsidRPr="008267C5">
        <w:t xml:space="preserve">Simplul fapt că motivele expuse de prima instanţă nu concordă modului în care apreciază recurenta că trebuia motivată hotărârea judecătorească în acest proces nu determină incidenţa motivului de casare în discuţie, după cum acesta nu trebuie confundat nici cu celelalte motive de nelegalitate prevăzute de art. 488 alin. (1) C.pr.civ. </w:t>
      </w:r>
    </w:p>
    <w:p w:rsidRPr="008267C5" w:rsidR="00845195" w:rsidP="008267C5">
      <w:pPr>
        <w:ind w:firstLine="709"/>
        <w:jc w:val="both"/>
      </w:pPr>
      <w:r w:rsidRPr="008267C5">
        <w:t>Astfel, Curtea reţine caracterul nefondat al motivului de casare întemeiat pe dispoziţiile art. 488 alin. (1) pct. 6 C.pr.civ..</w:t>
      </w:r>
    </w:p>
    <w:p w:rsidRPr="008267C5" w:rsidR="00845195" w:rsidP="008267C5">
      <w:pPr>
        <w:ind w:firstLine="720"/>
        <w:jc w:val="both"/>
      </w:pPr>
      <w:r w:rsidRPr="008267C5">
        <w:t xml:space="preserve">Referitor la motivul de casare prevăzut de dispozițiile </w:t>
      </w:r>
      <w:r w:rsidRPr="008267C5">
        <w:rPr>
          <w:b/>
          <w:bCs/>
          <w:i/>
          <w:iCs/>
        </w:rPr>
        <w:t>art. 488 alin. (1) pct. 8 C.pr.civ</w:t>
      </w:r>
      <w:r w:rsidRPr="008267C5">
        <w:t>, acesta vizează încălcarea legii de drept substanţial (material), încălcare ce poate îmbrăca mai multe aspecte: aplicarea unui text de lege străin situației de fapt, respectiv a unui act normativ care nu este incident în speţă; extinderea normei juridice dincolo de ipotezele la care se aplică ori restrângerea nejustificată a aplicării prevederilor acesteia (de exemplu, aplicarea unor norme de drept comun pentru situații pentru care există o normă specială, aplicarea unei norme speciale, prin analogie, la situaţii ce nu cad sub incidenţa ei etc.); textului de lege corespunzător situaţiei de fapt s-a dat o interpretare greşită, inclusiv în cazul în care norma juridică este susceptibilă de interpretare, dar interpretarea dată în speță nu este justă.</w:t>
      </w:r>
    </w:p>
    <w:p w:rsidRPr="008267C5" w:rsidR="00845195" w:rsidP="008267C5">
      <w:pPr>
        <w:ind w:firstLine="720"/>
        <w:jc w:val="both"/>
      </w:pPr>
      <w:r w:rsidRPr="008267C5">
        <w:t>Ceea ce deduce recurenta-reclamantă controlului judiciar al instanţei de recurs este nelegalitatea soluţiei de respingere a cererii de suspendare a executării unui act administrativ.</w:t>
      </w:r>
    </w:p>
    <w:p w:rsidRPr="008267C5" w:rsidR="00845195" w:rsidP="008267C5">
      <w:pPr>
        <w:ind w:firstLine="720"/>
        <w:jc w:val="both"/>
      </w:pPr>
      <w:r w:rsidRPr="008267C5">
        <w:t xml:space="preserve">Procedând, astfel, la examinarea dispoziţiilor art. 488 alin. (1) pct. 8 C.pr.civ, privind pretinsa încălcare sau aplicare greşită a normelor de drept material cu privire la pretenţiile recurentei, </w:t>
      </w:r>
      <w:bookmarkEnd w:id="1"/>
      <w:r w:rsidRPr="008267C5">
        <w:t>Curtea reţine că instanţa de fond a realizat o analiză judicioasă a dispoziţiilor legale incidente în cauză, fiind prezentate argumentele de fapt şi de drept ce au format convingerea instanţei, răspunzând în mod judicios apărărilor părţilor.</w:t>
      </w:r>
    </w:p>
    <w:p w:rsidRPr="008267C5" w:rsidR="00845195" w:rsidP="008267C5">
      <w:pPr>
        <w:ind w:firstLine="708"/>
        <w:jc w:val="both"/>
      </w:pPr>
      <w:r w:rsidRPr="008267C5">
        <w:t>Potrivit dispoziţiilor art. 14 din Legea nr. 554/2004, pe care se întemeiază cererea reclamantei, în cazuri bine justificate şi pentru prevenirea unei pagube iminente, după sesizarea, în condiţiile art. 7, a autorităţii publice care a emis actul sau a autorităţii ierarhic superioare, persoana vătămată poate să ceară instanţei competente să dispună suspendarea executării actului administrativ unilateral.</w:t>
      </w:r>
    </w:p>
    <w:p w:rsidRPr="008267C5" w:rsidR="00845195" w:rsidP="008267C5">
      <w:pPr>
        <w:ind w:firstLine="708"/>
        <w:jc w:val="both"/>
      </w:pPr>
      <w:r w:rsidRPr="008267C5">
        <w:t>„Cazurile bine justificate” sunt exemplificate generic de dispoziţiile art. 2 alin. (1) lit. t) din Legea nr. 554/2004 ca fiind acele împrejurări legate de starea de fapt şi de drept, care sunt de natură să creeze o îndoială serioasă în privinţa legalităţii actului administrativ.</w:t>
      </w:r>
    </w:p>
    <w:p w:rsidRPr="008267C5" w:rsidR="00845195" w:rsidP="008267C5">
      <w:pPr>
        <w:ind w:firstLine="708"/>
        <w:jc w:val="both"/>
      </w:pPr>
      <w:r w:rsidRPr="008267C5">
        <w:t>Conform art. 2 alin. (1) lit. ş) din aceeaşi lege, „paguba iminentă” constă în prejudiciul material viitor şi previzibil sau, după caz, perturbarea previzibilă gravă a funcţionării unei autorităţi publice sau a unui serviciu public.</w:t>
      </w:r>
    </w:p>
    <w:p w:rsidRPr="008267C5" w:rsidR="00845195" w:rsidP="008267C5">
      <w:pPr>
        <w:ind w:firstLine="708"/>
        <w:jc w:val="both"/>
      </w:pPr>
      <w:r w:rsidRPr="008267C5">
        <w:t>Suspendarea executării actului administrativ constituie o măsură excepţională prin care instanţa de judecată înlătură caracterul executoriu din oficiu al actului administrativ, astfel că luarea acestei măsuri presupune dovedirea existenţei acelor împrejurări care sunt de natură să creeze o îndoială serioasă în privinţa legalităţii actului administrativ, dar mai ales a necesităţii înlăturării temporare a caracterului executoriu al actului pentru a preveni o pagubă iminentă.</w:t>
      </w:r>
    </w:p>
    <w:p w:rsidRPr="008267C5" w:rsidR="00845195" w:rsidP="008267C5">
      <w:pPr>
        <w:ind w:firstLine="708"/>
        <w:jc w:val="both"/>
      </w:pPr>
      <w:r w:rsidRPr="008267C5">
        <w:t>Determinarea existenţei cazului bine justificat nu presupune, deci, analiza în fond a legalităţii actului administrativ a cărui executare se solicită a fi suspendată, fiind suficientă o analiză sumară a actului, în aparenţă, fără prejudecarea fondului, prin raportare la motivele de fapt şi de drept invocate de reclamantă în baza unui probatoriu minimal.</w:t>
      </w:r>
    </w:p>
    <w:p w:rsidRPr="008267C5" w:rsidR="00845195" w:rsidP="008267C5">
      <w:pPr>
        <w:ind w:firstLine="708"/>
        <w:jc w:val="both"/>
      </w:pPr>
      <w:r w:rsidRPr="008267C5">
        <w:t>Or, în cauză, în convergenţă cu cele reţinute de instanţa de fond, Curtea constată că nu este îndeplinită cerinţa cazului bine justificat.</w:t>
      </w:r>
    </w:p>
    <w:p w:rsidRPr="008267C5" w:rsidR="00845195" w:rsidP="008267C5">
      <w:pPr>
        <w:ind w:firstLine="708"/>
        <w:jc w:val="both"/>
      </w:pPr>
      <w:r w:rsidRPr="008267C5">
        <w:t xml:space="preserve">În mod corect a reţinut instanţa de fond că se prezintă o aparentă motivare a hotărârii a cărei suspendare se solicită şi, în acord cu prima instanţă, Curtea constată că se identifică o motivare a actului administrativ, câtă vreme Hotărârea Consiliului Local </w:t>
      </w:r>
      <w:r w:rsidR="00BC6E42">
        <w:t>...</w:t>
      </w:r>
      <w:r w:rsidRPr="008267C5">
        <w:t xml:space="preserve"> face referire la Referatul de aprobare al unor consilieri locali şi Raportul de specialitate comun nr. P/</w:t>
      </w:r>
      <w:r w:rsidR="005E6D30">
        <w:t>...</w:t>
      </w:r>
      <w:r w:rsidRPr="008267C5">
        <w:t>/</w:t>
      </w:r>
      <w:r w:rsidR="005E6D30">
        <w:t>...</w:t>
      </w:r>
      <w:r w:rsidRPr="008267C5">
        <w:t xml:space="preserve">/2024, avizul Comisiei nr. </w:t>
      </w:r>
      <w:r w:rsidR="005E6D30">
        <w:t>...</w:t>
      </w:r>
      <w:r w:rsidRPr="008267C5">
        <w:t xml:space="preserve">, avizul Comisiei nr. </w:t>
      </w:r>
      <w:r w:rsidR="005E6D30">
        <w:t>...</w:t>
      </w:r>
      <w:r w:rsidRPr="008267C5">
        <w:t xml:space="preserve"> şi avizul Comisiei nr. </w:t>
      </w:r>
      <w:r w:rsidR="005E6D30">
        <w:t>..</w:t>
      </w:r>
      <w:r w:rsidRPr="008267C5">
        <w:t>, dispoziţiile HC</w:t>
      </w:r>
      <w:r w:rsidR="005E6D30">
        <w:t>...</w:t>
      </w:r>
      <w:r w:rsidRPr="008267C5">
        <w:t xml:space="preserve"> nr. </w:t>
      </w:r>
      <w:r w:rsidR="005E6D30">
        <w:t>...</w:t>
      </w:r>
      <w:r w:rsidRPr="008267C5">
        <w:t>/2001, prevederile OUG nr. 195/2005, art. 139 alin. (3) lit. g), art. 166 alin. (2) lit. g) şi lit. o), art. 196 alin. (1) lit. a) şi art. 197 din Codul administrativ. Astfel, la nivel de aparenţă, Curtea constată că aceste trimiteri sunt suficiente pentru motivarea actului a cărui suspendare se solicită.</w:t>
      </w:r>
    </w:p>
    <w:p w:rsidRPr="008267C5" w:rsidR="00845195" w:rsidP="008267C5">
      <w:pPr>
        <w:ind w:firstLine="708"/>
        <w:jc w:val="both"/>
      </w:pPr>
      <w:r w:rsidRPr="008267C5">
        <w:t xml:space="preserve">În cauză, în mod formal, actul administrativ litigios conţine o motivare, iar conţinutul acestei motivări şi determinarea măsurii în care motivarea acestuia este temeinică poate fi făcută doar de către instanţa învestită cu fondul cauzei. </w:t>
      </w:r>
    </w:p>
    <w:p w:rsidRPr="008267C5" w:rsidR="00845195" w:rsidP="008267C5">
      <w:pPr>
        <w:ind w:firstLine="708"/>
        <w:jc w:val="both"/>
      </w:pPr>
      <w:r w:rsidRPr="008267C5">
        <w:t>Totodată, Curtea subliniază că aparenţa de nelegalitate poate viza şi aspecte de drept material, însă este esenţial ca motivele identificate să fie evidente şi să nu implice examinarea fondului cauzei.</w:t>
      </w:r>
    </w:p>
    <w:p w:rsidRPr="008267C5" w:rsidR="00845195" w:rsidP="008267C5">
      <w:pPr>
        <w:ind w:firstLine="708"/>
        <w:jc w:val="both"/>
      </w:pPr>
      <w:r w:rsidRPr="008267C5">
        <w:t>Prin urmare, în privinţa celorlalte argumente, Curtea constată că recurenta-reclamantă s-a lansat într-o analiză pe fond, invocând motive de nelegalitate şi netemeinicie ale actului administrativ, constând în modalitatea de interpretare şi aplicare a dispoziţiilor art. 33 din Legea nr. 50/1991, arătând că în lipsa unei sancţionări contravenţionale a recurentei pentru pretinse lucrări de construire neautorizate, nu se poate dispune măsura demolării construcţiei aflate pe un teren proprietate publică a statului, nici prin dispoziţie de primar, nici prin hotărâre de consiliu local.</w:t>
      </w:r>
    </w:p>
    <w:p w:rsidRPr="008267C5" w:rsidR="00845195" w:rsidP="008267C5">
      <w:pPr>
        <w:ind w:firstLine="708"/>
        <w:jc w:val="both"/>
      </w:pPr>
      <w:r w:rsidRPr="008267C5">
        <w:t>Astfel, susţinerile recurentei-reclamante constituie argumente ce nu pot fi analizate în procedura simplificată a suspendării executării, pentru a stabili cele invocate de reclamantă este nevoie de administrarea unui probatoriu complex și de dezbateri asupra fondului cauzei. Atare argumente nu reprezintă neregularități evidente ale actului administrativ, care să fie constatate cu ușurință în faza procesuală pendinte.</w:t>
      </w:r>
    </w:p>
    <w:p w:rsidRPr="008267C5" w:rsidR="00845195" w:rsidP="008267C5">
      <w:pPr>
        <w:ind w:firstLine="851"/>
        <w:jc w:val="both"/>
      </w:pPr>
      <w:r w:rsidRPr="008267C5">
        <w:t>Deși legea nu enumeră acele împrejurări de fapt sau de drept de natură a crea serioase dubii în privința legalității actelor administrative, instanța supremă, conturând jurisprudențial sfera cazului bine justificat, care să impună suspendarea unui act administrativ, a subliniat că  instanța nu trebuie să procedeze la analizarea criticilor de nelegalitate pe care se întemeiază însăși cererea de anulare a actului administrativ, ci trebuie să-şi limiteze verificarea doar la acele împrejurări vădite de fapt şi/sau de drept care au capacitatea să producă o îndoială serioasă asupra prezumției de legalitate de care se bucură un act administrativ, fiind menționate cu titlu exemplificativ: emiterea unui act administrativ de către un organ necompetent sau cu depășirea competentei, actul administrativ emis în temeiul unor dispoziții legale declarate neconstituționale, nemotivarea actului administrativ, modificarea importantă a actului administrativ în calea recursului administrativ.</w:t>
      </w:r>
    </w:p>
    <w:p w:rsidRPr="008267C5" w:rsidR="00845195" w:rsidP="008267C5">
      <w:pPr>
        <w:autoSpaceDE w:val="0"/>
        <w:autoSpaceDN w:val="0"/>
        <w:adjustRightInd w:val="0"/>
        <w:ind w:firstLine="567"/>
        <w:jc w:val="both"/>
      </w:pPr>
      <w:r w:rsidRPr="008267C5">
        <w:rPr>
          <w:shd w:val="clear" w:color="auto" w:fill="FFFFFF"/>
        </w:rPr>
        <w:t>Curtea reţine, aşadar, prin analiza tuturor argumentelor reclamantei, că nu s-au dovedit împrejurări legate de starea de fapt şi de drept de natură să creeze o îndoială serioasă în privinţa legalităţii actului administrativ, aparenţa rezultată din probele administrate necesitând o dezlegare a litigiului pe fondul cauzei, care nu impune însă în prezent lipsirea actului administrativ de caracterul său executoriu.</w:t>
      </w:r>
    </w:p>
    <w:p w:rsidRPr="008267C5" w:rsidR="00845195" w:rsidP="008267C5">
      <w:pPr>
        <w:ind w:firstLine="709"/>
        <w:jc w:val="both"/>
      </w:pPr>
      <w:r w:rsidRPr="008267C5">
        <w:t xml:space="preserve">În ceea ce priveşte paguba iminentă, în convergenţă cu cele reţinute de instanţa de fond, Curtea constată că nici această condiție nu s-a dovedit a fi probată de către reclamantă, care a exprimat temeri cu privire la producerea în viitor a unor pagube prin punerea în executare a </w:t>
      </w:r>
      <w:r w:rsidR="00CE1D66">
        <w:t>HC</w:t>
      </w:r>
      <w:r w:rsidRPr="008267C5">
        <w:t xml:space="preserve"> nr. </w:t>
      </w:r>
      <w:r w:rsidR="00CE1D66">
        <w:t>.../2024</w:t>
      </w:r>
      <w:r w:rsidRPr="008267C5">
        <w:t xml:space="preserve">, însă actul administrativ a cărui suspendare s-a cerut nu este de natură, prin el însuși, să producă daune în patrimoniul recurentei, iar aspect este evidențiat şi în Avizul de legalitate emis de Prefectul Municipiului </w:t>
      </w:r>
      <w:r w:rsidR="00930E96">
        <w:t>X</w:t>
      </w:r>
      <w:r w:rsidRPr="008267C5">
        <w:t xml:space="preserve"> (nr. MS/</w:t>
      </w:r>
      <w:r w:rsidR="005E6D30">
        <w:t>...</w:t>
      </w:r>
      <w:r w:rsidRPr="008267C5">
        <w:t xml:space="preserve">; </w:t>
      </w:r>
      <w:r w:rsidR="005E6D30">
        <w:t>...</w:t>
      </w:r>
      <w:r w:rsidRPr="008267C5">
        <w:t xml:space="preserve">/P/19.08.2024), invocat chiar de recurenta-reclamantă. </w:t>
      </w:r>
    </w:p>
    <w:p w:rsidRPr="008267C5" w:rsidR="00845195" w:rsidP="008267C5">
      <w:pPr>
        <w:ind w:firstLine="709"/>
        <w:jc w:val="both"/>
      </w:pPr>
      <w:r w:rsidRPr="008267C5">
        <w:t xml:space="preserve">Astfel, în mod corect prima instanţă a reţinut că desfiinţarea efectivă a construcţiei nu se realizează în baza hotărârii a cărei suspendare se solicită, ci numai după emiterea dispoziţiei primarului, aşa cum s-a prevăzut şi la art.2 din hotărâre, deci </w:t>
      </w:r>
      <w:r w:rsidR="00CE1D66">
        <w:t>HC</w:t>
      </w:r>
      <w:r w:rsidRPr="008267C5">
        <w:t xml:space="preserve"> nr.</w:t>
      </w:r>
      <w:r w:rsidR="00CE1D66">
        <w:t>.../2024</w:t>
      </w:r>
      <w:r w:rsidRPr="008267C5">
        <w:t>, chiar dacă stabileşte sarcini ale autorităţilor publice, nu produce direct vreun efect executoriu cu potenţial vătămător pentru reclamantă.</w:t>
      </w:r>
    </w:p>
    <w:p w:rsidRPr="008267C5" w:rsidR="00845195" w:rsidP="008267C5">
      <w:pPr>
        <w:ind w:firstLine="709"/>
        <w:jc w:val="both"/>
      </w:pPr>
      <w:r w:rsidRPr="008267C5">
        <w:t>Deşi recurenta-reclamantă relevă o serie de consecinţe ale actului administrativ a cărui suspendare o solicită, Curtea constată că paguba iminentă nu trebuie invocată în abstract, ci trebuie să se circumscrie celor două ipoteze prevăzute la art. 2 alin. (1) lit. ş) din Lege şi să fie dovedite prin mijloace de probă, exigenţe pe care reclamanta nu a reuşit să le îndeplinească în cauză.</w:t>
      </w:r>
    </w:p>
    <w:p w:rsidRPr="008267C5" w:rsidR="00845195" w:rsidP="008267C5">
      <w:pPr>
        <w:ind w:firstLine="709"/>
        <w:jc w:val="both"/>
      </w:pPr>
      <w:r w:rsidRPr="008267C5">
        <w:t>În consecință, recurenta-reclamantă nu a administrat probe de natură să formeze convingerea instanţei în sensul iminenţei unei pagube, astfel încât să se circumscrie caracterului de excepţie al suspendării executării actului administrativ.</w:t>
      </w:r>
    </w:p>
    <w:p w:rsidRPr="008267C5" w:rsidR="00845195" w:rsidP="008267C5">
      <w:pPr>
        <w:ind w:firstLine="708"/>
        <w:jc w:val="both"/>
      </w:pPr>
      <w:r w:rsidRPr="008267C5">
        <w:t>Aşa fiind, Curtea constată că susţinerile şi criticile recurentei sunt neîntemeiate, iar hotărârea instanţei de fond este legală, fiind dată cu aplicarea corectă a normelor de drept material, nefiind incidente motivele de recurs reglementate de art. 488 alin. (1) pct. 6 şi 8 C.pr.civ.</w:t>
      </w:r>
    </w:p>
    <w:p w:rsidRPr="008267C5" w:rsidR="00845195" w:rsidP="008267C5">
      <w:pPr>
        <w:ind w:firstLine="708"/>
        <w:jc w:val="both"/>
      </w:pPr>
      <w:r w:rsidRPr="008267C5">
        <w:t xml:space="preserve">Pe cale de consecinţă, în temeiul art. 20 din Legea nr. 554/2004 coroborat cu art. 496 alin. (1) C.pr.civ, Curtea va respinge recursul principal formulat de recurenta-reclamantă </w:t>
      </w:r>
      <w:r w:rsidR="00930E96">
        <w:t>R1</w:t>
      </w:r>
      <w:r w:rsidRPr="008267C5">
        <w:t xml:space="preserve"> SRL, ca nefondat. </w:t>
      </w:r>
    </w:p>
    <w:p w:rsidRPr="008267C5" w:rsidR="00845195" w:rsidP="008267C5">
      <w:pPr>
        <w:jc w:val="both"/>
      </w:pPr>
      <w:r w:rsidRPr="008267C5">
        <w:tab/>
      </w:r>
      <w:r w:rsidRPr="008267C5">
        <w:rPr>
          <w:b/>
          <w:bCs/>
          <w:i/>
          <w:iCs/>
        </w:rPr>
        <w:t xml:space="preserve">Asupra recursului incident formulat de recurentul-pârât Consiliul Local  al Municipiului </w:t>
      </w:r>
      <w:r w:rsidR="00930E96">
        <w:rPr>
          <w:b/>
          <w:bCs/>
          <w:i/>
          <w:iCs/>
        </w:rPr>
        <w:t>X</w:t>
      </w:r>
      <w:r w:rsidRPr="008267C5">
        <w:rPr>
          <w:b/>
          <w:bCs/>
          <w:i/>
          <w:iCs/>
        </w:rPr>
        <w:t xml:space="preserve">, </w:t>
      </w:r>
      <w:r w:rsidRPr="008267C5">
        <w:t>Curtea îl va respinge ca nefondat, având în vedere următoarele considerente:</w:t>
      </w:r>
    </w:p>
    <w:p w:rsidRPr="008267C5" w:rsidR="00845195" w:rsidP="008267C5">
      <w:pPr>
        <w:jc w:val="both"/>
      </w:pPr>
      <w:r w:rsidRPr="008267C5">
        <w:tab/>
        <w:t xml:space="preserve">Curtea reţine că ceea ce deduce recurentul-pârât controlului judiciar al instanţei de recurs este nelegalitatea soluţiei de respingere a excepţiei inadmisibilităţii. </w:t>
      </w:r>
    </w:p>
    <w:p w:rsidRPr="008267C5" w:rsidR="00845195" w:rsidP="008267C5">
      <w:pPr>
        <w:ind w:firstLine="708"/>
        <w:jc w:val="both"/>
      </w:pPr>
      <w:r w:rsidRPr="008267C5">
        <w:t>Cu titlu preliminar, se constată că deşi recurentul-pârât a invocat motivele de casare prevăzute de art. 488 alin. (1) pct. 5, 6 şi 8 C.pr.civ., argumentele expuse se circumscriu doar motivelor de casare prevăzute de art. 488 alin. (1) pct. 5 şi 6 din C.pr.civ.</w:t>
      </w:r>
    </w:p>
    <w:p w:rsidRPr="008267C5" w:rsidR="00845195" w:rsidP="008267C5">
      <w:pPr>
        <w:ind w:firstLine="709"/>
        <w:jc w:val="both"/>
      </w:pPr>
      <w:r w:rsidRPr="008267C5">
        <w:t xml:space="preserve">Referitor la motivul de casare prevăzut de </w:t>
      </w:r>
      <w:r w:rsidRPr="008267C5">
        <w:rPr>
          <w:b/>
          <w:bCs/>
          <w:i/>
          <w:iCs/>
        </w:rPr>
        <w:t>art. 488 alin. (1) pct. 5 C.pr.civ.,</w:t>
      </w:r>
      <w:r w:rsidRPr="008267C5">
        <w:t xml:space="preserve"> Curtea reţine că acest motiv de recurs se referă la încălcarea oricăror reguli de procedură a căror nerespectare atrage nulitatea, indiferent după cum aceasta este condiționată sau nu de existența unei vătămări.</w:t>
      </w:r>
    </w:p>
    <w:p w:rsidRPr="008267C5" w:rsidR="00845195" w:rsidP="008267C5">
      <w:pPr>
        <w:ind w:firstLine="709"/>
        <w:jc w:val="both"/>
      </w:pPr>
      <w:r w:rsidRPr="008267C5">
        <w:t>Subsumat acestui motiv de casare, recurentul-pârât a învederat că instanţa de fond a recalificat excepţia inadmisibilităţii ca fiind apărare de fond cu privire la condiţia „pagubei iminente”, cu încălcarea art. 22 alin. (4) C.pr.civ., întrucât nu a fost pus în discuţia părţilor acest aspect.</w:t>
      </w:r>
    </w:p>
    <w:p w:rsidRPr="008267C5" w:rsidR="00845195" w:rsidP="008267C5">
      <w:pPr>
        <w:ind w:firstLine="709"/>
        <w:jc w:val="both"/>
        <w:rPr>
          <w:i/>
          <w:iCs/>
        </w:rPr>
      </w:pPr>
      <w:r w:rsidRPr="008267C5">
        <w:t xml:space="preserve">Potrivit art. 22 alin. (4) C.pr.civ. </w:t>
      </w:r>
      <w:r w:rsidRPr="008267C5">
        <w:rPr>
          <w:i/>
          <w:iCs/>
        </w:rPr>
        <w:t>„(4) Judecătorul dă sau restabileşte calificarea juridică a actelor şi faptelor deduse judecăţii, chiar dacă părţile le-au dat o altă denumire. În acest caz judecătorul este obligat să pună în discuţia părţilor calificarea juridică exactă.”</w:t>
      </w:r>
    </w:p>
    <w:p w:rsidRPr="008267C5" w:rsidR="00845195" w:rsidP="008267C5">
      <w:pPr>
        <w:ind w:firstLine="709"/>
        <w:jc w:val="both"/>
      </w:pPr>
      <w:r w:rsidRPr="008267C5">
        <w:t>Într-adevăr, excepţia inadmisibilităţii este, în principiu, o excepţie absolută şi reprezintă o modalitate de respingere a unei cereri de chemare în judecată, ca urmare a invocării unei excepţii referitoare la neîndeplinirea condiţiilor de exercitare a unui drept procesual.</w:t>
      </w:r>
    </w:p>
    <w:p w:rsidRPr="008267C5" w:rsidR="00845195" w:rsidP="008267C5">
      <w:pPr>
        <w:ind w:firstLine="709"/>
        <w:jc w:val="both"/>
      </w:pPr>
      <w:r w:rsidRPr="008267C5">
        <w:t>Noţiunea de „excepţie procesuală” este definită de art. 245 C.pr.civ., potrivit căruia: „</w:t>
      </w:r>
      <w:r w:rsidRPr="008267C5">
        <w:rPr>
          <w:i/>
          <w:iCs/>
        </w:rPr>
        <w:t xml:space="preserve">Excepţia procesuală este mijlocul prin care, în condiţiile legii, partea interesată, procurorul sau instanţa invocă, </w:t>
      </w:r>
      <w:r w:rsidRPr="008267C5">
        <w:rPr>
          <w:bCs/>
          <w:i/>
          <w:iCs/>
        </w:rPr>
        <w:t>fără să pună în discuţie fondul dreptului</w:t>
      </w:r>
      <w:r w:rsidRPr="008267C5">
        <w:rPr>
          <w:i/>
          <w:iCs/>
        </w:rPr>
        <w:t>, neregularităţi procedurale privitoare la compunerea completului sau constituirea instanţei, competenţa instanţei ori la procedura de judecată sau lipsuri referitoare la dreptul la acţiune urmărind, după caz, declinarea competenţei, amânarea judecăţii, refacerea unor acte ori anularea, respingerea sau perimarea cererii</w:t>
      </w:r>
      <w:r w:rsidRPr="008267C5">
        <w:t>.”</w:t>
      </w:r>
    </w:p>
    <w:p w:rsidRPr="008267C5" w:rsidR="00845195" w:rsidP="008267C5">
      <w:pPr>
        <w:ind w:firstLine="709"/>
        <w:jc w:val="both"/>
      </w:pPr>
      <w:r w:rsidRPr="008267C5">
        <w:t xml:space="preserve">Prin notele scrise depuse în faţa primei instanţe, recurentul-pârât a invocat excepţia inadmisibilităţii cererii de suspendare a Hotărârii nr. </w:t>
      </w:r>
      <w:r w:rsidR="008715FE">
        <w:t>...</w:t>
      </w:r>
      <w:r w:rsidRPr="008267C5">
        <w:t>/10.07.2024 privind reîntregirea suprafeţelor verzi din parcul „</w:t>
      </w:r>
      <w:r w:rsidR="008715FE">
        <w:t>...</w:t>
      </w:r>
      <w:r w:rsidRPr="008267C5">
        <w:t xml:space="preserve">” şi amenajarea de noi spaţii verzi prin dezafectarea unei construcţii provizorii, proprietate privată, situată pe domeniul public al Municipiului </w:t>
      </w:r>
      <w:r w:rsidR="00930E96">
        <w:t>X</w:t>
      </w:r>
      <w:r w:rsidRPr="008267C5">
        <w:t xml:space="preserve">, a cărei extindere neautorizată afectează spaţiul verde, domeniul public. Recurentul-pârât a susţinut faptul că Hotărârea nr. </w:t>
      </w:r>
      <w:r w:rsidR="00CE1D66">
        <w:t>.../2024</w:t>
      </w:r>
      <w:r w:rsidRPr="008267C5">
        <w:t xml:space="preserve"> nu este un act administrativ, deoarece nu produce efecte juridice. În susţinerea alegaţiei privind faptul că hotărârea nu produce efecte juridice, recurentul-pârât a arătat că este o hotărâre prin care se aprobă reîntregirea suprafeţelor verzi din parcul </w:t>
      </w:r>
      <w:r w:rsidR="008715FE">
        <w:t>...</w:t>
      </w:r>
      <w:r w:rsidRPr="008267C5">
        <w:t>, iar în ceea ce priveşte desfiinţarea construcţiilor executate pe domeniul public al statului este incident art. 33 alin. (1) din Legea nr. 50/1991, actul producător de efecte juridice în ceea ce priveşte desfiinţarea construcţiilor realizate pe domeniul public fără temei legal fiind dispoziţia primarului în conformitate cu procedura prevăzută de art. 33 alin. (1) din Legea nr. 50/1991, nu hotărârea a cărei suspendare se solicită.</w:t>
      </w:r>
    </w:p>
    <w:p w:rsidRPr="008267C5" w:rsidR="00845195" w:rsidP="008267C5">
      <w:pPr>
        <w:ind w:firstLine="709"/>
        <w:jc w:val="both"/>
      </w:pPr>
      <w:r w:rsidRPr="008267C5">
        <w:t>La termenul de judecată din data de 21.08.2024, instanţa de fond a pus în discuţia contradictorie a părţilor excepţia inadmisibilităţii cererii şi a respins această excepţie ca neîntemeiată, reţinând faptul că argumentele invocate în susţinerea excepţiei privesc temeinicia cererii de suspendare. Analizând motivele invocate în susţinerea excepţiei inadmisibilităţii, Curtea reţine că acestea pun în discuţie fondul raportului juridic dedus judecăţii, astfel că, în mod corect, instanţa de fond a apreciat că acestea privesc temeinicia cererii de suspendare.</w:t>
      </w:r>
    </w:p>
    <w:p w:rsidRPr="008267C5" w:rsidR="00845195" w:rsidP="008267C5">
      <w:pPr>
        <w:ind w:firstLine="709"/>
        <w:jc w:val="both"/>
      </w:pPr>
      <w:r w:rsidRPr="008267C5">
        <w:t xml:space="preserve">Contrar alegaţiilor recurentului-pârât, Curtea constată că instanţa de fond nu a recalificat excepţia inadmisibilităţii ca fiind o apărare de fond, ci a respins excepţia inadmisibilităţii acţiunii, invocată de pârât, implicit sub aspectul lipsei caracterului de act administrativ al HCL nr. </w:t>
      </w:r>
      <w:r w:rsidR="008715FE">
        <w:t>...</w:t>
      </w:r>
      <w:r w:rsidRPr="008267C5">
        <w:t xml:space="preserve">/10.07.2024. Faptul că instanţa de fond a avut în vedere alte motive când a respins excepţia, decât cele avute în vedere de parte, nu sunt de natură a determina recalificarea excepţiei într-o apărare de fond. </w:t>
      </w:r>
    </w:p>
    <w:p w:rsidRPr="008267C5" w:rsidR="00845195" w:rsidP="008267C5">
      <w:pPr>
        <w:ind w:firstLine="709"/>
        <w:jc w:val="both"/>
      </w:pPr>
      <w:r w:rsidRPr="008267C5">
        <w:t>Prin urmare, Curtea reţine că nu se poate susţine că instanţa de fond a încălcat dispoziţiile art. 22 alin. (4) C.pr.civ.</w:t>
      </w:r>
    </w:p>
    <w:p w:rsidRPr="008267C5" w:rsidR="00845195" w:rsidP="008267C5">
      <w:pPr>
        <w:ind w:firstLine="709"/>
        <w:jc w:val="both"/>
      </w:pPr>
      <w:r w:rsidRPr="008267C5">
        <w:t xml:space="preserve">Referitor la alegaţiile recurentului-pârât privind faptul că în mod greşit instanţa de fond a respins excepţia inadmisibilităţii, întrucât HCL nr. </w:t>
      </w:r>
      <w:r w:rsidR="008715FE">
        <w:t>...</w:t>
      </w:r>
      <w:r w:rsidRPr="008267C5">
        <w:t>/10.07.2024 nu este un act administrativ, Curtea reţine că, potrivit art. 8 din Legea nr. 554/2004, sunt supuse cenzurii instanţei de contencios administrativ doar actele administrative tipice sau asimilate (refuzul de soluţionare ori nesoluţionarea unei cererii).</w:t>
      </w:r>
    </w:p>
    <w:p w:rsidRPr="008267C5" w:rsidR="00845195" w:rsidP="008267C5">
      <w:pPr>
        <w:ind w:firstLine="709"/>
        <w:jc w:val="both"/>
      </w:pPr>
      <w:r w:rsidRPr="008267C5">
        <w:t>Potrivit art. 2 alin. (1) lit. c) din Legea nr. 554/2004: „act administrativ - actul unilateral cu caracter individual sau normativ emis de o autoritate publică, în regim de putere publică, în vederea organizării executării legii sau a executării în concret a legii, care dă naştere, modifică sau stinge raporturi juridice;”</w:t>
      </w:r>
    </w:p>
    <w:p w:rsidRPr="008267C5" w:rsidR="00845195" w:rsidP="008267C5">
      <w:pPr>
        <w:ind w:firstLine="709"/>
        <w:jc w:val="both"/>
      </w:pPr>
      <w:r w:rsidRPr="008267C5">
        <w:t xml:space="preserve">Curtea reţine că alegaţiile recurentului-pârât nu arată </w:t>
      </w:r>
      <w:r w:rsidRPr="008267C5">
        <w:rPr>
          <w:i/>
          <w:iCs/>
        </w:rPr>
        <w:t>per se</w:t>
      </w:r>
      <w:r w:rsidRPr="008267C5">
        <w:t xml:space="preserve"> că hotărârea a cărei suspendare se solicită nu produce efecte juridice, ci extrapolează noţiunea de efecte juridice la o situaţie ulterioară hotărârii adoptate, arătând etapele ulterioare pentru a se putea realiza reîntregirea spaţiilor verzi din parcul </w:t>
      </w:r>
      <w:r w:rsidR="009F11C0">
        <w:t>...</w:t>
      </w:r>
      <w:r w:rsidRPr="008267C5">
        <w:t xml:space="preserve"> şi amenajarea de noi spaţii verzi.</w:t>
      </w:r>
    </w:p>
    <w:p w:rsidRPr="008267C5" w:rsidR="00845195" w:rsidP="008267C5">
      <w:pPr>
        <w:jc w:val="both"/>
      </w:pPr>
      <w:r w:rsidRPr="008267C5">
        <w:tab/>
        <w:t>Pentru aceste considerente, Curtea apreciază că motivul de casare prevăzut de art. 488 alin. (1) pct. 5 C.pr.civ. este nefondat.</w:t>
      </w:r>
    </w:p>
    <w:p w:rsidRPr="008267C5" w:rsidR="00845195" w:rsidP="008267C5">
      <w:pPr>
        <w:ind w:firstLine="708"/>
        <w:jc w:val="both"/>
      </w:pPr>
      <w:r w:rsidRPr="008267C5">
        <w:t xml:space="preserve">Referitor la motivul de casare prevăzut de </w:t>
      </w:r>
      <w:r w:rsidRPr="008267C5">
        <w:rPr>
          <w:b/>
          <w:bCs/>
          <w:i/>
          <w:iCs/>
        </w:rPr>
        <w:t>art. 488 alin. (1) pct. 6 C.pr.civ.,</w:t>
      </w:r>
      <w:r w:rsidRPr="008267C5">
        <w:t xml:space="preserve"> Curtea reţine că este nefondat, având în vedere următoarele considerente:</w:t>
      </w:r>
    </w:p>
    <w:p w:rsidRPr="008267C5" w:rsidR="00845195" w:rsidP="008267C5">
      <w:pPr>
        <w:ind w:firstLine="709"/>
        <w:jc w:val="both"/>
      </w:pPr>
      <w:r w:rsidRPr="008267C5">
        <w:t>Incidența acestui motiv de casare intervine fie atunci când hotărârea recurată nu conține deloc raționamentul logico-juridic ce a stat la baza ei, fie atunci când motivele sunt contradictorii, în sensul că sentința conține atât considerente care duc la admiterea cererii, cât și la respingerea ei, fie în situația în care hotărârea conține doar motive care nu au legătură cu cauza.</w:t>
      </w:r>
    </w:p>
    <w:p w:rsidRPr="008267C5" w:rsidR="00845195" w:rsidP="008267C5">
      <w:pPr>
        <w:ind w:firstLine="709"/>
        <w:jc w:val="both"/>
      </w:pPr>
      <w:r w:rsidRPr="008267C5">
        <w:t>Subsumat acestui motiv de casare, recurentul-pârât a susţinut că hotărârea instanţei referitoare la excepţia inadmisibilităţii este nemotivată.</w:t>
      </w:r>
    </w:p>
    <w:p w:rsidRPr="008267C5" w:rsidR="00845195" w:rsidP="008267C5">
      <w:pPr>
        <w:ind w:firstLine="709"/>
        <w:jc w:val="both"/>
      </w:pPr>
      <w:r w:rsidRPr="008267C5">
        <w:t>Curtea reţine că instanţa de fond a motivat soluţia de respingere ca neîntemeiată a excepţiei inadmisibilităţii, respectiv hotărârea prin care instanța a soluționat excepţia răspunde argumentelor decisive care conduc la o soluție în acord cu considerentele, astfel încât să rezulte construcția logico-juridică care a stat la baza formării convingerii instanței. Sentinţa civilă recurată pronunțată de tribunal în prezentul dosar nu a fost dată cu nesocotirea obligației legale a judecătorului de a proceda la motivarea hotărârii.</w:t>
      </w:r>
    </w:p>
    <w:p w:rsidRPr="008267C5" w:rsidR="00845195" w:rsidP="008267C5">
      <w:pPr>
        <w:ind w:firstLine="709"/>
        <w:jc w:val="both"/>
      </w:pPr>
      <w:r w:rsidRPr="008267C5">
        <w:t>Motivarea hotărârii judecătoreşti nu reprezintă o chestiune de cantitate şi nici nu obligă instanţa să răspundă tuturor argumentelor de fapt şi de drept ale părţilor, instanţa putând să grupeze unele dintre acestea pe baza unui numitor comun şi să le răspundă în cadrul unui singur considerent, respectiv să analizeze acele motive şi apărări care sunt esențiale pentru dezlegarea pricinii și au aptitudinea de a demonstra analiza efectivă a cauzei.</w:t>
      </w:r>
    </w:p>
    <w:p w:rsidRPr="008267C5" w:rsidR="00845195" w:rsidP="008267C5">
      <w:pPr>
        <w:ind w:firstLine="709"/>
        <w:jc w:val="both"/>
      </w:pPr>
      <w:r w:rsidRPr="008267C5">
        <w:t>Faptul că instanţa ajunge la o altă concluzie decât cea pretinsă de recurent şi ajunge la această concluzie direct, sintetic, ce face inutilă analiza altor argumente, nu înseamnă că instanţa de fond nu a analizat şi motivat hotărârea pronunţată.</w:t>
      </w:r>
    </w:p>
    <w:p w:rsidRPr="008267C5" w:rsidR="00845195" w:rsidP="008267C5">
      <w:pPr>
        <w:ind w:firstLine="708"/>
        <w:jc w:val="both"/>
      </w:pPr>
      <w:r w:rsidRPr="008267C5">
        <w:t>Prin urmare, cazul de casare prevăzut de art. 488 alin. (1) pct. 6 C.pr.civ. nu este incident.</w:t>
      </w:r>
    </w:p>
    <w:p w:rsidRPr="008267C5" w:rsidR="00845195" w:rsidP="008267C5">
      <w:pPr>
        <w:jc w:val="both"/>
      </w:pPr>
      <w:r w:rsidRPr="008267C5">
        <w:tab/>
        <w:t xml:space="preserve">Pe cale de consecinţă, în temeiul art. 20 din Legea nr. 554/2004 coroborat cu art. 496 alin. (1) C.pr.civ, Curtea va respinge recursul incident formulat de recurentul-pârât Consiliul Local  al Municipiului </w:t>
      </w:r>
      <w:r w:rsidR="00930E96">
        <w:t>X</w:t>
      </w:r>
      <w:r w:rsidRPr="008267C5">
        <w:t xml:space="preserve">, ca nefondat. </w:t>
      </w:r>
    </w:p>
    <w:p w:rsidRPr="008267C5" w:rsidR="00845195" w:rsidP="008267C5">
      <w:pPr>
        <w:rPr>
          <w:b/>
        </w:rPr>
      </w:pPr>
    </w:p>
    <w:p w:rsidRPr="008267C5" w:rsidR="00845195" w:rsidP="008267C5">
      <w:pPr>
        <w:ind w:firstLine="567"/>
        <w:jc w:val="center"/>
        <w:rPr>
          <w:b/>
        </w:rPr>
      </w:pPr>
      <w:r w:rsidRPr="008267C5">
        <w:rPr>
          <w:b/>
        </w:rPr>
        <w:t>PENTRU ACESTE MOTIVE</w:t>
      </w:r>
    </w:p>
    <w:p w:rsidRPr="008267C5" w:rsidR="00845195" w:rsidP="008267C5">
      <w:pPr>
        <w:ind w:firstLine="567"/>
        <w:jc w:val="center"/>
        <w:rPr>
          <w:b/>
        </w:rPr>
      </w:pPr>
      <w:r w:rsidRPr="008267C5">
        <w:rPr>
          <w:b/>
        </w:rPr>
        <w:t>ÎN NUMELE LEGII</w:t>
      </w:r>
    </w:p>
    <w:p w:rsidRPr="008267C5" w:rsidR="00845195" w:rsidP="008267C5">
      <w:pPr>
        <w:ind w:firstLine="567"/>
        <w:jc w:val="center"/>
        <w:rPr>
          <w:b/>
        </w:rPr>
      </w:pPr>
      <w:r w:rsidRPr="008267C5">
        <w:rPr>
          <w:b/>
        </w:rPr>
        <w:t>DECIDE:</w:t>
      </w:r>
    </w:p>
    <w:p w:rsidRPr="008267C5" w:rsidR="00845195" w:rsidP="008267C5">
      <w:pPr>
        <w:ind w:firstLine="567"/>
        <w:jc w:val="both"/>
      </w:pPr>
    </w:p>
    <w:p w:rsidRPr="008267C5" w:rsidR="00845195" w:rsidP="008267C5">
      <w:pPr>
        <w:ind w:firstLine="567"/>
        <w:jc w:val="both"/>
      </w:pPr>
      <w:r w:rsidRPr="008267C5">
        <w:t xml:space="preserve">Respinge </w:t>
      </w:r>
      <w:r w:rsidRPr="008267C5">
        <w:rPr>
          <w:b/>
        </w:rPr>
        <w:t>recursul principal</w:t>
      </w:r>
      <w:r w:rsidRPr="008267C5">
        <w:t xml:space="preserve"> formulat de </w:t>
      </w:r>
      <w:r w:rsidRPr="008267C5">
        <w:rPr>
          <w:b/>
        </w:rPr>
        <w:t>recurenta-reclamantă</w:t>
      </w:r>
      <w:r w:rsidRPr="008267C5">
        <w:t xml:space="preserve"> </w:t>
      </w:r>
      <w:r w:rsidR="00930E96">
        <w:rPr>
          <w:b/>
        </w:rPr>
        <w:t>R1</w:t>
      </w:r>
      <w:r w:rsidRPr="008267C5">
        <w:rPr>
          <w:b/>
        </w:rPr>
        <w:t xml:space="preserve"> SRL</w:t>
      </w:r>
      <w:r w:rsidRPr="008267C5">
        <w:rPr>
          <w:bCs/>
        </w:rPr>
        <w:t xml:space="preserve">, cu sediul în </w:t>
      </w:r>
      <w:r w:rsidR="008715FE">
        <w:rPr>
          <w:bCs/>
        </w:rPr>
        <w:t>...</w:t>
      </w:r>
      <w:r w:rsidRPr="008267C5">
        <w:rPr>
          <w:bCs/>
        </w:rPr>
        <w:t xml:space="preserve"> şi cu sediul procesual ales pentru comunicarea actelor de procedură în </w:t>
      </w:r>
      <w:r w:rsidR="008715FE">
        <w:rPr>
          <w:bCs/>
        </w:rPr>
        <w:t>...</w:t>
      </w:r>
      <w:r w:rsidRPr="008267C5">
        <w:rPr>
          <w:bCs/>
        </w:rPr>
        <w:t xml:space="preserve"> - la Cabinet de Avocat </w:t>
      </w:r>
      <w:r w:rsidR="008715FE">
        <w:rPr>
          <w:bCs/>
        </w:rPr>
        <w:t>...</w:t>
      </w:r>
      <w:r w:rsidRPr="008267C5">
        <w:rPr>
          <w:bCs/>
        </w:rPr>
        <w:t xml:space="preserve"> (persoană însărcinată cu primirea actelor: </w:t>
      </w:r>
      <w:r w:rsidR="008715FE">
        <w:rPr>
          <w:bCs/>
        </w:rPr>
        <w:t>...</w:t>
      </w:r>
      <w:r w:rsidRPr="008267C5">
        <w:rPr>
          <w:bCs/>
        </w:rPr>
        <w:t xml:space="preserve">) </w:t>
      </w:r>
      <w:r w:rsidRPr="008267C5">
        <w:t xml:space="preserve">şi </w:t>
      </w:r>
      <w:r w:rsidRPr="008267C5">
        <w:rPr>
          <w:b/>
        </w:rPr>
        <w:t>recursul incident</w:t>
      </w:r>
      <w:r w:rsidRPr="008267C5">
        <w:t xml:space="preserve"> </w:t>
      </w:r>
      <w:r w:rsidRPr="008267C5">
        <w:rPr>
          <w:bCs/>
        </w:rPr>
        <w:t xml:space="preserve">declarat de </w:t>
      </w:r>
      <w:r w:rsidRPr="008267C5">
        <w:rPr>
          <w:b/>
        </w:rPr>
        <w:t xml:space="preserve">recurentul-pârât Consiliul Local  al Municipiului </w:t>
      </w:r>
      <w:r w:rsidR="00930E96">
        <w:rPr>
          <w:b/>
        </w:rPr>
        <w:t>X</w:t>
      </w:r>
      <w:r w:rsidRPr="008267C5">
        <w:rPr>
          <w:bCs/>
        </w:rPr>
        <w:t xml:space="preserve">, cu sediul în </w:t>
      </w:r>
      <w:r w:rsidR="008715FE">
        <w:rPr>
          <w:bCs/>
        </w:rPr>
        <w:t>...</w:t>
      </w:r>
      <w:r w:rsidRPr="008267C5">
        <w:rPr>
          <w:bCs/>
        </w:rPr>
        <w:t xml:space="preserve"> şi cu sediul procesual ales pentru comunicarea actelor de procedură în </w:t>
      </w:r>
      <w:r w:rsidR="008715FE">
        <w:rPr>
          <w:bCs/>
        </w:rPr>
        <w:t>...</w:t>
      </w:r>
      <w:r w:rsidRPr="008267C5">
        <w:rPr>
          <w:bCs/>
        </w:rPr>
        <w:t xml:space="preserve"> - la SCA </w:t>
      </w:r>
      <w:r w:rsidR="008715FE">
        <w:rPr>
          <w:bCs/>
        </w:rPr>
        <w:t>...</w:t>
      </w:r>
      <w:r w:rsidRPr="008267C5">
        <w:rPr>
          <w:bCs/>
        </w:rPr>
        <w:t xml:space="preserve"> (persoană însărcinată cu primirea actelor: </w:t>
      </w:r>
      <w:r w:rsidR="0080360C">
        <w:rPr>
          <w:bCs/>
        </w:rPr>
        <w:t>...</w:t>
      </w:r>
      <w:r w:rsidRPr="008267C5">
        <w:rPr>
          <w:bCs/>
        </w:rPr>
        <w:t xml:space="preserve">), </w:t>
      </w:r>
      <w:r w:rsidRPr="008267C5">
        <w:t xml:space="preserve">împotriva Sentinţei civile nr. </w:t>
      </w:r>
      <w:r w:rsidR="006C703A">
        <w:t>...</w:t>
      </w:r>
      <w:r w:rsidRPr="008267C5">
        <w:t xml:space="preserve"> din </w:t>
      </w:r>
      <w:r w:rsidR="0080360C">
        <w:t>...</w:t>
      </w:r>
      <w:r w:rsidRPr="008267C5">
        <w:t xml:space="preserve">.2024, pronunţate de Tribunalul </w:t>
      </w:r>
      <w:r w:rsidR="00930E96">
        <w:t>X</w:t>
      </w:r>
      <w:r w:rsidRPr="008267C5">
        <w:t xml:space="preserve"> - Secţia Contencios administrativ şi fiscal în dosarul nr. </w:t>
      </w:r>
      <w:r w:rsidR="0080360C">
        <w:t>...</w:t>
      </w:r>
      <w:r w:rsidRPr="008267C5">
        <w:t>/</w:t>
      </w:r>
      <w:r w:rsidR="0080360C">
        <w:t>...</w:t>
      </w:r>
      <w:r w:rsidRPr="008267C5">
        <w:t>/2024, ca nefondate.</w:t>
      </w:r>
    </w:p>
    <w:p w:rsidRPr="008267C5" w:rsidR="00845195" w:rsidP="008267C5">
      <w:pPr>
        <w:ind w:firstLine="567"/>
        <w:jc w:val="both"/>
      </w:pPr>
      <w:r w:rsidRPr="008267C5">
        <w:t>Definitivă.</w:t>
      </w:r>
    </w:p>
    <w:p w:rsidRPr="008267C5" w:rsidR="00845195" w:rsidP="008267C5">
      <w:pPr>
        <w:ind w:firstLine="567"/>
        <w:jc w:val="both"/>
      </w:pPr>
      <w:r w:rsidRPr="008267C5">
        <w:t xml:space="preserve">Pronunţată astăzi, </w:t>
      </w:r>
      <w:r w:rsidR="009F11C0">
        <w:t>...</w:t>
      </w:r>
      <w:r w:rsidRPr="008267C5">
        <w:t>2025, în condiţiile art. 402 teza finală C.pr.civ.</w:t>
      </w:r>
    </w:p>
    <w:p w:rsidRPr="008267C5" w:rsidR="00845195" w:rsidP="008267C5">
      <w:pPr>
        <w:ind w:firstLine="567"/>
        <w:jc w:val="both"/>
      </w:pPr>
      <w:r w:rsidRPr="008267C5">
        <w:t xml:space="preserve">   </w:t>
      </w:r>
    </w:p>
    <w:p w:rsidRPr="008267C5" w:rsidR="00845195" w:rsidP="008267C5">
      <w:pPr>
        <w:ind w:firstLine="567"/>
        <w:jc w:val="both"/>
        <w:rPr>
          <w:b/>
        </w:rPr>
      </w:pPr>
      <w:r w:rsidRPr="008267C5">
        <w:rPr>
          <w:b/>
        </w:rPr>
        <w:t xml:space="preserve">      PREŞEDINTE,                     JUDECĂTOR,                         JUDECĂTOR,                </w:t>
      </w:r>
    </w:p>
    <w:p w:rsidRPr="008267C5" w:rsidR="00845195" w:rsidP="008267C5">
      <w:pPr>
        <w:ind w:firstLine="567"/>
        <w:jc w:val="both"/>
      </w:pPr>
      <w:r w:rsidRPr="008267C5">
        <w:t xml:space="preserve">  </w:t>
      </w:r>
      <w:r w:rsidR="009F11C0">
        <w:t xml:space="preserve">            </w:t>
      </w:r>
      <w:r w:rsidRPr="008267C5">
        <w:t xml:space="preserve"> </w:t>
      </w:r>
      <w:r w:rsidR="009F11C0">
        <w:t>...</w:t>
      </w:r>
      <w:r w:rsidRPr="008267C5">
        <w:t xml:space="preserve">     </w:t>
      </w:r>
      <w:r w:rsidR="009F11C0">
        <w:t xml:space="preserve">                                             ...                                          A0012</w:t>
      </w:r>
    </w:p>
    <w:p w:rsidRPr="008267C5" w:rsidR="00845195" w:rsidP="008267C5">
      <w:pPr>
        <w:ind w:firstLine="567"/>
        <w:jc w:val="both"/>
      </w:pPr>
    </w:p>
    <w:p w:rsidRPr="008267C5" w:rsidR="00845195" w:rsidP="008267C5">
      <w:pPr>
        <w:ind w:firstLine="567"/>
        <w:jc w:val="both"/>
      </w:pPr>
    </w:p>
    <w:p w:rsidRPr="008267C5" w:rsidR="00845195" w:rsidP="008267C5">
      <w:pPr>
        <w:ind w:firstLine="567"/>
        <w:jc w:val="both"/>
      </w:pPr>
    </w:p>
    <w:p w:rsidRPr="008267C5" w:rsidR="00845195" w:rsidP="008267C5">
      <w:pPr>
        <w:ind w:firstLine="567"/>
        <w:jc w:val="both"/>
        <w:rPr>
          <w:b/>
        </w:rPr>
      </w:pPr>
      <w:r w:rsidRPr="008267C5">
        <w:t xml:space="preserve">  </w:t>
      </w:r>
      <w:r w:rsidRPr="008267C5">
        <w:rPr>
          <w:b/>
        </w:rPr>
        <w:t xml:space="preserve">            </w:t>
        <w:tab/>
        <w:tab/>
        <w:tab/>
        <w:tab/>
        <w:tab/>
        <w:tab/>
        <w:tab/>
        <w:tab/>
        <w:t xml:space="preserve">                      GREFIER,</w:t>
      </w:r>
    </w:p>
    <w:p w:rsidRPr="008267C5" w:rsidR="00845195" w:rsidP="009F11C0">
      <w:pPr>
        <w:ind w:firstLine="567"/>
        <w:rPr>
          <w:highlight w:val="yellow"/>
        </w:rPr>
      </w:pPr>
      <w:r w:rsidRPr="008267C5">
        <w:t xml:space="preserve">          </w:t>
        <w:tab/>
        <w:tab/>
        <w:tab/>
        <w:tab/>
        <w:tab/>
        <w:tab/>
        <w:tab/>
        <w:tab/>
        <w:t xml:space="preserve">               </w:t>
      </w:r>
      <w:r w:rsidR="009F11C0">
        <w:t xml:space="preserve">                 </w:t>
      </w:r>
      <w:r w:rsidRPr="008267C5">
        <w:t xml:space="preserve"> </w:t>
      </w:r>
      <w:r w:rsidR="009F11C0">
        <w:t>...</w:t>
      </w:r>
    </w:p>
    <w:p w:rsidRPr="008267C5" w:rsidR="00845195" w:rsidP="008267C5">
      <w:pPr>
        <w:ind w:firstLine="567"/>
        <w:jc w:val="center"/>
        <w:rPr>
          <w:highlight w:val="yellow"/>
        </w:rPr>
      </w:pPr>
    </w:p>
    <w:p w:rsidRPr="008267C5" w:rsidR="00845195" w:rsidP="008267C5">
      <w:pPr>
        <w:ind w:firstLine="567"/>
        <w:jc w:val="center"/>
        <w:rPr>
          <w:highlight w:val="yellow"/>
        </w:rPr>
      </w:pPr>
    </w:p>
    <w:p w:rsidRPr="008267C5" w:rsidR="00845195" w:rsidP="008267C5">
      <w:pPr>
        <w:ind w:firstLine="567"/>
        <w:jc w:val="center"/>
        <w:rPr>
          <w:highlight w:val="yellow"/>
        </w:rPr>
      </w:pPr>
    </w:p>
    <w:p w:rsidRPr="008267C5" w:rsidR="00845195" w:rsidP="008267C5">
      <w:pPr>
        <w:ind w:firstLine="567"/>
        <w:jc w:val="center"/>
        <w:rPr>
          <w:highlight w:val="yellow"/>
        </w:rPr>
      </w:pPr>
    </w:p>
    <w:p w:rsidRPr="008267C5" w:rsidR="00845195" w:rsidP="008267C5">
      <w:pPr>
        <w:ind w:firstLine="567"/>
        <w:jc w:val="center"/>
        <w:rPr>
          <w:highlight w:val="yellow"/>
        </w:rPr>
      </w:pPr>
    </w:p>
    <w:p w:rsidRPr="008267C5" w:rsidR="00845195" w:rsidP="008267C5">
      <w:pPr>
        <w:ind w:firstLine="567"/>
        <w:jc w:val="center"/>
        <w:rPr>
          <w:highlight w:val="yellow"/>
        </w:rPr>
      </w:pPr>
    </w:p>
    <w:p w:rsidRPr="008267C5" w:rsidR="00845195" w:rsidP="008267C5">
      <w:pPr>
        <w:ind w:firstLine="567"/>
        <w:jc w:val="center"/>
        <w:rPr>
          <w:highlight w:val="yellow"/>
        </w:rPr>
      </w:pPr>
    </w:p>
    <w:p w:rsidRPr="008267C5" w:rsidR="00845195" w:rsidP="008267C5">
      <w:pPr>
        <w:ind w:firstLine="567"/>
        <w:jc w:val="center"/>
        <w:rPr>
          <w:highlight w:val="yellow"/>
        </w:rPr>
      </w:pPr>
    </w:p>
    <w:p w:rsidRPr="008267C5" w:rsidR="00845195" w:rsidP="008267C5">
      <w:pPr>
        <w:ind w:firstLine="567"/>
        <w:jc w:val="center"/>
        <w:rPr>
          <w:highlight w:val="yellow"/>
        </w:rPr>
      </w:pPr>
    </w:p>
    <w:p w:rsidRPr="008267C5" w:rsidR="00845195" w:rsidP="008267C5">
      <w:pPr>
        <w:ind w:firstLine="567"/>
        <w:jc w:val="center"/>
        <w:rPr>
          <w:highlight w:val="yellow"/>
        </w:rPr>
      </w:pPr>
    </w:p>
    <w:p w:rsidR="008267C5" w:rsidP="008267C5"/>
    <w:p w:rsidR="00845195" w:rsidP="008267C5">
      <w:pPr>
        <w:ind w:firstLine="567"/>
        <w:rPr>
          <w:sz w:val="20"/>
          <w:szCs w:val="20"/>
        </w:rPr>
      </w:pPr>
      <w:r w:rsidR="009F11C0">
        <w:rPr>
          <w:sz w:val="20"/>
          <w:szCs w:val="20"/>
        </w:rPr>
        <w:t>Red./Tehnored. Jud. A0012</w:t>
      </w:r>
      <w:r>
        <w:rPr>
          <w:sz w:val="20"/>
          <w:szCs w:val="20"/>
        </w:rPr>
        <w:t xml:space="preserve">/ </w:t>
      </w:r>
      <w:r>
        <w:rPr>
          <w:b/>
          <w:sz w:val="20"/>
          <w:szCs w:val="20"/>
        </w:rPr>
        <w:t>2</w:t>
      </w:r>
      <w:r>
        <w:rPr>
          <w:sz w:val="20"/>
          <w:szCs w:val="20"/>
        </w:rPr>
        <w:t xml:space="preserve"> exemplare originale /</w:t>
      </w:r>
      <w:r w:rsidR="009F11C0">
        <w:rPr>
          <w:sz w:val="20"/>
          <w:szCs w:val="20"/>
        </w:rPr>
        <w:t>...</w:t>
      </w:r>
      <w:r w:rsidR="001002A7">
        <w:rPr>
          <w:sz w:val="20"/>
          <w:szCs w:val="20"/>
        </w:rPr>
        <w:t>.2025</w:t>
      </w:r>
    </w:p>
    <w:p w:rsidR="00845195" w:rsidP="00845195">
      <w:pPr>
        <w:ind w:firstLine="567"/>
        <w:rPr>
          <w:sz w:val="20"/>
          <w:szCs w:val="20"/>
        </w:rPr>
      </w:pPr>
      <w:r>
        <w:rPr>
          <w:sz w:val="20"/>
          <w:szCs w:val="20"/>
        </w:rPr>
        <w:t xml:space="preserve">Judecător fond: </w:t>
      </w:r>
      <w:r w:rsidR="009F11C0">
        <w:rPr>
          <w:sz w:val="20"/>
          <w:szCs w:val="20"/>
        </w:rPr>
        <w:t>...</w:t>
      </w:r>
      <w:r>
        <w:rPr>
          <w:sz w:val="20"/>
          <w:szCs w:val="20"/>
        </w:rPr>
        <w:t xml:space="preserve">/ Tribunalul </w:t>
      </w:r>
      <w:r w:rsidR="00930E96">
        <w:rPr>
          <w:sz w:val="20"/>
          <w:szCs w:val="20"/>
        </w:rPr>
        <w:t>X</w:t>
      </w:r>
      <w:r>
        <w:rPr>
          <w:sz w:val="20"/>
          <w:szCs w:val="20"/>
        </w:rPr>
        <w:t xml:space="preserve"> - S CAF</w:t>
      </w:r>
    </w:p>
    <w:p w:rsidR="00845195" w:rsidP="00845195">
      <w:pPr>
        <w:ind w:firstLine="567"/>
        <w:jc w:val="right"/>
        <w:rPr>
          <w:sz w:val="20"/>
          <w:szCs w:val="20"/>
        </w:rPr>
      </w:pPr>
    </w:p>
    <w:p w:rsidR="00845195" w:rsidP="00845195">
      <w:pPr>
        <w:ind w:firstLine="567"/>
        <w:jc w:val="right"/>
        <w:rPr>
          <w:sz w:val="20"/>
          <w:szCs w:val="20"/>
        </w:rPr>
      </w:pPr>
    </w:p>
    <w:p w:rsidR="00845195" w:rsidP="00845195">
      <w:pPr>
        <w:ind w:firstLine="567"/>
        <w:rPr>
          <w:sz w:val="18"/>
          <w:szCs w:val="18"/>
        </w:rPr>
      </w:pPr>
      <w:r>
        <w:rPr>
          <w:sz w:val="18"/>
          <w:szCs w:val="18"/>
        </w:rPr>
        <w:t xml:space="preserve">                                                                                       Comunicare</w:t>
      </w:r>
      <w:r>
        <w:rPr>
          <w:sz w:val="18"/>
          <w:szCs w:val="18"/>
          <w:u w:val="single"/>
        </w:rPr>
        <w:t xml:space="preserve"> </w:t>
      </w:r>
      <w:r>
        <w:rPr>
          <w:b/>
          <w:sz w:val="18"/>
          <w:szCs w:val="18"/>
          <w:u w:val="single"/>
        </w:rPr>
        <w:t>2</w:t>
      </w:r>
      <w:r>
        <w:rPr>
          <w:sz w:val="18"/>
          <w:szCs w:val="18"/>
          <w:u w:val="single"/>
        </w:rPr>
        <w:t xml:space="preserve"> </w:t>
      </w:r>
      <w:r>
        <w:rPr>
          <w:sz w:val="18"/>
          <w:szCs w:val="18"/>
        </w:rPr>
        <w:t xml:space="preserve">ex. în copie (art.427 alin.1 C.pr.civ.) </w:t>
      </w:r>
    </w:p>
    <w:p w:rsidR="00575718" w:rsidP="00575718">
      <w:pPr>
        <w:ind w:firstLine="567"/>
        <w:rPr>
          <w:sz w:val="20"/>
          <w:szCs w:val="20"/>
        </w:rPr>
      </w:pPr>
      <w:r w:rsidR="00845195">
        <w:rPr>
          <w:sz w:val="20"/>
          <w:szCs w:val="20"/>
        </w:rPr>
        <w:t xml:space="preserve">                                                                              Dată comunicare: .................................</w:t>
      </w:r>
    </w:p>
    <w:sectPr w:rsidSect="00E667E3">
      <w:footerReference w:type="default" r:id="rId5"/>
      <w:pgSz w:w="11906" w:h="16838"/>
      <w:pgMar w:top="851" w:right="851"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Pr="00E667E3" w:rsidR="00E667E3" w:rsidP="00E667E3">
    <w:pPr>
      <w:pStyle w:val="Footer"/>
      <w:ind w:firstLine="567"/>
      <w:jc w:val="center"/>
      <w:rPr>
        <w:sz w:val="20"/>
        <w:szCs w:val="20"/>
      </w:rPr>
    </w:pPr>
    <w:r w:rsidRPr="00E667E3">
      <w:rPr>
        <w:sz w:val="20"/>
        <w:szCs w:val="20"/>
      </w:rPr>
      <w:t xml:space="preserve">Pagină </w:t>
    </w:r>
    <w:r w:rsidRPr="00E667E3">
      <w:rPr>
        <w:b/>
        <w:bCs/>
        <w:sz w:val="20"/>
        <w:szCs w:val="20"/>
      </w:rPr>
      <w:fldChar w:fldCharType="begin"/>
    </w:r>
    <w:r w:rsidRPr="00E667E3">
      <w:rPr>
        <w:b/>
        <w:bCs/>
        <w:sz w:val="20"/>
        <w:szCs w:val="20"/>
      </w:rPr>
      <w:instrText>PAGE</w:instrText>
    </w:r>
    <w:r w:rsidRPr="00E667E3">
      <w:rPr>
        <w:b/>
        <w:bCs/>
        <w:sz w:val="20"/>
        <w:szCs w:val="20"/>
      </w:rPr>
      <w:fldChar w:fldCharType="separate"/>
    </w:r>
    <w:r w:rsidR="000838B7">
      <w:rPr>
        <w:b/>
        <w:bCs/>
        <w:noProof/>
        <w:sz w:val="20"/>
        <w:szCs w:val="20"/>
      </w:rPr>
      <w:t>1</w:t>
    </w:r>
    <w:r w:rsidRPr="00E667E3">
      <w:rPr>
        <w:b/>
        <w:bCs/>
        <w:sz w:val="20"/>
        <w:szCs w:val="20"/>
      </w:rPr>
      <w:fldChar w:fldCharType="end"/>
    </w:r>
    <w:r w:rsidRPr="00E667E3">
      <w:rPr>
        <w:sz w:val="20"/>
        <w:szCs w:val="20"/>
      </w:rPr>
      <w:t xml:space="preserve"> din </w:t>
    </w:r>
    <w:r w:rsidRPr="00E667E3">
      <w:rPr>
        <w:b/>
        <w:bCs/>
        <w:sz w:val="20"/>
        <w:szCs w:val="20"/>
      </w:rPr>
      <w:fldChar w:fldCharType="begin"/>
    </w:r>
    <w:r w:rsidRPr="00E667E3">
      <w:rPr>
        <w:b/>
        <w:bCs/>
        <w:sz w:val="20"/>
        <w:szCs w:val="20"/>
      </w:rPr>
      <w:instrText>NUMPAGES</w:instrText>
    </w:r>
    <w:r w:rsidRPr="00E667E3">
      <w:rPr>
        <w:b/>
        <w:bCs/>
        <w:sz w:val="20"/>
        <w:szCs w:val="20"/>
      </w:rPr>
      <w:fldChar w:fldCharType="separate"/>
    </w:r>
    <w:r w:rsidR="000838B7">
      <w:rPr>
        <w:b/>
        <w:bCs/>
        <w:noProof/>
        <w:sz w:val="20"/>
        <w:szCs w:val="20"/>
      </w:rPr>
      <w:t>10</w:t>
    </w:r>
    <w:r w:rsidRPr="00E667E3">
      <w:rPr>
        <w:b/>
        <w:bCs/>
        <w:sz w:val="20"/>
        <w:szCs w:val="20"/>
      </w:rPr>
      <w:fldChar w:fldCharType="end"/>
    </w:r>
  </w:p>
  <w:p w:rsidR="00E667E3">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mirrorMargin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38B7"/>
    <w:rsid w:val="00084103"/>
    <w:rsid w:val="00090D1C"/>
    <w:rsid w:val="000A651B"/>
    <w:rsid w:val="001002A7"/>
    <w:rsid w:val="00133B84"/>
    <w:rsid w:val="00190DF5"/>
    <w:rsid w:val="001B241E"/>
    <w:rsid w:val="00230098"/>
    <w:rsid w:val="00236F8B"/>
    <w:rsid w:val="00310770"/>
    <w:rsid w:val="003676FC"/>
    <w:rsid w:val="004255BC"/>
    <w:rsid w:val="00434264"/>
    <w:rsid w:val="004362D5"/>
    <w:rsid w:val="00444EB7"/>
    <w:rsid w:val="00483536"/>
    <w:rsid w:val="00575718"/>
    <w:rsid w:val="00583395"/>
    <w:rsid w:val="005E0080"/>
    <w:rsid w:val="005E6D30"/>
    <w:rsid w:val="006526ED"/>
    <w:rsid w:val="006C703A"/>
    <w:rsid w:val="00727C83"/>
    <w:rsid w:val="0080360C"/>
    <w:rsid w:val="008267C5"/>
    <w:rsid w:val="00845195"/>
    <w:rsid w:val="008715FE"/>
    <w:rsid w:val="008D4396"/>
    <w:rsid w:val="008D6F98"/>
    <w:rsid w:val="00902C7A"/>
    <w:rsid w:val="00930E96"/>
    <w:rsid w:val="00943769"/>
    <w:rsid w:val="00982CB8"/>
    <w:rsid w:val="00983D3C"/>
    <w:rsid w:val="009847E9"/>
    <w:rsid w:val="009876B0"/>
    <w:rsid w:val="009B7961"/>
    <w:rsid w:val="009F11C0"/>
    <w:rsid w:val="00A56F73"/>
    <w:rsid w:val="00A74B82"/>
    <w:rsid w:val="00AB3A34"/>
    <w:rsid w:val="00BC4A1A"/>
    <w:rsid w:val="00BC5260"/>
    <w:rsid w:val="00BC6E42"/>
    <w:rsid w:val="00BD6CAC"/>
    <w:rsid w:val="00BF0E6F"/>
    <w:rsid w:val="00CE1D66"/>
    <w:rsid w:val="00E23B11"/>
    <w:rsid w:val="00E35A07"/>
    <w:rsid w:val="00E667E3"/>
    <w:rsid w:val="00EA48E2"/>
    <w:rsid w:val="00F035C2"/>
    <w:rsid w:val="00F96DFD"/>
  </w:rsids>
  <w:docVars>
    <w:docVar w:name="url" w:val="https://cabuc.just.ro/ecris_cdms/document_upload.aspx?id_document=200000005272730&amp;id_departament=58&amp;id_sesiune=5972556&amp;id_user=933&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HeaderChar"/>
    <w:rsid w:val="00E667E3"/>
    <w:pPr>
      <w:tabs>
        <w:tab w:val="center" w:pos="4536"/>
        <w:tab w:val="right" w:pos="9072"/>
      </w:tabs>
    </w:pPr>
  </w:style>
  <w:style w:type="character" w:customStyle="1" w:styleId="HeaderChar">
    <w:name w:val="Header Char"/>
    <w:link w:val="Header"/>
    <w:rsid w:val="00E667E3"/>
    <w:rPr>
      <w:sz w:val="24"/>
      <w:szCs w:val="24"/>
    </w:rPr>
  </w:style>
  <w:style w:type="paragraph" w:styleId="Footer">
    <w:name w:val="footer"/>
    <w:basedOn w:val="Normal"/>
    <w:link w:val="FooterChar"/>
    <w:uiPriority w:val="99"/>
    <w:rsid w:val="00E667E3"/>
    <w:pPr>
      <w:tabs>
        <w:tab w:val="center" w:pos="4536"/>
        <w:tab w:val="right" w:pos="9072"/>
      </w:tabs>
    </w:pPr>
  </w:style>
  <w:style w:type="character" w:customStyle="1" w:styleId="FooterChar">
    <w:name w:val="Footer Char"/>
    <w:link w:val="Footer"/>
    <w:uiPriority w:val="99"/>
    <w:rsid w:val="00E667E3"/>
    <w:rPr>
      <w:sz w:val="24"/>
      <w:szCs w:val="24"/>
    </w:rPr>
  </w:style>
  <w:style w:type="paragraph" w:styleId="NoSpacing">
    <w:name w:val="No Spacing"/>
    <w:uiPriority w:val="1"/>
    <w:qFormat/>
    <w:rsid w:val="00575718"/>
    <w:rPr>
      <w:rFonts w:ascii="Calibri" w:eastAsia="Calibri" w:hAnsi="Calibri" w:cs="Arial"/>
      <w:sz w:val="22"/>
      <w:szCs w:val="22"/>
      <w:lang w:val="en-GB" w:eastAsia="en-US" w:bidi="ar-SA"/>
    </w:rPr>
  </w:style>
  <w:style w:type="character" w:customStyle="1" w:styleId="alb">
    <w:name w:val="a_lb"/>
    <w:basedOn w:val="DefaultParagraphFont"/>
    <w:rsid w:val="0084519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CA5A2-D1DE-4063-8DB4-66C708E72241}">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15</ap:TotalTime>
  <ap:Pages>10</ap:Pages>
  <ap:Words>6142</ap:Words>
  <ap:Characters>35624</ap:Characters>
  <ap:Application>Microsoft Office Word</ap:Application>
  <ap:DocSecurity>0</ap:DocSecurity>
  <ap:Lines>296</ap:Lines>
  <ap:Paragraphs>83</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41683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