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rPr>
      </w:pPr>
      <w:r>
        <w:rPr>
          <w:b/>
        </w:rPr>
        <w:t>Hot. 22</w:t>
      </w:r>
    </w:p>
    <w:p>
      <w:pPr>
        <w:pStyle w:val="Normal"/>
        <w:jc w:val="center"/>
        <w:rPr>
          <w:b/>
        </w:rPr>
      </w:pPr>
      <w:r>
        <w:rPr>
          <w:b/>
        </w:rPr>
      </w:r>
    </w:p>
    <w:p>
      <w:pPr>
        <w:pStyle w:val="Normal"/>
        <w:jc w:val="center"/>
        <w:rPr>
          <w:b/>
        </w:rPr>
      </w:pPr>
      <w:r>
        <w:rPr>
          <w:b/>
        </w:rPr>
        <w:t>ROMÂNIA</w:t>
      </w:r>
    </w:p>
    <w:p>
      <w:pPr>
        <w:pStyle w:val="Normal"/>
        <w:jc w:val="center"/>
        <w:rPr>
          <w:b/>
        </w:rPr>
      </w:pPr>
      <w:r>
        <w:rPr>
          <w:b/>
        </w:rPr>
        <w:t>CURTEA DE APEL ...</w:t>
      </w:r>
    </w:p>
    <w:p>
      <w:pPr>
        <w:pStyle w:val="Normal"/>
        <w:jc w:val="center"/>
        <w:rPr>
          <w:b/>
        </w:rPr>
      </w:pPr>
      <w:r>
        <w:rPr>
          <w:b/>
        </w:rPr>
        <w:t>SECŢIA ...</w:t>
      </w:r>
    </w:p>
    <w:p>
      <w:pPr>
        <w:pStyle w:val="Normal"/>
        <w:jc w:val="center"/>
        <w:rPr/>
      </w:pPr>
      <w:r>
        <w:rPr/>
      </w:r>
    </w:p>
    <w:p>
      <w:pPr>
        <w:pStyle w:val="Normal"/>
        <w:rPr>
          <w:b/>
        </w:rPr>
      </w:pPr>
      <w:r>
        <w:rPr>
          <w:b/>
        </w:rPr>
        <w:t>Dosar nr. D1/a10</w:t>
      </w:r>
    </w:p>
    <w:p>
      <w:pPr>
        <w:pStyle w:val="Normal"/>
        <w:jc w:val="center"/>
        <w:rPr/>
      </w:pPr>
      <w:r>
        <w:rPr/>
      </w:r>
    </w:p>
    <w:p>
      <w:pPr>
        <w:pStyle w:val="Normal"/>
        <w:jc w:val="center"/>
        <w:rPr>
          <w:b/>
        </w:rPr>
      </w:pPr>
      <w:r>
        <w:rPr>
          <w:b/>
        </w:rPr>
        <w:t>Încheiere</w:t>
      </w:r>
    </w:p>
    <w:p>
      <w:pPr>
        <w:pStyle w:val="Normal"/>
        <w:jc w:val="center"/>
        <w:rPr>
          <w:b/>
        </w:rPr>
      </w:pPr>
      <w:r>
        <w:rPr>
          <w:b/>
        </w:rPr>
        <w:t>Şedinţa publică din ...</w:t>
      </w:r>
    </w:p>
    <w:p>
      <w:pPr>
        <w:pStyle w:val="Normal"/>
        <w:jc w:val="center"/>
        <w:rPr>
          <w:b/>
        </w:rPr>
      </w:pPr>
      <w:r>
        <w:rPr>
          <w:b/>
        </w:rPr>
      </w:r>
    </w:p>
    <w:p>
      <w:pPr>
        <w:pStyle w:val="Normal"/>
        <w:jc w:val="center"/>
        <w:rPr>
          <w:b/>
        </w:rPr>
      </w:pPr>
      <w:r>
        <w:rPr>
          <w:b/>
        </w:rPr>
        <w:t>Instanţa constituită din:</w:t>
      </w:r>
    </w:p>
    <w:p>
      <w:pPr>
        <w:pStyle w:val="Normal"/>
        <w:jc w:val="center"/>
        <w:rPr>
          <w:b/>
        </w:rPr>
      </w:pPr>
      <w:r>
        <w:rPr>
          <w:b/>
        </w:rPr>
        <w:t>Preşedinte A0013</w:t>
      </w:r>
    </w:p>
    <w:p>
      <w:pPr>
        <w:pStyle w:val="Normal"/>
        <w:jc w:val="center"/>
        <w:rPr>
          <w:b/>
        </w:rPr>
      </w:pPr>
      <w:r>
        <w:rPr>
          <w:b/>
        </w:rPr>
        <w:t>Judecător: ...</w:t>
      </w:r>
    </w:p>
    <w:p>
      <w:pPr>
        <w:pStyle w:val="Normal"/>
        <w:jc w:val="center"/>
        <w:rPr>
          <w:b/>
        </w:rPr>
      </w:pPr>
      <w:r>
        <w:rPr>
          <w:b/>
        </w:rPr>
        <w:t>Grefier ...</w:t>
      </w:r>
    </w:p>
    <w:p>
      <w:pPr>
        <w:pStyle w:val="Normal"/>
        <w:rPr>
          <w:sz w:val="16"/>
        </w:rPr>
      </w:pPr>
      <w:r>
        <w:rPr>
          <w:sz w:val="16"/>
        </w:rPr>
      </w:r>
    </w:p>
    <w:p>
      <w:pPr>
        <w:pStyle w:val="Normal"/>
        <w:ind w:firstLine="1134"/>
        <w:jc w:val="both"/>
        <w:rPr/>
      </w:pPr>
      <w:r>
        <w:rPr/>
        <w:t xml:space="preserve">Pe rol se află pronunţarea asupra cererii de anulare a amenzii judiciare formulate de petentul </w:t>
      </w:r>
      <w:r>
        <w:rPr>
          <w:b/>
        </w:rPr>
        <w:t>R1</w:t>
      </w:r>
      <w:r>
        <w:rPr/>
        <w:t xml:space="preserve"> împotriva Încheierii din data de IP1, pronunţate de Curtea de Apel ...., în dosar nr. D1.</w:t>
      </w:r>
    </w:p>
    <w:p>
      <w:pPr>
        <w:pStyle w:val="Normal"/>
        <w:ind w:firstLine="1134"/>
        <w:jc w:val="both"/>
        <w:rPr/>
      </w:pPr>
      <w:r>
        <w:rPr/>
        <w:t>S-a făcut referatul cauzei de către grefierul de şedinţă care învederează faptul că dezbaterile asupra fondului au avut loc în data de 05.10.2015, în şedinţă publică (</w:t>
      </w:r>
      <w:r>
        <w:rPr>
          <w:i/>
        </w:rPr>
        <w:t>cu participarea din partea Ministerului Public a doamnei procuror ...din cadrul Parchetului de pe lângă Înalta Curte de Casaţie şi Justiţie – D.N.A. – Serviciul Teritorial ...</w:t>
      </w:r>
      <w:r>
        <w:rPr/>
        <w:t>), susţinerile şi concluziile părţilor fiind consemnate în încheierea de şedinţă din acea zi, ce face parte integrantă din prezenta, când, din lipsă de timp pentru a delibera, s-a stabilit termen de pronunţare pentru astăzi, ....</w:t>
      </w:r>
    </w:p>
    <w:p>
      <w:pPr>
        <w:pStyle w:val="Normal"/>
        <w:tabs>
          <w:tab w:val="clear" w:pos="720"/>
          <w:tab w:val="left" w:leader="none" w:pos="0"/>
        </w:tabs>
        <w:ind w:right="-108" w:firstLine="1134"/>
        <w:jc w:val="both"/>
        <w:rPr>
          <w:b/>
        </w:rPr>
      </w:pPr>
      <w:r>
        <w:rPr>
          <w:b/>
        </w:rPr>
        <w:tab/>
      </w:r>
    </w:p>
    <w:p>
      <w:pPr>
        <w:pStyle w:val="Normal"/>
        <w:tabs>
          <w:tab w:val="clear" w:pos="720"/>
          <w:tab w:val="left" w:leader="none" w:pos="0"/>
        </w:tabs>
        <w:ind w:right="-108"/>
        <w:jc w:val="center"/>
        <w:rPr/>
      </w:pPr>
      <w:r>
        <w:rPr>
          <w:b/>
        </w:rPr>
        <w:t>CURTEA</w:t>
      </w:r>
      <w:r>
        <w:rPr/>
        <w:t>,</w:t>
      </w:r>
    </w:p>
    <w:p>
      <w:pPr>
        <w:pStyle w:val="Normal"/>
        <w:tabs>
          <w:tab w:val="clear" w:pos="720"/>
          <w:tab w:val="left" w:leader="none" w:pos="0"/>
        </w:tabs>
        <w:ind w:right="-108"/>
        <w:jc w:val="center"/>
        <w:rPr/>
      </w:pPr>
      <w:r>
        <w:rPr/>
      </w:r>
    </w:p>
    <w:p>
      <w:pPr>
        <w:pStyle w:val="Normal"/>
        <w:ind w:firstLine="708"/>
        <w:jc w:val="both"/>
        <w:rPr/>
      </w:pPr>
      <w:r>
        <w:rPr/>
        <w:t>Prin cererea înregistrată la data de 07.07.2015, pe rolul Curţii de Apel ... sub nr. D1/a10, petentul R1 a solicitat anularea amenzii judiciare în cuantum de 1000 lei, aplicată prin încheierea din data de IP1, pronunţată de Curtea de Apel ... în dosarul nr. D1.</w:t>
      </w:r>
    </w:p>
    <w:p>
      <w:pPr>
        <w:pStyle w:val="Normal"/>
        <w:jc w:val="both"/>
        <w:rPr/>
      </w:pPr>
      <w:r>
        <w:rPr/>
        <w:tab/>
        <w:t>În motivare, a arătat că între 18.04.2015 şi 22.04.2015, pe fondul unei boli de ...., tatăl său a suferit o semiparalizie, care a trebuit să fie supravegheată şi căreia a fost necesar să i se aplice un tratament în timp rapid, astfel încât efectele să fie eliminate sau reduse la minimum.</w:t>
      </w:r>
    </w:p>
    <w:p>
      <w:pPr>
        <w:pStyle w:val="Normal"/>
        <w:jc w:val="both"/>
        <w:rPr/>
      </w:pPr>
      <w:r>
        <w:rPr/>
        <w:tab/>
        <w:t>În susţinere, a ataşat înscrisuri medicale, respectiv scrisoare medicală, rezultat nr. ...5 din 20.04.2015, bilet de ieşire şi scrisoare medicală.</w:t>
      </w:r>
    </w:p>
    <w:p>
      <w:pPr>
        <w:pStyle w:val="Normal"/>
        <w:jc w:val="both"/>
        <w:rPr/>
      </w:pPr>
      <w:r>
        <w:rPr/>
        <w:tab/>
        <w:t>Prin memoriul depus, prin Serviciul de Registratură, la data de 05.10.2015, petentul a arătat că tatăl său a fost internat de urgenţă în spital, neexistând alte persoane care să se îngrijească de acesta.</w:t>
      </w:r>
    </w:p>
    <w:p>
      <w:pPr>
        <w:pStyle w:val="Normal"/>
        <w:jc w:val="both"/>
        <w:rPr/>
      </w:pPr>
      <w:r>
        <w:rPr/>
        <w:tab/>
        <w:t>Totodată, un alt apărător, care a lipsit la termenul de judecată respectiv nu a fost sancţionat prin aplicarea unei amenzi judiciare, punându-i-se în vedere să facă dovada lipsei la termenul de judecată respectiv.</w:t>
      </w:r>
    </w:p>
    <w:p>
      <w:pPr>
        <w:pStyle w:val="Normal"/>
        <w:jc w:val="both"/>
        <w:rPr/>
      </w:pPr>
      <w:r>
        <w:rPr/>
        <w:tab/>
        <w:t>Precizează că a trimis acte medicale justificative şi că a dat dovadă de bună – credinţă, pe parcursul procesului penal, prezentându-se la fiecare termen de judecată, atunci când nu a existat o imposibilitate obiectivă.</w:t>
      </w:r>
    </w:p>
    <w:p>
      <w:pPr>
        <w:pStyle w:val="Normal"/>
        <w:jc w:val="both"/>
        <w:rPr/>
      </w:pPr>
      <w:r>
        <w:rPr/>
      </w:r>
    </w:p>
    <w:p>
      <w:pPr>
        <w:pStyle w:val="Normal"/>
        <w:jc w:val="both"/>
        <w:rPr>
          <w:b/>
        </w:rPr>
      </w:pPr>
      <w:r>
        <w:rPr/>
        <w:tab/>
      </w:r>
      <w:r>
        <w:rPr>
          <w:b/>
        </w:rPr>
        <w:t>Analizând încheierea contestată, în ceea ce priveşte amenda aplicată, Curtea constată următoarele:</w:t>
      </w:r>
    </w:p>
    <w:p>
      <w:pPr>
        <w:pStyle w:val="Normal"/>
        <w:jc w:val="both"/>
        <w:rPr/>
      </w:pPr>
      <w:r>
        <w:rPr/>
        <w:tab/>
        <w:t>La termenul de judecată din data de IP1, în dosarul nr. D1 al Curții de Apel .., instanţa a dispus, în temeiul dispoziţiilor art. 283 alin. 3 Cod procedură penală, amendarea domnului avocat R1 cu suma de 1000 lei, întrucât nu a făcut dovada lipsei de la termenul din 21.04.2015.</w:t>
      </w:r>
    </w:p>
    <w:p>
      <w:pPr>
        <w:pStyle w:val="Normal"/>
        <w:jc w:val="both"/>
        <w:rPr/>
      </w:pPr>
      <w:r>
        <w:rPr/>
        <w:tab/>
        <w:t>S-a reţinut că la termenul de judecată din 21.04.2015, domnul avocat R1 a solicitat amânarea cauzei invocând motive medicale şi până la termenul de judecată din IP1 nu a depus la dosar acte care să dovedească imposibilitatea acestuia de a se prezenta la termenul arătat.</w:t>
      </w:r>
    </w:p>
    <w:p>
      <w:pPr>
        <w:pStyle w:val="Normal"/>
        <w:jc w:val="both"/>
        <w:rPr>
          <w:i/>
          <w:i/>
        </w:rPr>
      </w:pPr>
      <w:r>
        <w:rPr/>
        <w:tab/>
      </w:r>
      <w:r>
        <w:rPr>
          <w:i/>
        </w:rPr>
        <w:t>Conform art. 283 alin. 3 Cod procedură penală, lipsa nejustificată a avocatului ales sau desemnat din oficiu, fără a asigura substituirea, în condiţiile legii, sau refuzul nejustificat al acestuia de a asigura apărarea, în condiţiile în care s-a asigurat exercitarea deplină a tuturor drepturilor procesuale, se sancţionează cu amendă judiciară de la 500 la 5000 lei.</w:t>
      </w:r>
    </w:p>
    <w:p>
      <w:pPr>
        <w:pStyle w:val="Normal"/>
        <w:jc w:val="both"/>
        <w:rPr>
          <w:i/>
          <w:i/>
        </w:rPr>
      </w:pPr>
      <w:r>
        <w:rPr/>
        <w:tab/>
      </w:r>
      <w:r>
        <w:rPr>
          <w:i/>
        </w:rPr>
        <w:t>Art. 284 alin. 2 Cod procedură penală stabileşte că persoana amendată poate cere anularea ori reducerea amenzii. Cererea de anulare sau de reducere se poate face în termen de 10 zile de la comunicarea ordonanţei ori a încheierii de amendare. Alin. 3 al aceluiaşi articol stabileşte că în cazul în care persoana amendată justifică de ce nu şi-a îndeplinit obligaţia, judecătorul de drepturi şi libertăţi, judecătorul de cameră preliminară sau instanţa de judecată poate dispune anularea ori reducerea amenzii.</w:t>
      </w:r>
    </w:p>
    <w:p>
      <w:pPr>
        <w:pStyle w:val="Normal"/>
        <w:jc w:val="both"/>
        <w:rPr/>
      </w:pPr>
      <w:r>
        <w:rPr/>
        <w:tab/>
        <w:t>Din înscrisurile depuse de petent în susţinerea cererii de anulare a amenzii judiciare, rezultă că R1 a făcut dovada imposibilităţii de prezentare la termenul de judecată din 21.04.2015, respectiv faptul că tatăl său a avut nevoie de asistenţă, urmare a stării de sănătate.</w:t>
      </w:r>
    </w:p>
    <w:p>
      <w:pPr>
        <w:pStyle w:val="Normal"/>
        <w:ind w:firstLine="1134"/>
        <w:jc w:val="both"/>
        <w:rPr/>
      </w:pPr>
      <w:r>
        <w:rPr>
          <w:b/>
        </w:rPr>
        <w:t>Față de considerentele anterior expuse,</w:t>
      </w:r>
      <w:r>
        <w:rPr/>
        <w:t xml:space="preserve"> în baza art. 284 alin. 3 Cod de procedură penală, Curtea va admite cererea formulată de către </w:t>
      </w:r>
      <w:r>
        <w:rPr>
          <w:b/>
        </w:rPr>
        <w:t>petentul R1</w:t>
      </w:r>
      <w:r>
        <w:rPr/>
        <w:t xml:space="preserve"> de anulare a amenzii judiciare, în cuantum de 1.000 lei, aplicată prin Încheierea din data de IP1, pronunţată de Curtea de Apel ..., în dosar nr. D1.</w:t>
      </w:r>
    </w:p>
    <w:p>
      <w:pPr>
        <w:pStyle w:val="Normal"/>
        <w:ind w:firstLine="1134"/>
        <w:jc w:val="both"/>
        <w:rPr/>
      </w:pPr>
      <w:r>
        <w:rPr/>
        <w:t>Va dispune anularea amenzii judiciare în cuantum de 1000 lei, aplicată petentului R1 prin Încheierea din data de IP1, pronunţată de Curtea de Apel ... în dosarul nr. D1, şi va exonera petentul de la plata acesteia.</w:t>
      </w:r>
    </w:p>
    <w:p>
      <w:pPr>
        <w:pStyle w:val="Normal"/>
        <w:ind w:firstLine="1134"/>
        <w:jc w:val="both"/>
        <w:rPr/>
      </w:pPr>
      <w:r>
        <w:rPr/>
        <w:t>Față de soluția pronunțată, în baza art. 275 alin. 3 Cod de procedură penală, cheltuielile judiciare vor rămâne în sarcina statului.</w:t>
      </w:r>
    </w:p>
    <w:p>
      <w:pPr>
        <w:pStyle w:val="Normal"/>
        <w:tabs>
          <w:tab w:val="clear" w:pos="720"/>
          <w:tab w:val="left" w:leader="none" w:pos="0"/>
        </w:tabs>
        <w:ind w:right="-108"/>
        <w:jc w:val="center"/>
        <w:rPr>
          <w:b/>
        </w:rPr>
      </w:pPr>
      <w:r>
        <w:rPr>
          <w:b/>
        </w:rPr>
      </w:r>
    </w:p>
    <w:p>
      <w:pPr>
        <w:pStyle w:val="Normal"/>
        <w:tabs>
          <w:tab w:val="clear" w:pos="720"/>
          <w:tab w:val="left" w:leader="none" w:pos="0"/>
        </w:tabs>
        <w:ind w:right="-108"/>
        <w:jc w:val="center"/>
        <w:rPr>
          <w:b/>
        </w:rPr>
      </w:pPr>
      <w:r>
        <w:rPr>
          <w:b/>
        </w:rPr>
        <w:t>PENTRU ACESTE MOTIVE,</w:t>
      </w:r>
    </w:p>
    <w:p>
      <w:pPr>
        <w:pStyle w:val="Normal"/>
        <w:tabs>
          <w:tab w:val="clear" w:pos="720"/>
          <w:tab w:val="left" w:leader="none" w:pos="0"/>
        </w:tabs>
        <w:ind w:right="-108"/>
        <w:jc w:val="center"/>
        <w:rPr>
          <w:b/>
        </w:rPr>
      </w:pPr>
      <w:r>
        <w:rPr>
          <w:b/>
        </w:rPr>
        <w:t>ÎN NUMELE LEGII</w:t>
      </w:r>
    </w:p>
    <w:p>
      <w:pPr>
        <w:pStyle w:val="Normal"/>
        <w:tabs>
          <w:tab w:val="clear" w:pos="720"/>
          <w:tab w:val="left" w:leader="none" w:pos="0"/>
        </w:tabs>
        <w:ind w:right="-108"/>
        <w:jc w:val="center"/>
        <w:rPr>
          <w:b/>
        </w:rPr>
      </w:pPr>
      <w:r>
        <w:rPr>
          <w:b/>
        </w:rPr>
        <w:t>DISPUNE:</w:t>
      </w:r>
    </w:p>
    <w:p>
      <w:pPr>
        <w:pStyle w:val="Normal"/>
        <w:tabs>
          <w:tab w:val="clear" w:pos="720"/>
          <w:tab w:val="left" w:leader="none" w:pos="0"/>
        </w:tabs>
        <w:ind w:right="-108"/>
        <w:jc w:val="center"/>
        <w:rPr/>
      </w:pPr>
      <w:r>
        <w:rPr/>
      </w:r>
    </w:p>
    <w:p>
      <w:pPr>
        <w:pStyle w:val="Normal"/>
        <w:ind w:firstLine="708"/>
        <w:jc w:val="both"/>
        <w:rPr/>
      </w:pPr>
      <w:r>
        <w:rPr/>
        <w:t xml:space="preserve">În baza art. 284 alin. 3 Cod de procedură penală, admite cererea formulată de către </w:t>
      </w:r>
      <w:r>
        <w:rPr>
          <w:b/>
        </w:rPr>
        <w:t>petentul R1</w:t>
      </w:r>
      <w:r>
        <w:rPr/>
        <w:t xml:space="preserve"> de anulare a amenzii judiciare, în cuantum de 1.000 lei, aplicată prin Încheierea din data de IP1, pronunţată de Curtea de Apel ..., în dosar nr. D1.</w:t>
      </w:r>
    </w:p>
    <w:p>
      <w:pPr>
        <w:pStyle w:val="Normal"/>
        <w:ind w:firstLine="708"/>
        <w:jc w:val="both"/>
        <w:rPr/>
      </w:pPr>
      <w:r>
        <w:rPr>
          <w:b/>
        </w:rPr>
        <w:t>Dispune anularea amenzii judiciare</w:t>
      </w:r>
      <w:r>
        <w:rPr/>
        <w:t xml:space="preserve"> în cuantum de 1000 lei, aplicată petentului R1, </w:t>
      </w:r>
      <w:r>
        <w:rPr>
          <w:i/>
        </w:rPr>
        <w:t>fiul lui ...şi ..., născut la data de ..., CNP ...</w:t>
      </w:r>
      <w:r>
        <w:rPr/>
        <w:t xml:space="preserve">, prin Încheierea din data de IP1, pronunţată de Curtea de Apel ... în dosarul nr. D1, şi </w:t>
      </w:r>
      <w:r>
        <w:rPr>
          <w:b/>
        </w:rPr>
        <w:t>exonerează petentul de la plata acesteia</w:t>
      </w:r>
      <w:r>
        <w:rPr/>
        <w:t>.</w:t>
      </w:r>
    </w:p>
    <w:p>
      <w:pPr>
        <w:pStyle w:val="Normal"/>
        <w:ind w:firstLine="708"/>
        <w:jc w:val="both"/>
        <w:rPr/>
      </w:pPr>
      <w:r>
        <w:rPr/>
        <w:t>În baza art. 275 alin. 3 Cod de procedură penală, cheltuielile judiciare rămân în sarcina statului.</w:t>
      </w:r>
    </w:p>
    <w:p>
      <w:pPr>
        <w:pStyle w:val="Normal"/>
        <w:ind w:firstLine="708"/>
        <w:jc w:val="both"/>
        <w:rPr>
          <w:b/>
        </w:rPr>
      </w:pPr>
      <w:r>
        <w:rPr>
          <w:b/>
        </w:rPr>
        <w:t xml:space="preserve">Definitivă. </w:t>
      </w:r>
    </w:p>
    <w:p>
      <w:pPr>
        <w:pStyle w:val="Normal"/>
        <w:ind w:firstLine="708"/>
        <w:jc w:val="both"/>
        <w:rPr/>
      </w:pPr>
      <w:r>
        <w:rPr/>
        <w:t>Pronunţată în şedinţă publică, astăzi, ...</w:t>
      </w:r>
    </w:p>
    <w:p>
      <w:pPr>
        <w:pStyle w:val="Normal"/>
        <w:jc w:val="both"/>
        <w:rPr/>
      </w:pPr>
      <w:r>
        <w:rPr/>
      </w:r>
    </w:p>
    <w:p>
      <w:pPr>
        <w:pStyle w:val="Normal"/>
        <w:jc w:val="both"/>
        <w:rPr>
          <w:b/>
        </w:rPr>
      </w:pPr>
      <w:r>
        <w:rPr/>
        <w:tab/>
        <w:t xml:space="preserve">    </w:t>
      </w:r>
      <w:r>
        <w:rPr>
          <w:b/>
        </w:rPr>
        <w:t>Preşedinte,</w:t>
        <w:tab/>
        <w:tab/>
        <w:tab/>
        <w:tab/>
        <w:tab/>
        <w:tab/>
        <w:tab/>
        <w:tab/>
        <w:t xml:space="preserve">       Judecător,</w:t>
      </w:r>
    </w:p>
    <w:p>
      <w:pPr>
        <w:pStyle w:val="Normal"/>
        <w:jc w:val="both"/>
        <w:rPr>
          <w:b/>
        </w:rPr>
      </w:pPr>
      <w:r>
        <w:rPr>
          <w:b/>
        </w:rPr>
        <w:tab/>
        <w:t>A0013</w:t>
        <w:tab/>
        <w:tab/>
        <w:t xml:space="preserve">                             </w:t>
        <w:tab/>
        <w:tab/>
        <w:tab/>
        <w:tab/>
        <w:tab/>
        <w:t xml:space="preserve">   ....</w:t>
      </w:r>
    </w:p>
    <w:p>
      <w:pPr>
        <w:pStyle w:val="Normal"/>
        <w:jc w:val="both"/>
        <w:rPr>
          <w:b/>
        </w:rPr>
      </w:pPr>
      <w:r>
        <w:rPr>
          <w:b/>
        </w:rPr>
      </w:r>
    </w:p>
    <w:p>
      <w:pPr>
        <w:pStyle w:val="Normal"/>
        <w:jc w:val="center"/>
        <w:rPr>
          <w:b/>
        </w:rPr>
      </w:pPr>
      <w:r>
        <w:rPr>
          <w:b/>
        </w:rPr>
        <w:t>Grefier,</w:t>
      </w:r>
    </w:p>
    <w:p>
      <w:pPr>
        <w:pStyle w:val="Normal"/>
        <w:jc w:val="center"/>
        <w:rPr>
          <w:b/>
        </w:rPr>
      </w:pPr>
      <w:r>
        <w:rPr>
          <w:b/>
        </w:rPr>
        <w:t>...</w:t>
      </w:r>
    </w:p>
    <w:p>
      <w:pPr>
        <w:pStyle w:val="Normal"/>
        <w:jc w:val="both"/>
        <w:rPr>
          <w:b/>
        </w:rPr>
      </w:pPr>
      <w:r>
        <w:rPr>
          <w:b/>
        </w:rPr>
      </w:r>
    </w:p>
    <w:p>
      <w:pPr>
        <w:pStyle w:val="Normal"/>
        <w:jc w:val="both"/>
        <w:rPr>
          <w:sz w:val="16"/>
        </w:rPr>
      </w:pPr>
      <w:r>
        <w:rPr>
          <w:sz w:val="16"/>
        </w:rPr>
        <w:t>Red. A0013.</w:t>
      </w:r>
    </w:p>
    <w:p>
      <w:pPr>
        <w:pStyle w:val="Normal"/>
        <w:jc w:val="both"/>
        <w:rPr>
          <w:sz w:val="16"/>
        </w:rPr>
      </w:pPr>
      <w:r>
        <w:rPr>
          <w:sz w:val="16"/>
        </w:rPr>
        <w:t>Tehnored...</w:t>
      </w:r>
    </w:p>
    <w:p>
      <w:pPr>
        <w:pStyle w:val="Normal"/>
        <w:jc w:val="both"/>
        <w:rPr>
          <w:sz w:val="16"/>
        </w:rPr>
      </w:pPr>
      <w:r>
        <w:rPr>
          <w:sz w:val="16"/>
        </w:rPr>
        <w:t>...</w:t>
      </w:r>
    </w:p>
    <w:sectPr>
      <w:footerReference w:type="default" r:id="rId2"/>
      <w:type w:val="nextPage"/>
      <w:pgSz w:w="11906" w:h="16838"/>
      <w:pgMar w:top="851" w:right="851" w:bottom="851" w:left="1985"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Garamond">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2</w:t>
    </w:r>
    <w:r>
      <w:rPr/>
      <w:fldChar w:fldCharType="end"/>
    </w:r>
  </w:p>
  <w:p>
    <w:pPr>
      <w:pStyle w:val="Footer"/>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26.48.53:80/ecris_cdms/document_upload.aspx?id_document=4500000000529466&amp;id_departament=26&amp;id_sesiune=264960&amp;id_user=168&amp;id_institutie=45&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paragraph" w:styleId="Heading2">
    <w:name w:val="Heading 2"/>
    <w:basedOn w:val="Normal"/>
    <w:next w:val="Normal"/>
    <w:qFormat/>
    <w:pPr>
      <w:keepNext w:val="true"/>
      <w:numPr>
        <w:ilvl w:val="0"/>
        <w:numId w:val="0"/>
      </w:numPr>
      <w:jc w:val="center"/>
      <w:outlineLvl w:val="1"/>
    </w:pPr>
    <w:rPr>
      <w:rFonts w:ascii="Garamond" w:hAnsi="Garamond"/>
      <w:b/>
    </w:rPr>
  </w:style>
  <w:style w:type="paragraph" w:styleId="Heading3">
    <w:name w:val="Heading 3"/>
    <w:basedOn w:val="Normal"/>
    <w:next w:val="Normal"/>
    <w:qFormat/>
    <w:pPr>
      <w:keepNext w:val="true"/>
      <w:numPr>
        <w:ilvl w:val="0"/>
        <w:numId w:val="0"/>
      </w:numPr>
      <w:jc w:val="center"/>
      <w:outlineLvl w:val="2"/>
    </w:pPr>
    <w:rPr>
      <w:rFonts w:ascii="Garamond" w:hAnsi="Garamond"/>
      <w:sz w:val="36"/>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16</ap:TotalTime>
  <ap:Application>LibreOffice/24.2.7.2$Linux_X86_64 LibreOffice_project/420$Build-2</ap:Application>
  <ap:AppVersion>15.0000</ap:AppVersion>
  <ap:Pages>3</ap:Pages>
  <ap:Words>885</ap:Words>
  <ap:Characters>4617</ap:Characters>
  <ap:CharactersWithSpaces>5531</ap:CharactersWithSpaces>
  <ap:Paragraphs>46</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lastPrinted>2015-10-30T11:28:00.0000000Z</lastPrinted>
  <revision/>
  <dc:subject/>
  <dc:title/>
  <keywords/>
  <category/>
  <contentStatus/>
  <dc:identifier/>
  <version/>
</coreProperties>
</file>