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D5FFF" w14:paraId="4514208A" w14:textId="77777777">
      <w:pPr>
        <w:jc w:val="center"/>
      </w:pPr>
      <w:r>
        <w:t>R O M Â N I A</w:t>
      </w:r>
    </w:p>
    <w:p w:rsidR="00ED5FFF" w14:paraId="303118B0" w14:textId="71666F21">
      <w:pPr>
        <w:jc w:val="center"/>
      </w:pPr>
      <w:r>
        <w:t xml:space="preserve">CURTEA DE APEL </w:t>
      </w:r>
      <w:r w:rsidR="00A5513C">
        <w:t xml:space="preserve">............ </w:t>
      </w:r>
    </w:p>
    <w:p w:rsidR="00ED5FFF" w14:paraId="668CE782" w14:textId="28755D5C">
      <w:pPr>
        <w:jc w:val="center"/>
      </w:pPr>
      <w:r>
        <w:t xml:space="preserve">SECŢIA </w:t>
      </w:r>
      <w:r w:rsidR="00A5513C">
        <w:t xml:space="preserve">............ </w:t>
      </w:r>
    </w:p>
    <w:p w:rsidR="00ED5FFF" w14:paraId="469A62AF" w14:textId="4F904192">
      <w:pPr>
        <w:jc w:val="center"/>
      </w:pPr>
      <w:r>
        <w:t xml:space="preserve">Complet </w:t>
      </w:r>
      <w:r w:rsidR="00A5513C">
        <w:t xml:space="preserve">............ </w:t>
      </w:r>
    </w:p>
    <w:p w:rsidR="00ED5FFF" w14:paraId="2BC8A21A" w14:textId="77777777">
      <w:pPr>
        <w:jc w:val="center"/>
      </w:pPr>
      <w:r>
        <w:t>Prezentul document este supus reglementărilor aflate sub incidenţa Regulamentului U.E. 2016/679</w:t>
      </w:r>
    </w:p>
    <w:p w:rsidR="00ED5FFF" w14:paraId="4AFF80B5" w14:textId="77777777">
      <w:pPr>
        <w:tabs>
          <w:tab w:val="left" w:pos="1620"/>
          <w:tab w:val="left" w:pos="1995"/>
        </w:tabs>
        <w:jc w:val="both"/>
      </w:pPr>
    </w:p>
    <w:p w:rsidR="00ED5FFF" w14:paraId="46F9819C" w14:textId="77777777">
      <w:pPr>
        <w:tabs>
          <w:tab w:val="left" w:pos="1620"/>
          <w:tab w:val="left" w:pos="1995"/>
        </w:tabs>
        <w:jc w:val="both"/>
      </w:pPr>
    </w:p>
    <w:p w:rsidR="00ED5FFF" w14:paraId="6CEE200D" w14:textId="6452A5F1">
      <w:r>
        <w:t>Cod ECLI    ECLI:RO:</w:t>
      </w:r>
      <w:r w:rsidR="00A5513C">
        <w:t xml:space="preserve">............ </w:t>
      </w:r>
    </w:p>
    <w:p w:rsidR="00ED5FFF" w14:paraId="06507F86" w14:textId="73D44BB5">
      <w:pPr>
        <w:rPr>
          <w:b/>
        </w:rPr>
      </w:pPr>
      <w:r>
        <w:rPr>
          <w:b/>
        </w:rPr>
        <w:t xml:space="preserve">Dosar nr. </w:t>
      </w:r>
      <w:r w:rsidR="00A5513C">
        <w:rPr>
          <w:b/>
        </w:rPr>
        <w:t>12</w:t>
      </w:r>
    </w:p>
    <w:p w:rsidR="00ED5FFF" w14:paraId="5938E144" w14:textId="77777777"/>
    <w:p w:rsidR="00ED5FFF" w14:paraId="7626C045" w14:textId="56A3F1AD">
      <w:pPr>
        <w:jc w:val="center"/>
        <w:rPr>
          <w:b/>
        </w:rPr>
      </w:pPr>
      <w:r>
        <w:rPr>
          <w:b/>
        </w:rPr>
        <w:t xml:space="preserve">DECIZIA CIVILĂ Nr. </w:t>
      </w:r>
      <w:r w:rsidR="00A5513C">
        <w:rPr>
          <w:b/>
        </w:rPr>
        <w:t>12</w:t>
      </w:r>
    </w:p>
    <w:p w:rsidR="00ED5FFF" w14:paraId="47AB1DB6" w14:textId="40233CDE">
      <w:pPr>
        <w:jc w:val="center"/>
      </w:pPr>
      <w:r>
        <w:t xml:space="preserve">Şedinţa publică din data de </w:t>
      </w:r>
      <w:r w:rsidR="00A5513C">
        <w:t xml:space="preserve">............ </w:t>
      </w:r>
    </w:p>
    <w:p w:rsidR="00ED5FFF" w14:paraId="0A9FB8B2" w14:textId="77777777">
      <w:pPr>
        <w:jc w:val="center"/>
      </w:pPr>
      <w:r>
        <w:t>Instanţa constituită din:</w:t>
      </w:r>
    </w:p>
    <w:p w:rsidR="00ED5FFF" w14:paraId="2C7D3585" w14:textId="195B081A">
      <w:pPr>
        <w:jc w:val="center"/>
        <w:rPr>
          <w:b/>
        </w:rPr>
      </w:pPr>
      <w:r>
        <w:rPr>
          <w:b/>
        </w:rPr>
        <w:t xml:space="preserve">PREŞEDINTE: </w:t>
      </w:r>
      <w:r w:rsidR="00A5513C">
        <w:rPr>
          <w:b/>
        </w:rPr>
        <w:t>A0019</w:t>
      </w:r>
    </w:p>
    <w:p w:rsidR="00ED5FFF" w14:paraId="5A7AF346" w14:textId="4FE0EFB2">
      <w:pPr>
        <w:jc w:val="center"/>
        <w:rPr>
          <w:b/>
        </w:rPr>
      </w:pPr>
      <w:r>
        <w:rPr>
          <w:b/>
        </w:rPr>
        <w:t xml:space="preserve">JUDECĂTOR: </w:t>
      </w:r>
      <w:r w:rsidR="00A5513C">
        <w:rPr>
          <w:b/>
        </w:rPr>
        <w:t xml:space="preserve">........... </w:t>
      </w:r>
    </w:p>
    <w:p w:rsidR="00ED5FFF" w14:paraId="39D3BAF8" w14:textId="5DE3AAC4">
      <w:pPr>
        <w:jc w:val="center"/>
        <w:rPr>
          <w:b/>
        </w:rPr>
      </w:pPr>
      <w:r>
        <w:rPr>
          <w:b/>
        </w:rPr>
        <w:t xml:space="preserve">GREFIER: </w:t>
      </w:r>
      <w:r w:rsidR="00A5513C">
        <w:rPr>
          <w:b/>
        </w:rPr>
        <w:t xml:space="preserve">........... </w:t>
      </w:r>
    </w:p>
    <w:p w:rsidR="00ED5FFF" w14:paraId="0AB87D36" w14:textId="77777777">
      <w:pPr>
        <w:jc w:val="center"/>
      </w:pPr>
    </w:p>
    <w:p w:rsidR="00ED5FFF" w14:paraId="62A82E2C" w14:textId="46A3C5C9">
      <w:pPr>
        <w:ind w:firstLine="720"/>
        <w:jc w:val="both"/>
        <w:rPr>
          <w:b/>
        </w:rPr>
      </w:pPr>
      <w:r>
        <w:t xml:space="preserve">S-au luat în examinare, în vederea pronunţării, apelurile declarate de reclamanţii </w:t>
      </w:r>
      <w:r w:rsidR="00A5513C">
        <w:rPr>
          <w:b/>
        </w:rPr>
        <w:t>1</w:t>
      </w:r>
      <w:r>
        <w:rPr>
          <w:b/>
        </w:rPr>
        <w:t xml:space="preserve">, </w:t>
      </w:r>
      <w:r w:rsidR="00A5513C">
        <w:rPr>
          <w:b/>
        </w:rPr>
        <w:t>2</w:t>
      </w:r>
      <w:r>
        <w:rPr>
          <w:b/>
        </w:rPr>
        <w:t xml:space="preserve">, </w:t>
      </w:r>
      <w:r w:rsidR="00A5513C">
        <w:rPr>
          <w:b/>
        </w:rPr>
        <w:t>3</w:t>
      </w:r>
      <w:r>
        <w:rPr>
          <w:b/>
        </w:rPr>
        <w:t xml:space="preserve">, </w:t>
      </w:r>
      <w:r w:rsidR="00A5513C">
        <w:rPr>
          <w:b/>
        </w:rPr>
        <w:t>4</w:t>
      </w:r>
      <w:r>
        <w:rPr>
          <w:b/>
        </w:rPr>
        <w:t xml:space="preserve">, </w:t>
      </w:r>
      <w:r w:rsidR="00A5513C">
        <w:rPr>
          <w:b/>
        </w:rPr>
        <w:t>5</w:t>
      </w:r>
      <w:r>
        <w:rPr>
          <w:b/>
        </w:rPr>
        <w:t xml:space="preserve">, </w:t>
      </w:r>
      <w:r w:rsidR="00A5513C">
        <w:rPr>
          <w:b/>
        </w:rPr>
        <w:t>6</w:t>
      </w:r>
      <w:r>
        <w:rPr>
          <w:b/>
        </w:rPr>
        <w:t xml:space="preserve">, </w:t>
      </w:r>
      <w:r w:rsidR="00A5513C">
        <w:rPr>
          <w:b/>
        </w:rPr>
        <w:t>7</w:t>
      </w:r>
      <w:r>
        <w:rPr>
          <w:b/>
        </w:rPr>
        <w:t xml:space="preserve">, </w:t>
      </w:r>
      <w:r w:rsidR="00A5513C">
        <w:rPr>
          <w:b/>
        </w:rPr>
        <w:t>8</w:t>
      </w:r>
      <w:r>
        <w:rPr>
          <w:b/>
        </w:rPr>
        <w:t xml:space="preserve"> şi </w:t>
      </w:r>
      <w:r w:rsidR="00A5513C">
        <w:rPr>
          <w:b/>
        </w:rPr>
        <w:t xml:space="preserve">9 </w:t>
      </w:r>
      <w:r>
        <w:t xml:space="preserve">împotriva sentinţei civile nr. </w:t>
      </w:r>
      <w:r w:rsidR="00A5513C">
        <w:t xml:space="preserve">...... </w:t>
      </w:r>
      <w:r>
        <w:t xml:space="preserve">din </w:t>
      </w:r>
      <w:r w:rsidR="00A5513C">
        <w:t xml:space="preserve">............... </w:t>
      </w:r>
      <w:r>
        <w:t xml:space="preserve"> pronunţată de Tribunalul </w:t>
      </w:r>
      <w:r w:rsidR="00A5513C">
        <w:t xml:space="preserve">............ </w:t>
      </w:r>
      <w:r>
        <w:t xml:space="preserve"> în dosar nr. </w:t>
      </w:r>
      <w:r w:rsidR="00A5513C">
        <w:t>12</w:t>
      </w:r>
      <w:r>
        <w:t xml:space="preserve">, privind şi pe intimaţii </w:t>
      </w:r>
      <w:r>
        <w:rPr>
          <w:b/>
        </w:rPr>
        <w:t xml:space="preserve">DIRECŢIA DE INVESTIGARE A INFRACŢIUNILOR DE CRIMINALITATE ORGANIZATĂ ŞI TERORISM, MINISTERUL PUBLIC – Parchetul de pe lângă ÎCCJ şi PARCHETUL DE PE LÂNGĂ CURTEA DE APEL </w:t>
      </w:r>
      <w:r w:rsidR="00A5513C">
        <w:rPr>
          <w:b/>
        </w:rPr>
        <w:t xml:space="preserve">............... </w:t>
      </w:r>
      <w:r>
        <w:rPr>
          <w:b/>
        </w:rPr>
        <w:t>,</w:t>
      </w:r>
      <w:r>
        <w:t xml:space="preserve"> având ca obiect drepturi salariale ale personalului din justiţie.</w:t>
      </w:r>
    </w:p>
    <w:p w:rsidR="00ED5FFF" w14:paraId="6900389B" w14:textId="00A8A670">
      <w:pPr>
        <w:ind w:firstLine="720"/>
        <w:jc w:val="both"/>
      </w:pPr>
      <w:r>
        <w:t xml:space="preserve">Desfăşurarea şedinţei de judecată s-a consemnat în încheierea şedinţei publice din data de </w:t>
      </w:r>
      <w:r w:rsidR="00A5513C">
        <w:t xml:space="preserve">............... </w:t>
      </w:r>
      <w:r>
        <w:t xml:space="preserve">când s-a amânat pronunţarea pentru data de </w:t>
      </w:r>
      <w:r w:rsidR="00A5513C">
        <w:t xml:space="preserve">............... </w:t>
      </w:r>
      <w:r>
        <w:t>, iar apoi pentru azi, încheierile prin care s-a dispus amânarea pronunţării făcând parte integrantă din prezenta decizie.</w:t>
      </w:r>
    </w:p>
    <w:p w:rsidR="00ED5FFF" w14:paraId="48887E5B" w14:textId="77777777">
      <w:pPr>
        <w:ind w:firstLine="720"/>
        <w:jc w:val="both"/>
      </w:pPr>
    </w:p>
    <w:p w:rsidR="00ED5FFF" w14:paraId="3764400D" w14:textId="77777777">
      <w:pPr>
        <w:jc w:val="center"/>
        <w:rPr>
          <w:b/>
        </w:rPr>
      </w:pPr>
      <w:r>
        <w:rPr>
          <w:b/>
        </w:rPr>
        <w:t>C U R T E A</w:t>
      </w:r>
    </w:p>
    <w:p w:rsidR="00ED5FFF" w14:paraId="1BFA0825" w14:textId="77777777">
      <w:pPr>
        <w:jc w:val="center"/>
        <w:rPr>
          <w:b/>
        </w:rPr>
      </w:pPr>
    </w:p>
    <w:p w:rsidR="00ED5FFF" w14:paraId="6217299D" w14:textId="77777777">
      <w:pPr>
        <w:jc w:val="both"/>
        <w:rPr>
          <w:b/>
        </w:rPr>
      </w:pPr>
      <w:r>
        <w:rPr>
          <w:b/>
        </w:rPr>
        <w:tab/>
        <w:t>Deliberând asupra apelului civil dedus judecăţii, constată următoarele:</w:t>
      </w:r>
    </w:p>
    <w:p w:rsidR="00ED5FFF" w14:paraId="2DA45263" w14:textId="351F6332">
      <w:pPr>
        <w:ind w:right="16" w:firstLine="708"/>
        <w:jc w:val="both"/>
      </w:pPr>
      <w:r>
        <w:t xml:space="preserve">Prin </w:t>
      </w:r>
      <w:r>
        <w:rPr>
          <w:i/>
        </w:rPr>
        <w:t>cererea formulată</w:t>
      </w:r>
      <w:r>
        <w:t xml:space="preserve">, reclamanții </w:t>
      </w:r>
      <w:r w:rsidR="00A5513C">
        <w:t>1</w:t>
      </w:r>
      <w:r>
        <w:t xml:space="preserve">, </w:t>
      </w:r>
      <w:r w:rsidR="00A5513C">
        <w:t>2</w:t>
      </w:r>
      <w:r>
        <w:t xml:space="preserve">, </w:t>
      </w:r>
      <w:r w:rsidR="00A5513C">
        <w:t>3</w:t>
      </w:r>
      <w:r>
        <w:t xml:space="preserve">, </w:t>
      </w:r>
      <w:r w:rsidR="00A5513C">
        <w:t>4</w:t>
      </w:r>
      <w:r>
        <w:t xml:space="preserve">, </w:t>
      </w:r>
      <w:r w:rsidR="00A5513C">
        <w:t>5</w:t>
      </w:r>
      <w:r>
        <w:t xml:space="preserve">, </w:t>
      </w:r>
      <w:r w:rsidR="00A5513C">
        <w:t>6</w:t>
      </w:r>
      <w:r>
        <w:t xml:space="preserve">, </w:t>
      </w:r>
      <w:r w:rsidR="00A5513C">
        <w:t>7</w:t>
      </w:r>
      <w:r>
        <w:t xml:space="preserve">, </w:t>
      </w:r>
      <w:r w:rsidR="00A5513C">
        <w:t>8</w:t>
      </w:r>
      <w:r>
        <w:t xml:space="preserve">, </w:t>
      </w:r>
      <w:r w:rsidR="00A5513C">
        <w:t xml:space="preserve">9 </w:t>
      </w:r>
      <w:r>
        <w:t xml:space="preserve">au chemat în judecată pârâții Ministerul Public - Parchetul de pe lângă Înalta Curte de Casate si Justiţie si Parchetul de pe lângă Curtea de Apel </w:t>
      </w:r>
      <w:r w:rsidR="00A5513C">
        <w:t xml:space="preserve">............... </w:t>
      </w:r>
      <w:r>
        <w:t xml:space="preserve">, Direcția de Investigare a Inacțiunilor de Criminalitate Organizată si Terorism  </w:t>
      </w:r>
      <w:r w:rsidR="00A5513C">
        <w:t xml:space="preserve">........... </w:t>
      </w:r>
      <w:r>
        <w:t xml:space="preserve"> şi cu citarea obligatorie a Consiliului Național pentru Combaterea Discriminării </w:t>
      </w:r>
      <w:r w:rsidR="00A5513C">
        <w:t xml:space="preserve">........... </w:t>
      </w:r>
      <w:r>
        <w:t xml:space="preserve"> solicitând obligarea pârâților la recalcularea și plata efectivă a drepturilor salariale ale reclamanților, începând cu data de 16.10.2018 și în continuare pentru viitor, inclusiv după aplicarea etapizată a Legii 153/2017, cu includerea unui procent de 2% pe zi din indemnizațiile de încadrare brută lunară, reprezentând echivalentul diurnei stabilite potrivit art. 13 alin. I lit. a) din OUG 27 din 2006, începând cu data de 16.10.2018 și în continuare pentru viitor.</w:t>
      </w:r>
    </w:p>
    <w:p w:rsidR="00ED5FFF" w14:paraId="13F97E74" w14:textId="77777777">
      <w:pPr>
        <w:jc w:val="both"/>
        <w:rPr>
          <w:i/>
        </w:rPr>
      </w:pPr>
    </w:p>
    <w:p w:rsidR="00ED5FFF" w14:paraId="6574DD7D" w14:textId="5D2C9897">
      <w:pPr>
        <w:ind w:firstLine="708"/>
        <w:jc w:val="both"/>
        <w:rPr>
          <w:color w:val="000000"/>
        </w:rPr>
      </w:pPr>
      <w:r>
        <w:rPr>
          <w:i/>
        </w:rPr>
        <w:t xml:space="preserve">Prin sentinţa civilă nr. </w:t>
      </w:r>
      <w:r w:rsidR="00A5513C">
        <w:rPr>
          <w:i/>
        </w:rPr>
        <w:t xml:space="preserve">...... </w:t>
      </w:r>
      <w:r>
        <w:rPr>
          <w:i/>
        </w:rPr>
        <w:t xml:space="preserve">din </w:t>
      </w:r>
      <w:r w:rsidR="00A5513C">
        <w:rPr>
          <w:i/>
        </w:rPr>
        <w:t xml:space="preserve">............... </w:t>
      </w:r>
      <w:r>
        <w:rPr>
          <w:i/>
        </w:rPr>
        <w:t xml:space="preserve"> a Tribunalului </w:t>
      </w:r>
      <w:r w:rsidR="00A5513C">
        <w:rPr>
          <w:i/>
        </w:rPr>
        <w:t xml:space="preserve">............ </w:t>
      </w:r>
      <w:r>
        <w:rPr>
          <w:i/>
        </w:rPr>
        <w:t xml:space="preserve">, pronunţată în dosar nr. </w:t>
      </w:r>
      <w:r w:rsidR="00A5513C">
        <w:rPr>
          <w:i/>
        </w:rPr>
        <w:t>12</w:t>
      </w:r>
      <w:r>
        <w:rPr>
          <w:i/>
        </w:rPr>
        <w:t xml:space="preserve">, </w:t>
      </w:r>
      <w:r>
        <w:t>a fost r</w:t>
      </w:r>
      <w:r>
        <w:rPr>
          <w:color w:val="000000"/>
        </w:rPr>
        <w:t xml:space="preserve">espinsă cererea de intervenţie voluntară principală ca inadmisibilă. </w:t>
      </w:r>
    </w:p>
    <w:p w:rsidR="00ED5FFF" w14:paraId="4F61EAD6" w14:textId="77777777">
      <w:pPr>
        <w:ind w:firstLine="708"/>
        <w:jc w:val="both"/>
        <w:rPr>
          <w:color w:val="000000"/>
        </w:rPr>
      </w:pPr>
      <w:r>
        <w:rPr>
          <w:color w:val="000000"/>
        </w:rPr>
        <w:t xml:space="preserve">A fost respinsă excepţia lipsei calităţii procesuale pasive ca neîntemeiată. </w:t>
      </w:r>
    </w:p>
    <w:p w:rsidR="00ED5FFF" w14:paraId="7A7AF931" w14:textId="77777777">
      <w:pPr>
        <w:ind w:firstLine="708"/>
        <w:jc w:val="both"/>
        <w:rPr>
          <w:color w:val="000000"/>
        </w:rPr>
      </w:pPr>
      <w:r>
        <w:rPr>
          <w:color w:val="000000"/>
        </w:rPr>
        <w:t>A fost admisă excepţia prescripţiei dreptului material la acţiune pentru pretenţiile anterioare datei de 4.04.2018 şi a fost respinsă ca prescrisă acţiunea formulată cu privire la drepturile salariale pentru această perioadă.</w:t>
      </w:r>
    </w:p>
    <w:p w:rsidR="00ED5FFF" w14:paraId="5AB6CAC1" w14:textId="77777777">
      <w:pPr>
        <w:ind w:firstLine="708"/>
        <w:jc w:val="both"/>
        <w:rPr>
          <w:color w:val="000000"/>
        </w:rPr>
      </w:pPr>
      <w:r>
        <w:rPr>
          <w:color w:val="000000"/>
        </w:rPr>
        <w:t xml:space="preserve"> A fost respinsă acţiunea  formulată de</w:t>
      </w:r>
      <w:r>
        <w:t xml:space="preserve"> reclamanţi ca neîntemeiată.</w:t>
      </w:r>
    </w:p>
    <w:p w:rsidR="00ED5FFF" w14:paraId="318D34FE" w14:textId="77777777">
      <w:pPr>
        <w:ind w:firstLine="708"/>
        <w:jc w:val="both"/>
        <w:rPr>
          <w:i/>
        </w:rPr>
      </w:pPr>
      <w:r>
        <w:rPr>
          <w:i/>
        </w:rPr>
        <w:t xml:space="preserve">Pentru a hotărî astfel prima instanţă a reţinut următoarele:  </w:t>
      </w:r>
    </w:p>
    <w:p w:rsidR="00ED5FFF" w14:paraId="1136B6D0" w14:textId="352356AB">
      <w:pPr>
        <w:ind w:firstLine="708"/>
        <w:jc w:val="both"/>
      </w:pPr>
      <w:r>
        <w:t xml:space="preserve">Reclamanţii au calitatea de procurori în cadrul Parchetului de pe lângă Înalta Curte de Casaţie si Justiție - Parchetul de pe lângă Curtea de Apel </w:t>
      </w:r>
      <w:r w:rsidR="00A5513C">
        <w:t xml:space="preserve">............... </w:t>
      </w:r>
      <w:r>
        <w:t xml:space="preserve">. </w:t>
      </w:r>
    </w:p>
    <w:p w:rsidR="00ED5FFF" w14:paraId="7B10086D" w14:textId="77777777">
      <w:pPr>
        <w:ind w:firstLine="708"/>
        <w:jc w:val="both"/>
      </w:pPr>
      <w:r>
        <w:t>Cu privire la excepţia lipsei calităţii procesuale pasive invocate pârâţi, instanţa de fond a reţinut că potrivit dispoziţiilor art. 36 C.pr.civ., „Calitatea procesuală rezultă din identitatea dintre părţi şi subiectele raportului juridic litigios, astfel cum acesta este dedus judecăţii…”.</w:t>
      </w:r>
    </w:p>
    <w:p w:rsidR="00ED5FFF" w14:paraId="312026A6" w14:textId="77777777">
      <w:pPr>
        <w:ind w:firstLine="720"/>
        <w:jc w:val="both"/>
      </w:pPr>
      <w:r>
        <w:t>Faţă de dispoziţiile art. 36 C.pr.civ. şi împrejurarea că pârâţii au calitatea de ordonatori de credit, respectiv angajatori sau fost angajatori pentru anumite perioade cu privire la unul sau mai mulţi reclamanţi, iar în prezenta cauză se formulează pretenţii de natura salarială, instanţa de fond a respins ca neîntemeiată excepţia invocată.</w:t>
      </w:r>
    </w:p>
    <w:p w:rsidR="00ED5FFF" w14:paraId="39777B42" w14:textId="77777777">
      <w:pPr>
        <w:ind w:firstLine="720"/>
        <w:jc w:val="both"/>
      </w:pPr>
      <w:r>
        <w:t>Totodată instanţa de fond a apreciat că nu este întemeiată nici excepţia inadmisibilităţii cererii formulate, în raport de obiectul cauzei reprezentat de drepturi salariale, fără ca reclamanţii să formuleze pretenţii vizând emiterea ordinelor de salarizare.</w:t>
      </w:r>
    </w:p>
    <w:p w:rsidR="00ED5FFF" w14:paraId="37C05B5C" w14:textId="77777777">
      <w:pPr>
        <w:ind w:right="-108" w:firstLine="720"/>
        <w:jc w:val="both"/>
      </w:pPr>
      <w:r>
        <w:t>În ceea ce priveşte excepţia prescripţiei dreptului la acţiune, s-a reţinut că această excepţie este întemeiată raportat la dispoziţiile art. 268 alin. 1 lit. c din Codul muncii, potrivit cărora dreptul la acţiune privind drepturile salariale neachitate de angajator se prescriu în termen de 3 ani de zile de la data naşterii dreptului, şi având în vedere obiectul cererii şi solicitarea reclamanţilor de recalculare a indemnizaţiei de încadrare, precum şi data înregistrării acţiunii, cu privire la drepturile salariale solicitate pentru perioada anterioara datei de 4.04.2019 s-a admis excepţia şi a fost respinsă ca prescrisă acţiunea formulată cu privire la drepturile salariale pentru această perioadă.</w:t>
      </w:r>
    </w:p>
    <w:p w:rsidR="00ED5FFF" w14:paraId="697D9DBA" w14:textId="77777777">
      <w:pPr>
        <w:ind w:right="-108" w:firstLine="720"/>
        <w:jc w:val="both"/>
      </w:pPr>
      <w:r>
        <w:t>Pe fondul cauzei, instanţa de fond a</w:t>
      </w:r>
      <w:r>
        <w:rPr>
          <w:b/>
        </w:rPr>
        <w:t xml:space="preserve"> </w:t>
      </w:r>
      <w:r>
        <w:t xml:space="preserve">constatat că reclamanţii solicită recalcularea indemnizaţiei de încadrare şi a sporurilor aferente în funcţie de salarizarea aferentă procurorilor din cadrul Secţiei de Investigare a Infracţiunilor din Justiţie. </w:t>
      </w:r>
    </w:p>
    <w:p w:rsidR="00ED5FFF" w14:paraId="1318E973" w14:textId="77777777">
      <w:pPr>
        <w:ind w:right="-108" w:firstLine="720"/>
        <w:jc w:val="both"/>
      </w:pPr>
      <w:r>
        <w:t>În acest sens, s-a reţinut că prin art. 45 din Legea nr. 207/2018</w:t>
      </w:r>
      <w:r>
        <w:rPr>
          <w:b/>
        </w:rPr>
        <w:t xml:space="preserve"> </w:t>
      </w:r>
      <w:r>
        <w:t>pentru modificarea şi completarea Legii nr. 304/2004 privind organizarea judiciară s-a introdus o nouă secţiune,  secţiunea a 2</w:t>
      </w:r>
      <w:r>
        <w:rPr>
          <w:vertAlign w:val="superscript"/>
        </w:rPr>
        <w:t>1</w:t>
      </w:r>
      <w:r>
        <w:t>-a, cuprinzând articolele 88</w:t>
      </w:r>
      <w:r>
        <w:rPr>
          <w:vertAlign w:val="superscript"/>
        </w:rPr>
        <w:t>1</w:t>
      </w:r>
      <w:r>
        <w:t> - 88</w:t>
      </w:r>
      <w:r>
        <w:rPr>
          <w:vertAlign w:val="superscript"/>
        </w:rPr>
        <w:t>9</w:t>
      </w:r>
      <w:r>
        <w:t xml:space="preserve">, prin care se înfiinţează Secţia pentru investigarea infracţiunilor din justiţie, </w:t>
      </w:r>
      <w:r>
        <w:rPr>
          <w:shd w:val="clear" w:color="auto" w:fill="FFFFFF"/>
        </w:rPr>
        <w:t>care va funcţiona în cadrul Parchetului de pe lângă Înalta Curte de Casaţie şi Justiţie şi care are competenţa exclusivă de a efectua urmărirea penală pentru infracţiunile săvârşite de judecători şi procurori, inclusiv judecătorii şi procurorii militari şi cei care au calitatea de membri ai Consiliului Superior al Magistraturii.</w:t>
      </w:r>
    </w:p>
    <w:p w:rsidR="00ED5FFF" w14:paraId="3DC0A470" w14:textId="77777777">
      <w:pPr>
        <w:shd w:val="clear" w:color="auto" w:fill="FFFFFF"/>
        <w:ind w:firstLine="720"/>
        <w:jc w:val="both"/>
        <w:rPr>
          <w:color w:val="000000"/>
        </w:rPr>
      </w:pPr>
      <w:r>
        <w:rPr>
          <w:color w:val="000000"/>
        </w:rPr>
        <w:t>Potrivit art. 88</w:t>
      </w:r>
      <w:r>
        <w:rPr>
          <w:color w:val="000000"/>
          <w:vertAlign w:val="superscript"/>
        </w:rPr>
        <w:t xml:space="preserve"> </w:t>
      </w:r>
      <w:r>
        <w:rPr>
          <w:color w:val="000000"/>
        </w:rPr>
        <w:t>alin 5 din acelaşi act normativ, încadrarea procurorilor în secţia nou înfiinţată are la bază un concurs, printre condiţiile obligatorii de participare la acest concurs fiind şi aceea privind vechimea efectivă de cel puţin 18 ani în funcţia de procuror.</w:t>
      </w:r>
    </w:p>
    <w:p w:rsidR="00ED5FFF" w14:paraId="2271375A" w14:textId="77777777">
      <w:pPr>
        <w:ind w:right="-108" w:firstLine="720"/>
        <w:jc w:val="both"/>
      </w:pPr>
      <w:r>
        <w:t>Din probele de la dosar nu reiese că reclamanţii au o vechime efectivă de cel puţin 18 ani în magistratură şi că au trecut prin concurs, astfel că s-a apreciat că nu se poate reţine că se găsesc într-o situaţie asemănătoare şi discriminantă faţă de procurorii din cadrul SIIJ.</w:t>
      </w:r>
    </w:p>
    <w:p w:rsidR="00ED5FFF" w14:paraId="6C65494A" w14:textId="77777777">
      <w:pPr>
        <w:ind w:firstLine="720"/>
        <w:jc w:val="both"/>
      </w:pPr>
      <w:r>
        <w:t>În speţă, cadrul normativ coroborat cu cel faptic conduce spre concluzia că situaţia  reclamanţilor nu este aceeaşi cu situaţia unui procuror din cadrul SIIJ, astfel că nu se pune problema de a se afla într-o situaţie discriminatorie faţă de procurorii numiţi în cadrul SIIJ din PÎCCJ, pentru a se putea, în mod justificat, considera discriminaţi raportat la salariul mai mare încasat de un procuror SIIJ.</w:t>
      </w:r>
    </w:p>
    <w:p w:rsidR="00ED5FFF" w14:paraId="04B994AC" w14:textId="77777777">
      <w:pPr>
        <w:ind w:firstLine="720"/>
        <w:jc w:val="both"/>
      </w:pPr>
      <w:r>
        <w:t>Prin urmare, instanţa de fond a apreciat că nu se confirmă un tratament discriminatoriu între reclamanţi şi procurorii SIIJ, lipsind premisa discriminării constând în existenţa unui tratament juridic diferit pentru aceeaşi situaţie, astfel că este inutilă analiza creşterii salariale a salariului acestor procurori cu 2 %.</w:t>
      </w:r>
    </w:p>
    <w:p w:rsidR="00ED5FFF" w14:paraId="5E893677" w14:textId="77777777">
      <w:pPr>
        <w:ind w:right="-108" w:firstLine="720"/>
        <w:jc w:val="both"/>
      </w:pPr>
      <w:r>
        <w:t>Cu privire la petitul 2, instanţa de fond a reţinut caracterul accesoriu al acestui petit, astfel că faţă de respingerea primului petit, a constatat că aceeaşi soluţie se impune şi în cazul acestui petit, considerentele mai sus expuse justificând respingerea acţiunii formulate.</w:t>
      </w:r>
    </w:p>
    <w:p w:rsidR="00ED5FFF" w14:paraId="50FB64F9" w14:textId="77777777">
      <w:pPr>
        <w:ind w:right="-108" w:firstLine="720"/>
        <w:jc w:val="both"/>
      </w:pPr>
    </w:p>
    <w:p w:rsidR="00ED5FFF" w14:paraId="575D73F4" w14:textId="3CB4A90E">
      <w:pPr>
        <w:ind w:firstLine="708"/>
        <w:jc w:val="both"/>
        <w:rPr>
          <w:i/>
        </w:rPr>
      </w:pPr>
      <w:r>
        <w:rPr>
          <w:i/>
        </w:rPr>
        <w:t xml:space="preserve">Împotriva acestei hotărâri au declarat apel reclamanţii </w:t>
      </w:r>
      <w:r w:rsidR="00A5513C">
        <w:rPr>
          <w:i/>
        </w:rPr>
        <w:t>1</w:t>
      </w:r>
      <w:r>
        <w:rPr>
          <w:i/>
        </w:rPr>
        <w:t xml:space="preserve">, </w:t>
      </w:r>
      <w:r w:rsidR="00A5513C">
        <w:rPr>
          <w:i/>
        </w:rPr>
        <w:t>2</w:t>
      </w:r>
      <w:r>
        <w:rPr>
          <w:i/>
        </w:rPr>
        <w:t xml:space="preserve">, </w:t>
      </w:r>
      <w:r w:rsidR="00A5513C">
        <w:rPr>
          <w:i/>
        </w:rPr>
        <w:t>3</w:t>
      </w:r>
      <w:r>
        <w:rPr>
          <w:i/>
        </w:rPr>
        <w:t xml:space="preserve">, </w:t>
      </w:r>
      <w:r w:rsidR="00A5513C">
        <w:rPr>
          <w:i/>
        </w:rPr>
        <w:t>4</w:t>
      </w:r>
      <w:r>
        <w:rPr>
          <w:i/>
        </w:rPr>
        <w:t xml:space="preserve">, </w:t>
      </w:r>
      <w:r w:rsidR="00A5513C">
        <w:rPr>
          <w:i/>
        </w:rPr>
        <w:t>5</w:t>
      </w:r>
      <w:r>
        <w:rPr>
          <w:i/>
        </w:rPr>
        <w:t xml:space="preserve">, </w:t>
      </w:r>
      <w:r w:rsidR="00A5513C">
        <w:rPr>
          <w:i/>
        </w:rPr>
        <w:t>6</w:t>
      </w:r>
      <w:r>
        <w:rPr>
          <w:i/>
        </w:rPr>
        <w:t xml:space="preserve">, </w:t>
      </w:r>
      <w:r w:rsidR="00A5513C">
        <w:rPr>
          <w:i/>
        </w:rPr>
        <w:t>7</w:t>
      </w:r>
      <w:r>
        <w:rPr>
          <w:i/>
        </w:rPr>
        <w:t xml:space="preserve"> şi </w:t>
      </w:r>
      <w:r w:rsidR="00A5513C">
        <w:rPr>
          <w:i/>
        </w:rPr>
        <w:t>9</w:t>
      </w:r>
      <w:r>
        <w:rPr>
          <w:i/>
        </w:rPr>
        <w:t>,</w:t>
      </w:r>
      <w:r>
        <w:t xml:space="preserve"> </w:t>
      </w:r>
      <w:r>
        <w:rPr>
          <w:i/>
        </w:rPr>
        <w:t>prin care au solicitat admiterea apelului formulat şi pronunţarea unei hotărâri legale şi temeinice, în sensul admiterii acţiunii aşa cum a fost formulată.</w:t>
      </w:r>
    </w:p>
    <w:p w:rsidR="00ED5FFF" w14:paraId="37364D21" w14:textId="77777777">
      <w:pPr>
        <w:ind w:firstLine="708"/>
        <w:jc w:val="both"/>
      </w:pPr>
      <w:r>
        <w:t>În motivarea cererii de apel au arătat că data de 16.10.2018, la care se raportează acţiunea lor, este data intrării în vigoare a dispoziţiilor O.U.G. nr. 92/2018, publicată în M. Of. nr. 874/16.10.2018, prin care s-a stabilit că procurorii S.I.I.J., indiferent dacă au funcţie de conducere sau de execuţie şi fără a fi detaşaţi, „beneficiază de drepturile procurorilor detaşaţi, în condiţiile legii”.</w:t>
      </w:r>
    </w:p>
    <w:p w:rsidR="00ED5FFF" w14:paraId="3939BDA3" w14:textId="3FE3EEAA">
      <w:pPr>
        <w:ind w:firstLine="708"/>
        <w:jc w:val="both"/>
      </w:pPr>
      <w:r>
        <w:t xml:space="preserve">De asemenea, au apreciat ca nelegală şi netemeinică măsura respingerii ca inadmisibilă a cererii de intervenţie voluntară principală, fiind întrunite condiţiile art. 61 din Codul de procedură civilă, în sensul că este invocat un drept strâns legat de dreptul dedus judecăţii. În speţă, reclamanta </w:t>
      </w:r>
      <w:r w:rsidR="00A5513C">
        <w:t xml:space="preserve">10 </w:t>
      </w:r>
      <w:r>
        <w:t>se află într-o situaţie identică cu cea a celorlalţi reclamanţi în cauză, instanţa fiind chemată a se pronunţa în mod unitar.</w:t>
      </w:r>
    </w:p>
    <w:p w:rsidR="00ED5FFF" w14:paraId="772CD71A" w14:textId="77777777">
      <w:pPr>
        <w:ind w:firstLine="708"/>
        <w:jc w:val="both"/>
      </w:pPr>
      <w:r>
        <w:t>Pe fondul cauzei, apelanţii au menţionat că nepromovarea unui concurs de accedere în cadrul D.N.A. şi D.I.I.C.O.T. nu a împiedicat instanţele să acorde judecătorilor salarizare corespunzătoare unui procuror din cadrul D.I.I.C.O.T. sau D.N.A. Or, între raţionamentele care au dus la admiterea acţiunilor referitoare la existenţa unei discriminări în ceea ce priveşte salarizarea judecătorilor în raport cu procurorii din cadrul D.I.I.C.O.T. şi D.N.A. şi raţionamentul referitor la existenţa unei discriminări între salariile lor şi cele ale procurorilor din cadrul S.I.I.J. există similitudine.</w:t>
      </w:r>
    </w:p>
    <w:p w:rsidR="00ED5FFF" w14:paraId="0E44E5D4" w14:textId="77777777">
      <w:pPr>
        <w:ind w:firstLine="708"/>
        <w:jc w:val="both"/>
      </w:pPr>
      <w:r>
        <w:t>Invocă în acest sens considerentele Deciziei nr. VI/2007, pronunţată de Înalta Curte de Casaţie şi Justiţie, într-un recurs în interesul legii, prin care instanţa supremă a statuat că sunt discriminatorii criteriile de diferenţiere de tratament salarial constând în apartenenţa la categoria celor implicaţi în soluţionarea unor cazuri de o anumită natură (cum sunt cazurile privind infracţiunile săvârşite de magistraţi) ori în includerea în numite structuri pe scara ierarhică sau în anumite segmente restrânse de realizare a justiţiei.</w:t>
      </w:r>
    </w:p>
    <w:p w:rsidR="00ED5FFF" w14:paraId="0431A05B" w14:textId="77777777">
      <w:pPr>
        <w:ind w:firstLine="708"/>
        <w:jc w:val="both"/>
      </w:pPr>
      <w:r>
        <w:t>Tocmai acest lucru s-a produs în cazul procurorilor care îşi desfăşoară activitatea în cadrul Secţiei pentru Investigarea Infracţiunilor din Justiţie, care, deşi sunt numiţi în funcţie, beneficiază de drepturile recunoscute doar magistraţilor detaşaţi, drepturi băneşti care, în cazul acestei categorii de procurori, sunt incluse în indemnizaţia de încadrare.</w:t>
      </w:r>
    </w:p>
    <w:p w:rsidR="00ED5FFF" w14:paraId="7EE16838" w14:textId="77777777">
      <w:pPr>
        <w:ind w:firstLine="708"/>
        <w:jc w:val="both"/>
      </w:pPr>
      <w:r>
        <w:t>Adăugarea alin. 5 la art. 882 din Legea nr. 304/2004, cu privire la care nu exista niciun argument inserat în nota de fundamentare a actului normativ intrat în vigoare la data de 16.10.2018 constituie o încălcare grava a art. 16 alin. 1 din Constituţie privind egalitatea în drepturi, invocând în continuare o serie de considerente bazate pe dreptul intern şi internaţional în acest sens.</w:t>
      </w:r>
    </w:p>
    <w:p w:rsidR="00ED5FFF" w14:paraId="28683025" w14:textId="77777777">
      <w:pPr>
        <w:ind w:firstLine="708"/>
        <w:jc w:val="both"/>
      </w:pPr>
      <w:r>
        <w:t>În concluzie, esențialmente, arată că, în cadrul aceleiaşi familii ocupaţionale Justiţie, coexistă în prezent două categorii de magistraţi, respectiv procurorii numiţi în cadrul S.I.I.J., care beneficiază de drepturile procurorilor detaşaţi, deşi nu sunt detaşaţi ci numiţi şi ceilalţi magistraţi numiţi, care nu beneficiază de aceste drepturi, fiind astfel diferenţiaţi, prin aplicarea incorectă a Legii nr. 71/2015 de aprobare a O.U.G. nr. 83/2014.</w:t>
      </w:r>
    </w:p>
    <w:p w:rsidR="00ED5FFF" w14:paraId="400BC266" w14:textId="77777777">
      <w:pPr>
        <w:ind w:firstLine="708"/>
        <w:jc w:val="both"/>
      </w:pPr>
    </w:p>
    <w:p w:rsidR="00ED5FFF" w14:paraId="1E2D9D6C" w14:textId="25C5FC68">
      <w:pPr>
        <w:ind w:firstLine="708"/>
        <w:jc w:val="both"/>
        <w:rPr>
          <w:i/>
        </w:rPr>
      </w:pPr>
      <w:r>
        <w:rPr>
          <w:i/>
        </w:rPr>
        <w:t xml:space="preserve">Intimatul Ministerul Public - Parchetul de pe lângă Curtea de Apel </w:t>
      </w:r>
      <w:r w:rsidR="00A5513C">
        <w:rPr>
          <w:i/>
        </w:rPr>
        <w:t xml:space="preserve">............... </w:t>
      </w:r>
      <w:r>
        <w:t xml:space="preserve"> </w:t>
      </w:r>
      <w:r>
        <w:rPr>
          <w:i/>
        </w:rPr>
        <w:t>a formulat întâmpinare, prin care a solicitat respingerea apelului formulat de reclamanţi ca nefondat şi menţinerea sentinţei primei instanţe ca fiind temeinică şi legală.</w:t>
      </w:r>
    </w:p>
    <w:p w:rsidR="00ED5FFF" w14:paraId="56FCEDF5" w14:textId="77777777">
      <w:pPr>
        <w:ind w:firstLine="708"/>
        <w:jc w:val="both"/>
        <w:rPr>
          <w:i/>
        </w:rPr>
      </w:pPr>
    </w:p>
    <w:p w:rsidR="00ED5FFF" w14:paraId="4041B2E9" w14:textId="77777777">
      <w:pPr>
        <w:ind w:firstLine="708"/>
        <w:jc w:val="both"/>
        <w:rPr>
          <w:b/>
          <w:i/>
        </w:rPr>
      </w:pPr>
      <w:r>
        <w:rPr>
          <w:b/>
          <w:i/>
        </w:rPr>
        <w:t>Examinând sentinţa atacată prin prisma motivelor de apel şi a apărărilor formulate Curtea, în temeiul art. 479 alin. 1 Cod procedură civilă, reţine următoarele:</w:t>
      </w:r>
    </w:p>
    <w:p w:rsidR="00ED5FFF" w14:paraId="3379657E" w14:textId="77777777">
      <w:pPr>
        <w:ind w:firstLine="708"/>
        <w:jc w:val="both"/>
      </w:pPr>
      <w:r>
        <w:t xml:space="preserve">Cu privire la </w:t>
      </w:r>
      <w:r>
        <w:rPr>
          <w:i/>
        </w:rPr>
        <w:t>respingerea cererii de intervenţie voluntară principală</w:t>
      </w:r>
      <w:r>
        <w:t xml:space="preserve">, Curtea reţine că sunt întrunite condiţiile art. 61 din Codul de procedură civilă, în sensul că este invocat un drept strâns legat de dreptul dedus judecăţii. </w:t>
      </w:r>
    </w:p>
    <w:p w:rsidR="00ED5FFF" w14:paraId="53376C3D" w14:textId="2C723438">
      <w:pPr>
        <w:ind w:firstLine="708"/>
        <w:jc w:val="both"/>
      </w:pPr>
      <w:r>
        <w:t xml:space="preserve">În mod corect arată apelanţii că reclamanta </w:t>
      </w:r>
      <w:r w:rsidR="00A5513C">
        <w:t xml:space="preserve">10 </w:t>
      </w:r>
      <w:r>
        <w:t>se află într-o situaţie identică cu cea a celorlalţi reclamanţi în cauză, astfel încât apelul apare ca fondat sub acest aspect.</w:t>
      </w:r>
    </w:p>
    <w:p w:rsidR="00ED5FFF" w14:paraId="1040355B" w14:textId="77777777">
      <w:pPr>
        <w:ind w:firstLine="708"/>
        <w:jc w:val="both"/>
      </w:pPr>
      <w:r>
        <w:t xml:space="preserve">Cu privire la </w:t>
      </w:r>
      <w:r>
        <w:rPr>
          <w:i/>
        </w:rPr>
        <w:t>excepţia prescrierii</w:t>
      </w:r>
      <w:r>
        <w:t>, Curtea reţine că, în mod corect, aceasta a fost admisă de către instanţa de fond.</w:t>
      </w:r>
    </w:p>
    <w:p w:rsidR="00ED5FFF" w14:paraId="0A4BABB2" w14:textId="77777777">
      <w:pPr>
        <w:pStyle w:val="NormalWeb"/>
        <w:shd w:val="clear" w:color="auto" w:fill="FFFFFF"/>
        <w:spacing w:before="0" w:beforeAutospacing="0" w:after="0" w:afterAutospacing="0"/>
        <w:ind w:firstLine="709"/>
        <w:jc w:val="both"/>
      </w:pPr>
      <w:r>
        <w:t>Instituţia prescripţiei este definită în termeni imperativi de Cod civil, conform dispoziţiilor art. 2515, astfel încât, cu excepţia situaţiilor dispozitive pe care codul le permite, interpretarea legislaţiei în această materie trebuie făcută în mod restrictiv, în acord cu intenţia legiuitorului de a limita în timp posibilitatea sesizării instanţelor cu acţiuni judiciare în afara termenelor defipte de lege. Astfel se interzice „orice clauză prin care fie direct, fie indirect o acţiune ar fi declarată imprescriptibilă, deşi, potrivit legii, aceasta este prescriptibilă, sau invers”, iar pe de altă parte, deşi părţile cu „capacitatea deplină de exerciţiu pot, prin acord expres, să modifice durata termenelor de prescripţie sau să modifice cursul prescripţiei prin fixarea începutului acesteia ori prin modificarea cauzelor legale de suspendare ori de întrerupere a acesteia”, termenele putând fi „reduse sau mărite, prin acordul expres al părţilor”, aceste posibilităţi „nu se aplică în cazul drepturilor la acţiune de care părţile nu pot să dispună”, cum sunt cele de genul celei prezente, vizând categorii bugetare ale căror drepturi salariale sunt stabilite prin lege.</w:t>
      </w:r>
    </w:p>
    <w:p w:rsidR="00ED5FFF" w14:paraId="140671A8" w14:textId="77777777">
      <w:pPr>
        <w:ind w:firstLine="708"/>
        <w:jc w:val="both"/>
      </w:pPr>
      <w:r>
        <w:t>Cu aceste repere de ordin teoretic, se constată că, în analiza prescripţiei dreptului la acţiune din prezenta cauză, reclamanţii nu poate invoca faptul că nu putea, anterior înregistrării acţiunii, să cunoască atât paguba, cât şi pe cel care răspunde de ea.</w:t>
      </w:r>
    </w:p>
    <w:p w:rsidR="00ED5FFF" w14:paraId="5642F107" w14:textId="77777777">
      <w:pPr>
        <w:ind w:firstLine="708"/>
        <w:jc w:val="both"/>
      </w:pPr>
      <w:r>
        <w:t>Practic, modul de prezentare a stării de fapt în acţiune şi de încadrare a datelor faptice în cadrul legal aplicabil este făcut de o manieră subiectivă, de natură a indica acele aspecte care avantajează teza apelanţilor.</w:t>
      </w:r>
    </w:p>
    <w:p w:rsidR="00ED5FFF" w14:paraId="61257FD2" w14:textId="77777777">
      <w:pPr>
        <w:ind w:firstLine="708"/>
        <w:jc w:val="both"/>
      </w:pPr>
      <w:r>
        <w:t>Instanţa însă este ţinută la a analiza datele obiective pentru a statua asupra prescripţiei, întrucât, faţă de considerentele ce preced, în afara situaţiilor în care legiuitorul permite derogări contractuale de la reperele legale ale instituţiei prescripţiei, în rest, structura acestei instituţii este una imperativă şi imuabilă. Cu alte cuvinte, în situaţii de felul celei prezentate prin acţiune, nu se poate accepta ca dat momentul indicat de reclamanţi ca fiind cel în care a cunoscut în mod concret despre starea de lucruri în raport de care se consideră discriminată, ci trebuie stabilit în mod obiectiv care era momentul la care ar fi trebuit să cunoască despre drepturile de care se socoteşte văduvită.</w:t>
      </w:r>
    </w:p>
    <w:p w:rsidR="00ED5FFF" w14:paraId="76A572CD" w14:textId="77777777">
      <w:pPr>
        <w:ind w:firstLine="708"/>
        <w:jc w:val="both"/>
      </w:pPr>
      <w:r>
        <w:t>Pentru a stabili acest moment, Curtea notează că drepturile în discuţie nu au fost stabilite în mod ocult, prin înţelegeri contractuale de care reclamanţii să nu fi cunoscut, ci au fost unele stabilite în temeiul dispoziţiilor legale considerate ca aplicabile şi anume, prin hotărâri judecătoreşti.</w:t>
      </w:r>
    </w:p>
    <w:p w:rsidR="00ED5FFF" w14:paraId="443228AB" w14:textId="77777777">
      <w:pPr>
        <w:ind w:firstLine="708"/>
        <w:jc w:val="both"/>
      </w:pPr>
      <w:r>
        <w:t>Or, prin excelenţă, legislaţia este o realitate publică, ce poate fi cunoscută şi este prezumată a fi cunoscută de la data publicării în Monitorul Oficial.</w:t>
      </w:r>
    </w:p>
    <w:p w:rsidR="00ED5FFF" w14:paraId="534F0E3F" w14:textId="77777777">
      <w:pPr>
        <w:ind w:firstLine="708"/>
        <w:jc w:val="both"/>
      </w:pPr>
      <w:r>
        <w:t>De altfel, reclamanţii nici nu invocă faptul că nu ar fi cunoscut legislaţia în temeiul căreia s-au pronunţat hotărârile judecătoreşti în raport de executarea cărora se consideră discriminată ci, dimpotrivă, solicită să le fie aplicate şi lor, însă în maniera tranşată prin hotărâri ce par a susţine teza propusă de aceştia.</w:t>
      </w:r>
    </w:p>
    <w:p w:rsidR="00ED5FFF" w14:paraId="1AE276D5" w14:textId="77777777">
      <w:pPr>
        <w:ind w:firstLine="708"/>
        <w:jc w:val="both"/>
        <w:rPr>
          <w:color w:val="000000"/>
        </w:rPr>
      </w:pPr>
      <w:r>
        <w:rPr>
          <w:color w:val="000000"/>
        </w:rPr>
        <w:t xml:space="preserve">Ca atare, faptul că reclamanţii au ales să nu îşi asume riscul unei practici neunitare, sau nu a întrevăzut o modalitate de a investi instanţa cu o cerere proprie, prin care să solicite acordarea drepturilor pretinse şi în cazul lor, pentru perioada vizată prin acţiune, nu le poate profita. Cu alte cuvinte, nu poate invoca în favoarea acestora rămânerea în pasivitate şi aşteptarea unui moment ulterior, în care alte persoane aflate în situaţia sa să câştige în instanţă aceste drepturi, şi în raport de care să invoce discriminarea. </w:t>
      </w:r>
    </w:p>
    <w:p w:rsidR="00ED5FFF" w14:paraId="7CF58B16" w14:textId="77777777">
      <w:pPr>
        <w:ind w:firstLine="708"/>
        <w:jc w:val="both"/>
        <w:rPr>
          <w:color w:val="000000"/>
        </w:rPr>
      </w:pPr>
      <w:r>
        <w:rPr>
          <w:color w:val="000000"/>
        </w:rPr>
        <w:t>În plus, în acest punct, se constată temeinicia apărărilor formulate prin întâmpinările la apel, prin care se susţine că discriminarea nu se poate invoca între o persoană care deţine o hotărâre prin care i se recunoaşte un drept şi o persoană care nu deţine un astfel de titlu, întrucât s-ar ajunge la situaţia încălcării autorităţii de lucru judecat ataşată hotărârilor judcătoreşti, cu consecinţa absurdă de a se permite, prin acelaşi raţionament, ca şi cei care s-au judecat, dar li s-au respins acţiunile având acelaşi obiect, anterior pronunţării unor soluţii de speţă favorabile altor colegi, să invoce discriminarea ulterior pronunţării acestor decizii şi să ceară, pentru trecut, să li se acorde drepturile care le fuseseră respinse.</w:t>
      </w:r>
    </w:p>
    <w:p w:rsidR="00ED5FFF" w14:paraId="72E5D6A8" w14:textId="77777777">
      <w:pPr>
        <w:ind w:firstLine="708"/>
        <w:jc w:val="both"/>
        <w:rPr>
          <w:color w:val="000000"/>
        </w:rPr>
      </w:pPr>
      <w:r>
        <w:rPr>
          <w:color w:val="000000"/>
        </w:rPr>
        <w:t>Se constată aşadar că întregul construct pe care îl edifică reclamanţii pentru a justifica încadrarea  în termenul de prescripţie este nefondat şi neagă principiile de drept.</w:t>
      </w:r>
    </w:p>
    <w:p w:rsidR="00ED5FFF" w14:paraId="7668DB0C" w14:textId="77777777">
      <w:pPr>
        <w:ind w:firstLine="709"/>
        <w:jc w:val="both"/>
      </w:pPr>
      <w:r>
        <w:rPr>
          <w:color w:val="000000"/>
        </w:rPr>
        <w:t>În concluzie, în paradigma teoretică analizată, „</w:t>
      </w:r>
      <w:r>
        <w:t xml:space="preserve">data când păgubitul a cunoscut sau trebuia să cunoască atât paguba, cât şi pe cel care răspunde de ea”, în formularea art. 2528 Cod civil, trebuie înţeleasă ca indicând data cea mai adecvată, cea mai caracterizată şi mai apropiată de momentul producerii efective a acesteia (momentul încasării lunare a drepturilor salariale aferente perioadei în discuţie), deci de momentul în raport de care se invocă o discriminare salarială.  Apelanţii reclamanţi trebuiau, aşadar, să cunoască producerea pagubei în chiar perioada pentru care se solicită drepturile, întrucât, aşa cum s-a arătat, legislaţia în temeiul căreia solicită drepturile era aceeaşi. </w:t>
      </w:r>
    </w:p>
    <w:p w:rsidR="00ED5FFF" w14:paraId="2FA84A7B" w14:textId="77777777">
      <w:pPr>
        <w:ind w:firstLine="709"/>
        <w:jc w:val="both"/>
      </w:pPr>
      <w:r>
        <w:t>Tot astfel, „data săvârşirii faptei sau (...) data la care persoana interesată putea să ia cunoştinţă de săvârşirea ei”, în contextul O.G. nr. 137/2000, sau „data producerii pagubei”, în contextul Legii nr. 62/2011, au acelaşi înţeles, ca fiind data încasării lunare a drepturilor salariale aferente perioadei pretinse.</w:t>
      </w:r>
    </w:p>
    <w:p w:rsidR="00ED5FFF" w14:paraId="663E128B" w14:textId="77777777">
      <w:pPr>
        <w:ind w:firstLine="708"/>
        <w:jc w:val="both"/>
        <w:rPr>
          <w:i/>
        </w:rPr>
      </w:pPr>
      <w:r>
        <w:t>În ceea ce priveşte fondul cauzei, Curtea reţine că prin Decizia 13/2023, Înalta Curte de Casaţie şi Justiţie a stabilit că: „</w:t>
      </w:r>
      <w:r>
        <w:rPr>
          <w:i/>
        </w:rPr>
        <w:t xml:space="preserve">Dreptul reglementat de art. 882 alin. (5) din Legea nr. 304/2004 are natura juridică a indemnizaţiei de încadrare brute lunare pentru procurorii care şi-au desfăşurat activitatea în cadrul Secţiei pentru investigarea infracţiunilor din justiţie, iar garanţiile </w:t>
      </w:r>
      <w:r>
        <w:rPr>
          <w:i/>
        </w:rPr>
        <w:t>principiului nediscriminării şi ale principiului egalităţii, prevăzute de art. 6 lit. b) şi c) din Legea-cadru nr. 153/2017 privind salarizarea personalului plătit din fonduri publice, cu modificările şi completările ulterioare, pot fi invocate doar de către magistraţii care ocupau o "funcţie similară" cu a acestora, astfel cum este definită la art. 7 lit. g) din acelaşi act normativ coroborat cu art. 8 din secţiunea a 2-a capitolul VIII din anexa nr. V la Legea-cadru nr. 153/2017”.</w:t>
      </w:r>
    </w:p>
    <w:p w:rsidR="00ED5FFF" w14:paraId="765A51BC" w14:textId="77777777">
      <w:pPr>
        <w:ind w:firstLine="708"/>
        <w:jc w:val="both"/>
      </w:pPr>
      <w:r>
        <w:t>Curtea notează că, potrivit dispoziţiilor art. 521 alin. (3) din Codul de procedură civilă, decizia este obligatorie, urmând a fi aplicată în prezenta cauză.</w:t>
      </w:r>
    </w:p>
    <w:p w:rsidR="00ED5FFF" w14:paraId="01FE8114" w14:textId="77777777">
      <w:pPr>
        <w:ind w:firstLine="708"/>
        <w:jc w:val="both"/>
      </w:pPr>
      <w:r>
        <w:t>Ca atare, urmează a se stabili dacă apelanţii reclamanţi ocupau o funcţie similară cu cea a procurorilor care au activat în cadrul SIIJ.</w:t>
      </w:r>
    </w:p>
    <w:p w:rsidR="00ED5FFF" w14:paraId="1BAA7F69" w14:textId="77777777">
      <w:pPr>
        <w:ind w:firstLine="708"/>
        <w:jc w:val="both"/>
      </w:pPr>
      <w:r>
        <w:t>În acest sens, în considerentele deciziei precitate, par. 175, instanţa supremă reţine că:</w:t>
      </w:r>
    </w:p>
    <w:p w:rsidR="00ED5FFF" w14:paraId="76E699E3" w14:textId="77777777">
      <w:pPr>
        <w:ind w:firstLine="708"/>
        <w:jc w:val="both"/>
        <w:rPr>
          <w:i/>
        </w:rPr>
      </w:pPr>
      <w:r>
        <w:rPr>
          <w:i/>
        </w:rPr>
        <w:t>„În consecinţă, numai judecătorii (care ocupă o funcţie similară în cadrul autorităţii judecătoreşti) şi procurorii (care ocupă o funcţie similară în cadrul aceleiaşi instituţii publice) care, în intervalul de referinţă 16 octombrie 2018-14 martie 2022, au îndeplinit, în mod cumulativ, cel puţin condiţiile legale anterior analizate, respectiv cel puţin gradul de judecător de curte de apel sau procuror de parchet de pe lângă curtea de apel şi o vechime efectivă de minimum 18 ani în funcţia de judecător sau procuror, ar putea pretinde că aplicarea normei de la art. 882 alin. (5) din Legea nr. 304/2004 a creat efecte discriminatorii în privinţa lor, întrucât legiuitorul s-a abătut de la principiile de la art. 6 lit. b) - nediscriminarea - din Legea-cadru nr. 153/2017 şi, ca atare, să invoce respectarea principiului egalităţii - art. 6 lit. c) din acelaşi act normativ, prin acordarea echivalentului indemnizaţiei de încadrare suplimentar recunoscute doar în favoarea procurorilor numiţi în cadrul S.I.I.J., pe durata funcţionării acestei structuri.”</w:t>
      </w:r>
    </w:p>
    <w:p w:rsidR="00ED5FFF" w14:paraId="07AA99E5" w14:textId="7D7CD473">
      <w:pPr>
        <w:ind w:firstLine="708"/>
        <w:jc w:val="both"/>
      </w:pPr>
      <w:r>
        <w:t xml:space="preserve">Având în vedere înscrisurile depuse la dosarul cauzei, filele 41 şi următoarele dosar apel, Curtea reţine că, în afara apelantei interveniente </w:t>
      </w:r>
      <w:r w:rsidR="00A5513C">
        <w:t xml:space="preserve">10 </w:t>
      </w:r>
      <w:r>
        <w:t xml:space="preserve">, toţi ceilalţi apelanţi, respectiv </w:t>
      </w:r>
      <w:r w:rsidR="00A5513C">
        <w:t>1</w:t>
      </w:r>
      <w:r>
        <w:t xml:space="preserve">, </w:t>
      </w:r>
      <w:r w:rsidR="00A5513C">
        <w:t>2</w:t>
      </w:r>
      <w:r>
        <w:t xml:space="preserve">, </w:t>
      </w:r>
      <w:r w:rsidR="00A5513C">
        <w:t>3</w:t>
      </w:r>
      <w:r>
        <w:t xml:space="preserve">, </w:t>
      </w:r>
      <w:r w:rsidR="00A5513C">
        <w:t>4</w:t>
      </w:r>
      <w:r>
        <w:t xml:space="preserve">, </w:t>
      </w:r>
      <w:r w:rsidR="00A5513C">
        <w:t>5</w:t>
      </w:r>
      <w:r>
        <w:t xml:space="preserve">, </w:t>
      </w:r>
      <w:r w:rsidR="00A5513C">
        <w:t>6</w:t>
      </w:r>
      <w:r>
        <w:t xml:space="preserve">, </w:t>
      </w:r>
      <w:r w:rsidR="00A5513C">
        <w:t>7</w:t>
      </w:r>
      <w:r>
        <w:t xml:space="preserve"> şi </w:t>
      </w:r>
      <w:r w:rsidR="00A5513C">
        <w:t xml:space="preserve">9 </w:t>
      </w:r>
      <w:r>
        <w:t>îndeplinesc condiţiile de grad şi vechime prescrise de lege, astfel încât, în lumina dezlegărilor date de instanţa supremă, se impune admiterea apelului, în limitele arătate.</w:t>
      </w:r>
    </w:p>
    <w:p w:rsidR="00ED5FFF" w14:paraId="36DEA68E" w14:textId="3A0889D1">
      <w:pPr>
        <w:ind w:firstLine="708"/>
        <w:jc w:val="both"/>
      </w:pPr>
      <w:r>
        <w:t xml:space="preserve">În consecinţă, în temeiul art. 480 alin.1 şi 3 C.pr.civilă, Curtea va admite în parte apelul declarat împotriva sentinţei civile nr. </w:t>
      </w:r>
      <w:r w:rsidR="00A5513C">
        <w:t xml:space="preserve">...... </w:t>
      </w:r>
      <w:r>
        <w:t xml:space="preserve">din </w:t>
      </w:r>
      <w:r w:rsidR="00A5513C">
        <w:t xml:space="preserve">............... </w:t>
      </w:r>
      <w:r>
        <w:t xml:space="preserve"> a Tribunalului </w:t>
      </w:r>
      <w:r w:rsidR="00A5513C">
        <w:t xml:space="preserve">............ </w:t>
      </w:r>
      <w:r>
        <w:t xml:space="preserve"> pe care o va schimba în parte, în sensul dispozitivului prezentei decizii.</w:t>
      </w:r>
    </w:p>
    <w:p w:rsidR="00ED5FFF" w14:paraId="16A8708D" w14:textId="77777777">
      <w:pPr>
        <w:jc w:val="center"/>
        <w:rPr>
          <w:b/>
        </w:rPr>
      </w:pPr>
    </w:p>
    <w:p w:rsidR="00ED5FFF" w14:paraId="56F29854" w14:textId="77777777">
      <w:pPr>
        <w:jc w:val="center"/>
        <w:rPr>
          <w:b/>
        </w:rPr>
      </w:pPr>
      <w:r>
        <w:rPr>
          <w:b/>
        </w:rPr>
        <w:t>PENTRU ACESTE MOTIVE</w:t>
      </w:r>
    </w:p>
    <w:p w:rsidR="00ED5FFF" w14:paraId="33CAB6D1" w14:textId="77777777">
      <w:pPr>
        <w:jc w:val="center"/>
        <w:rPr>
          <w:b/>
        </w:rPr>
      </w:pPr>
      <w:r>
        <w:rPr>
          <w:b/>
        </w:rPr>
        <w:t>ÎN NUMELE LEGII</w:t>
      </w:r>
    </w:p>
    <w:p w:rsidR="00ED5FFF" w14:paraId="02D443C6" w14:textId="77777777">
      <w:pPr>
        <w:jc w:val="center"/>
        <w:rPr>
          <w:b/>
        </w:rPr>
      </w:pPr>
      <w:r>
        <w:rPr>
          <w:b/>
        </w:rPr>
        <w:t>D E C I D E</w:t>
      </w:r>
    </w:p>
    <w:p w:rsidR="00ED5FFF" w14:paraId="2438C039" w14:textId="77777777">
      <w:pPr>
        <w:jc w:val="center"/>
        <w:rPr>
          <w:b/>
        </w:rPr>
      </w:pPr>
    </w:p>
    <w:p w:rsidR="00ED5FFF" w14:paraId="30331484" w14:textId="012BB664">
      <w:pPr>
        <w:jc w:val="both"/>
      </w:pPr>
      <w:r>
        <w:rPr>
          <w:b/>
        </w:rPr>
        <w:tab/>
      </w:r>
      <w:r>
        <w:t xml:space="preserve">Admite în parte apelul declarat de reclamanţii </w:t>
      </w:r>
      <w:r w:rsidR="00A5513C">
        <w:rPr>
          <w:b/>
        </w:rPr>
        <w:t>1</w:t>
      </w:r>
      <w:r>
        <w:t xml:space="preserve">, CNP: </w:t>
      </w:r>
      <w:r w:rsidR="00A5513C">
        <w:t>.......</w:t>
      </w:r>
      <w:r>
        <w:t xml:space="preserve">, </w:t>
      </w:r>
      <w:r w:rsidR="00A5513C">
        <w:rPr>
          <w:b/>
        </w:rPr>
        <w:t>2</w:t>
      </w:r>
      <w:r>
        <w:t xml:space="preserve">, CNP: </w:t>
      </w:r>
      <w:r w:rsidR="00A5513C">
        <w:t>..........</w:t>
      </w:r>
      <w:r>
        <w:t xml:space="preserve">, </w:t>
      </w:r>
      <w:r w:rsidR="00A5513C">
        <w:rPr>
          <w:b/>
        </w:rPr>
        <w:t>3</w:t>
      </w:r>
      <w:r>
        <w:t xml:space="preserve">, CNP: </w:t>
      </w:r>
      <w:r w:rsidR="00A5513C">
        <w:t>.......</w:t>
      </w:r>
      <w:r>
        <w:t xml:space="preserve">, </w:t>
      </w:r>
      <w:r w:rsidRPr="00A23500" w:rsidR="00A5513C">
        <w:rPr>
          <w:b/>
          <w:bCs/>
        </w:rPr>
        <w:t>4</w:t>
      </w:r>
      <w:r w:rsidRPr="00A23500">
        <w:rPr>
          <w:b/>
          <w:bCs/>
        </w:rPr>
        <w:t>,</w:t>
      </w:r>
      <w:r>
        <w:t xml:space="preserve"> CNP: </w:t>
      </w:r>
      <w:r w:rsidR="00A5513C">
        <w:t>..........</w:t>
      </w:r>
      <w:r>
        <w:t xml:space="preserve">, </w:t>
      </w:r>
      <w:r w:rsidR="00A5513C">
        <w:rPr>
          <w:b/>
        </w:rPr>
        <w:t>5</w:t>
      </w:r>
      <w:r>
        <w:t xml:space="preserve">, CNP: </w:t>
      </w:r>
      <w:r w:rsidR="00A5513C">
        <w:t>............</w:t>
      </w:r>
      <w:r>
        <w:t xml:space="preserve">, </w:t>
      </w:r>
      <w:r w:rsidR="00A5513C">
        <w:rPr>
          <w:b/>
        </w:rPr>
        <w:t>6</w:t>
      </w:r>
      <w:r>
        <w:t xml:space="preserve">, CNP: </w:t>
      </w:r>
      <w:r w:rsidR="00A5513C">
        <w:t>.........</w:t>
      </w:r>
      <w:r>
        <w:t xml:space="preserve">, </w:t>
      </w:r>
      <w:r w:rsidR="00A5513C">
        <w:rPr>
          <w:b/>
        </w:rPr>
        <w:t>7</w:t>
      </w:r>
      <w:r>
        <w:t xml:space="preserve">, CNP: </w:t>
      </w:r>
      <w:r w:rsidR="00A5513C">
        <w:t>........</w:t>
      </w:r>
      <w:r>
        <w:rPr>
          <w:b/>
        </w:rPr>
        <w:t xml:space="preserve">,  </w:t>
      </w:r>
      <w:r w:rsidR="00A5513C">
        <w:rPr>
          <w:b/>
        </w:rPr>
        <w:t>8</w:t>
      </w:r>
      <w:r>
        <w:t xml:space="preserve"> CNP: </w:t>
      </w:r>
      <w:r w:rsidR="00A5513C">
        <w:t>...........</w:t>
      </w:r>
      <w:r>
        <w:t xml:space="preserve"> şi  </w:t>
      </w:r>
      <w:r w:rsidR="00A5513C">
        <w:rPr>
          <w:b/>
        </w:rPr>
        <w:t>9</w:t>
      </w:r>
      <w:r>
        <w:t xml:space="preserve"> CNP: </w:t>
      </w:r>
      <w:r w:rsidR="00A5513C">
        <w:t>........</w:t>
      </w:r>
      <w:r>
        <w:t xml:space="preserve"> </w:t>
      </w:r>
      <w:r>
        <w:rPr>
          <w:i/>
        </w:rPr>
        <w:t xml:space="preserve">toţi cu domiciliul procesual ales la Parchetul de pe lângă Curtea de Apel </w:t>
      </w:r>
      <w:r w:rsidR="00A5513C">
        <w:rPr>
          <w:i/>
        </w:rPr>
        <w:t xml:space="preserve">............... </w:t>
      </w:r>
      <w:r>
        <w:rPr>
          <w:i/>
        </w:rPr>
        <w:t xml:space="preserve">, loc. </w:t>
      </w:r>
      <w:r w:rsidR="00A5513C">
        <w:rPr>
          <w:i/>
        </w:rPr>
        <w:t xml:space="preserve">............... </w:t>
      </w:r>
      <w:r>
        <w:rPr>
          <w:i/>
        </w:rPr>
        <w:t xml:space="preserve">, str. </w:t>
      </w:r>
      <w:r w:rsidR="00A5513C">
        <w:rPr>
          <w:i/>
        </w:rPr>
        <w:t>........</w:t>
      </w:r>
      <w:r>
        <w:rPr>
          <w:i/>
        </w:rPr>
        <w:t>, nr.</w:t>
      </w:r>
      <w:r w:rsidR="00A5513C">
        <w:rPr>
          <w:i/>
        </w:rPr>
        <w:t>.........</w:t>
      </w:r>
      <w:r>
        <w:rPr>
          <w:i/>
        </w:rPr>
        <w:t xml:space="preserve"> – persoana desemnată cu primirea corespondenţei </w:t>
      </w:r>
      <w:r w:rsidR="00A5513C">
        <w:rPr>
          <w:i/>
        </w:rPr>
        <w:t>8</w:t>
      </w:r>
      <w:r>
        <w:t xml:space="preserve"> împotriva sentinţei civile nr. </w:t>
      </w:r>
      <w:r w:rsidR="00A5513C">
        <w:t xml:space="preserve">...... </w:t>
      </w:r>
      <w:r>
        <w:t xml:space="preserve">din </w:t>
      </w:r>
      <w:r w:rsidR="00A5513C">
        <w:t xml:space="preserve">............... </w:t>
      </w:r>
      <w:r>
        <w:t xml:space="preserve"> a Tribunalului </w:t>
      </w:r>
      <w:r w:rsidR="00A5513C">
        <w:t xml:space="preserve">............ </w:t>
      </w:r>
      <w:r>
        <w:t xml:space="preserve">, pronunţată în dosar nr. </w:t>
      </w:r>
      <w:r w:rsidR="00A5513C">
        <w:t>12</w:t>
      </w:r>
      <w:r>
        <w:t xml:space="preserve">, pe care o schimbă în parte, în sensul că: </w:t>
      </w:r>
    </w:p>
    <w:p w:rsidR="00ED5FFF" w14:paraId="32A6D336" w14:textId="4E21B07F">
      <w:pPr>
        <w:jc w:val="both"/>
      </w:pPr>
      <w:r>
        <w:tab/>
        <w:t xml:space="preserve">Admite cererea de intervenţie voluntară principală formulată de intervenienta </w:t>
      </w:r>
      <w:r w:rsidR="00A5513C">
        <w:t xml:space="preserve">10 </w:t>
      </w:r>
      <w:r>
        <w:t xml:space="preserve">. </w:t>
      </w:r>
    </w:p>
    <w:p w:rsidR="00ED5FFF" w14:paraId="45018E7E" w14:textId="64F2697D">
      <w:pPr>
        <w:jc w:val="both"/>
      </w:pPr>
      <w:r>
        <w:tab/>
        <w:t xml:space="preserve">Admite în parte acţiunea formulată de reclamanţii </w:t>
      </w:r>
      <w:r w:rsidR="00A5513C">
        <w:t>1</w:t>
      </w:r>
      <w:r>
        <w:t xml:space="preserve">, </w:t>
      </w:r>
      <w:r w:rsidR="00A5513C">
        <w:t>2</w:t>
      </w:r>
      <w:r>
        <w:t xml:space="preserve">, </w:t>
      </w:r>
      <w:r w:rsidR="00A5513C">
        <w:t>3</w:t>
      </w:r>
      <w:r>
        <w:t xml:space="preserve">, </w:t>
      </w:r>
      <w:r w:rsidR="00A5513C">
        <w:t>4</w:t>
      </w:r>
      <w:r>
        <w:t xml:space="preserve">, </w:t>
      </w:r>
      <w:r w:rsidR="00A5513C">
        <w:t>5</w:t>
      </w:r>
      <w:r>
        <w:t xml:space="preserve">, </w:t>
      </w:r>
      <w:r w:rsidR="00A5513C">
        <w:t>6</w:t>
      </w:r>
      <w:r>
        <w:t xml:space="preserve">, </w:t>
      </w:r>
      <w:r w:rsidR="00A5513C">
        <w:t>7</w:t>
      </w:r>
      <w:r>
        <w:t xml:space="preserve"> şi </w:t>
      </w:r>
      <w:r w:rsidR="00A5513C">
        <w:t xml:space="preserve">9 </w:t>
      </w:r>
      <w:r>
        <w:t xml:space="preserve">în contradictoriu cu pârâţii </w:t>
      </w:r>
      <w:r>
        <w:rPr>
          <w:b/>
        </w:rPr>
        <w:t>MINISTERUL PUBLIC - PARCHETUL DE PE LÂNGĂ ÎNALTA CURTE DE CASATE SI JUSTIŢIE</w:t>
      </w:r>
      <w:r>
        <w:t xml:space="preserve"> cu sediul în </w:t>
      </w:r>
      <w:r w:rsidR="00A5513C">
        <w:t xml:space="preserve">........... </w:t>
      </w:r>
      <w:r>
        <w:t xml:space="preserve">, Bd. </w:t>
      </w:r>
      <w:r w:rsidR="00A5513C">
        <w:t>........</w:t>
      </w:r>
      <w:r>
        <w:t>, nr.</w:t>
      </w:r>
      <w:r w:rsidR="00A5513C">
        <w:t>.........</w:t>
      </w:r>
      <w:r>
        <w:t xml:space="preserve">, </w:t>
      </w:r>
      <w:r w:rsidR="00A5513C">
        <w:t xml:space="preserve">........... </w:t>
      </w:r>
      <w:r>
        <w:t xml:space="preserve">, şi </w:t>
      </w:r>
      <w:r>
        <w:rPr>
          <w:b/>
        </w:rPr>
        <w:t xml:space="preserve">PARCHETUL DE PE LÂNGĂ CURTEA DE APEL </w:t>
      </w:r>
      <w:r w:rsidR="00A5513C">
        <w:rPr>
          <w:b/>
        </w:rPr>
        <w:t xml:space="preserve">............... </w:t>
      </w:r>
      <w:r>
        <w:t xml:space="preserve">, cu sediul în </w:t>
      </w:r>
      <w:r w:rsidR="00A5513C">
        <w:t xml:space="preserve">............... </w:t>
      </w:r>
      <w:r>
        <w:t xml:space="preserve">, str. </w:t>
      </w:r>
      <w:r w:rsidR="00A5513C">
        <w:t>.......</w:t>
      </w:r>
      <w:r>
        <w:t xml:space="preserve">, nr. </w:t>
      </w:r>
      <w:r w:rsidR="00A5513C">
        <w:t>........</w:t>
      </w:r>
      <w:r>
        <w:t xml:space="preserve"> jud. </w:t>
      </w:r>
      <w:r w:rsidR="00A5513C">
        <w:t xml:space="preserve">............... </w:t>
      </w:r>
      <w:r>
        <w:t xml:space="preserve"> Direcţia de Investigare a Infracţiunilor de Criminalitate Organizată şi Terorism </w:t>
      </w:r>
      <w:r w:rsidR="00A5513C">
        <w:t xml:space="preserve">........... </w:t>
      </w:r>
      <w:r>
        <w:t xml:space="preserve">, cu citarea Consiliului Naţional pentru Combaterea Discriminării şi în consecinţă dispune obligarea pârâţilor Ministerul Public - Parchetul de pe lângă Înalta Curte de Casate si Justiţie şi Parchetul de pe lângă Curtea de Apel </w:t>
      </w:r>
      <w:r w:rsidR="00A5513C">
        <w:t xml:space="preserve">............... </w:t>
      </w:r>
      <w:r>
        <w:t xml:space="preserve"> – în raport cu toţi aceşti reclamanţi, şi respectiv Direcţia de Investigare a Infracţiunilor de Criminalitate Organizată şi Terorism </w:t>
      </w:r>
      <w:r w:rsidR="00A5513C">
        <w:t xml:space="preserve">........... </w:t>
      </w:r>
      <w:r>
        <w:t xml:space="preserve"> - în raport de reclamanta </w:t>
      </w:r>
      <w:r w:rsidR="00A5513C">
        <w:t>1</w:t>
      </w:r>
      <w:r>
        <w:t xml:space="preserve">, pentru perioada 31.03.2019 - 31.12.2019, la plata unor despăgubiri reprezentând diferenţele dintre drepturile salariale ale reclamanţilor, şi cele calculate cu includerea unui procent de 2% pe zi din indemnizaţiile de încadrare brute lunare, începând cu data de 31.03.2019 şi până la data încetării raporturilor de serviciu, dar nu mai târziu de data de 14.03.2022; actualizarea cu indicele de inflaţie şi cu dobânda legală penalizatoare a diferenţelor rezultate, începând cu data de </w:t>
      </w:r>
      <w:r>
        <w:t xml:space="preserve">31.03.2019, actualizare calculată de la data exigibilităţii fiecărei obligaţii lunare de plată şi până la data plăţii efective. </w:t>
      </w:r>
    </w:p>
    <w:p w:rsidR="00ED5FFF" w14:paraId="67C44360" w14:textId="6B7F5A57">
      <w:pPr>
        <w:jc w:val="both"/>
        <w:rPr>
          <w:b/>
        </w:rPr>
      </w:pPr>
      <w:r>
        <w:tab/>
        <w:t xml:space="preserve">Respinge ca nefondată acţiunea formulată de reclamanta </w:t>
      </w:r>
      <w:r w:rsidR="00A5513C">
        <w:rPr>
          <w:b/>
        </w:rPr>
        <w:t>10</w:t>
      </w:r>
      <w:r>
        <w:t xml:space="preserve"> (fostă </w:t>
      </w:r>
      <w:r w:rsidR="00A5513C">
        <w:t>.....</w:t>
      </w:r>
      <w:r>
        <w:t>)</w:t>
      </w:r>
      <w:r w:rsidR="00A5513C">
        <w:t>.</w:t>
      </w:r>
    </w:p>
    <w:p w:rsidR="00ED5FFF" w14:paraId="6F599E47" w14:textId="77777777">
      <w:pPr>
        <w:jc w:val="both"/>
      </w:pPr>
      <w:r>
        <w:rPr>
          <w:b/>
        </w:rPr>
        <w:tab/>
      </w:r>
      <w:r>
        <w:t xml:space="preserve">Menţine restul dispoziţiilor sentinţei care nu contravin prezentei decizii. </w:t>
      </w:r>
    </w:p>
    <w:p w:rsidR="00ED5FFF" w14:paraId="5C19F2EA" w14:textId="77777777">
      <w:pPr>
        <w:jc w:val="both"/>
      </w:pPr>
      <w:r>
        <w:tab/>
        <w:t xml:space="preserve">Definitivă. </w:t>
      </w:r>
    </w:p>
    <w:p w:rsidR="00ED5FFF" w14:paraId="6A88F537" w14:textId="214C1DD7">
      <w:pPr>
        <w:jc w:val="both"/>
      </w:pPr>
      <w:r>
        <w:tab/>
        <w:t xml:space="preserve">Pronunţată prin punerea soluţiei la dispoziţia părţilor prin intermediul grefei instanţei azi, </w:t>
      </w:r>
      <w:r w:rsidR="00A5513C">
        <w:t>..........</w:t>
      </w:r>
      <w:r>
        <w:t xml:space="preserve">.  </w:t>
      </w:r>
    </w:p>
    <w:p w:rsidR="00ED5FFF" w14:paraId="233422A3" w14:textId="77777777">
      <w:pPr>
        <w:ind w:left="-180" w:firstLine="1596"/>
      </w:pPr>
    </w:p>
    <w:p w:rsidR="00ED5FFF" w14:paraId="22219105" w14:textId="77777777">
      <w:pPr>
        <w:ind w:left="-180" w:firstLine="360"/>
        <w:rPr>
          <w:b/>
        </w:rPr>
      </w:pPr>
      <w:r>
        <w:rPr>
          <w:b/>
        </w:rPr>
        <w:t xml:space="preserve">               PREŞEDINTE</w:t>
      </w:r>
      <w:r>
        <w:rPr>
          <w:b/>
        </w:rPr>
        <w:tab/>
      </w:r>
      <w:r>
        <w:rPr>
          <w:b/>
        </w:rPr>
        <w:tab/>
      </w:r>
      <w:r>
        <w:rPr>
          <w:b/>
        </w:rPr>
        <w:tab/>
        <w:t xml:space="preserve">            </w:t>
      </w:r>
      <w:r>
        <w:rPr>
          <w:b/>
        </w:rPr>
        <w:tab/>
        <w:t xml:space="preserve">                      JUDECĂTOR</w:t>
      </w:r>
      <w:r>
        <w:rPr>
          <w:b/>
        </w:rPr>
        <w:tab/>
      </w:r>
      <w:r>
        <w:rPr>
          <w:b/>
        </w:rPr>
        <w:tab/>
      </w:r>
    </w:p>
    <w:p w:rsidR="00ED5FFF" w:rsidP="00A5513C" w14:paraId="7CC5436E" w14:textId="0CF8CD79">
      <w:pPr>
        <w:ind w:left="180" w:firstLine="900"/>
        <w:rPr>
          <w:sz w:val="20"/>
        </w:rPr>
      </w:pPr>
      <w:r>
        <w:rPr>
          <w:b/>
        </w:rPr>
        <w:t>A0019</w:t>
      </w:r>
      <w:r w:rsidR="004945B5">
        <w:rPr>
          <w:b/>
        </w:rPr>
        <w:t xml:space="preserve">                                                      </w:t>
      </w:r>
      <w:r>
        <w:rPr>
          <w:b/>
        </w:rPr>
        <w:tab/>
      </w:r>
      <w:r>
        <w:rPr>
          <w:b/>
        </w:rPr>
        <w:tab/>
      </w:r>
      <w:r>
        <w:rPr>
          <w:b/>
        </w:rPr>
        <w:tab/>
      </w:r>
      <w:r w:rsidR="004945B5">
        <w:rPr>
          <w:b/>
        </w:rPr>
        <w:t xml:space="preserve"> </w:t>
      </w:r>
      <w:r>
        <w:rPr>
          <w:b/>
        </w:rPr>
        <w:t>....................</w:t>
      </w:r>
      <w:r w:rsidR="004945B5">
        <w:rPr>
          <w:b/>
        </w:rPr>
        <w:tab/>
      </w:r>
      <w:r w:rsidR="004945B5">
        <w:rPr>
          <w:b/>
        </w:rPr>
        <w:tab/>
      </w:r>
      <w:r w:rsidR="004945B5">
        <w:rPr>
          <w:b/>
        </w:rPr>
        <w:tab/>
      </w:r>
      <w:r w:rsidR="004945B5">
        <w:rPr>
          <w:b/>
        </w:rPr>
        <w:tab/>
        <w:t xml:space="preserve">                </w:t>
      </w:r>
      <w:r w:rsidR="004945B5">
        <w:rPr>
          <w:b/>
        </w:rPr>
        <w:tab/>
      </w:r>
      <w:r w:rsidR="004945B5">
        <w:rPr>
          <w:b/>
        </w:rPr>
        <w:tab/>
      </w:r>
      <w:r w:rsidR="004945B5">
        <w:rPr>
          <w:b/>
        </w:rPr>
        <w:tab/>
      </w:r>
      <w:r w:rsidR="004945B5">
        <w:rPr>
          <w:b/>
        </w:rPr>
        <w:tab/>
      </w:r>
      <w:r w:rsidR="004945B5">
        <w:rPr>
          <w:b/>
        </w:rPr>
        <w:tab/>
      </w:r>
      <w:r>
        <w:rPr>
          <w:b/>
        </w:rPr>
        <w:t xml:space="preserve">      </w:t>
      </w:r>
      <w:r w:rsidR="004945B5">
        <w:rPr>
          <w:sz w:val="20"/>
        </w:rPr>
        <w:t>în C.O., semnează preş. complet</w:t>
      </w:r>
    </w:p>
    <w:p w:rsidR="00ED5FFF" w14:paraId="36B8D244" w14:textId="77777777">
      <w:pPr>
        <w:ind w:left="-180" w:firstLine="360"/>
        <w:rPr>
          <w:b/>
        </w:rPr>
      </w:pPr>
    </w:p>
    <w:p w:rsidR="00ED5FFF" w14:paraId="6B67458E" w14:textId="77777777">
      <w:pPr>
        <w:ind w:left="-180" w:firstLine="360"/>
        <w:rPr>
          <w:b/>
        </w:rPr>
      </w:pPr>
    </w:p>
    <w:p w:rsidR="00ED5FFF" w14:paraId="73E44408" w14:textId="77777777">
      <w:pPr>
        <w:ind w:left="-180" w:firstLine="360"/>
        <w:rPr>
          <w:b/>
        </w:rPr>
      </w:pPr>
    </w:p>
    <w:p w:rsidR="00ED5FFF" w14:paraId="1712D308" w14:textId="77777777">
      <w:pPr>
        <w:ind w:left="-180" w:firstLine="360"/>
        <w:rPr>
          <w:b/>
        </w:rPr>
      </w:pPr>
      <w:r>
        <w:rPr>
          <w:b/>
        </w:rPr>
        <w:tab/>
      </w:r>
      <w:r>
        <w:rPr>
          <w:b/>
        </w:rPr>
        <w:tab/>
      </w:r>
      <w:r>
        <w:rPr>
          <w:b/>
        </w:rPr>
        <w:tab/>
      </w:r>
      <w:r>
        <w:rPr>
          <w:b/>
        </w:rPr>
        <w:tab/>
      </w:r>
      <w:r>
        <w:rPr>
          <w:b/>
        </w:rPr>
        <w:tab/>
        <w:t xml:space="preserve">              GREFIER</w:t>
      </w:r>
    </w:p>
    <w:p w:rsidR="00ED5FFF" w14:paraId="48369194" w14:textId="29E90C48">
      <w:pPr>
        <w:ind w:left="-180" w:firstLine="360"/>
        <w:rPr>
          <w:b/>
        </w:rPr>
      </w:pPr>
      <w:r>
        <w:rPr>
          <w:b/>
        </w:rPr>
        <w:t xml:space="preserve">                                                                </w:t>
      </w:r>
      <w:r w:rsidR="00A5513C">
        <w:rPr>
          <w:b/>
        </w:rPr>
        <w:t xml:space="preserve">        </w:t>
      </w:r>
      <w:r>
        <w:rPr>
          <w:b/>
        </w:rPr>
        <w:t xml:space="preserve"> </w:t>
      </w:r>
      <w:r w:rsidR="00A5513C">
        <w:rPr>
          <w:b/>
        </w:rPr>
        <w:t xml:space="preserve">........... </w:t>
      </w:r>
    </w:p>
    <w:p w:rsidR="00ED5FFF" w14:paraId="707BB307" w14:textId="77777777">
      <w:pPr>
        <w:jc w:val="center"/>
      </w:pPr>
    </w:p>
    <w:p w:rsidR="00ED5FFF" w14:paraId="549012B2" w14:textId="77777777">
      <w:pPr>
        <w:jc w:val="center"/>
      </w:pPr>
    </w:p>
    <w:p w:rsidR="00ED5FFF" w14:paraId="362A19F2" w14:textId="77777777">
      <w:pPr>
        <w:jc w:val="center"/>
      </w:pPr>
    </w:p>
    <w:p w:rsidR="00ED5FFF" w14:paraId="0832263E" w14:textId="77777777">
      <w:pPr>
        <w:jc w:val="center"/>
      </w:pPr>
    </w:p>
    <w:p w:rsidR="00ED5FFF" w14:paraId="06F1DD63" w14:textId="5B027039">
      <w:pPr>
        <w:rPr>
          <w:sz w:val="16"/>
        </w:rPr>
      </w:pPr>
      <w:r>
        <w:rPr>
          <w:sz w:val="16"/>
        </w:rPr>
        <w:t xml:space="preserve">Red. </w:t>
      </w:r>
      <w:r w:rsidR="00A5513C">
        <w:rPr>
          <w:sz w:val="16"/>
        </w:rPr>
        <w:t>.......</w:t>
      </w:r>
      <w:r>
        <w:rPr>
          <w:sz w:val="16"/>
        </w:rPr>
        <w:t xml:space="preserve">../Tehn. </w:t>
      </w:r>
      <w:r w:rsidR="00A5513C">
        <w:rPr>
          <w:sz w:val="16"/>
        </w:rPr>
        <w:t>......</w:t>
      </w:r>
      <w:r>
        <w:rPr>
          <w:sz w:val="16"/>
        </w:rPr>
        <w:t>./</w:t>
      </w:r>
      <w:r w:rsidR="00A5513C">
        <w:rPr>
          <w:sz w:val="16"/>
        </w:rPr>
        <w:t>......</w:t>
      </w:r>
    </w:p>
    <w:p w:rsidR="00ED5FFF" w14:paraId="07C6CFAC" w14:textId="6B044F5E">
      <w:pPr>
        <w:rPr>
          <w:sz w:val="16"/>
        </w:rPr>
      </w:pPr>
      <w:r>
        <w:rPr>
          <w:sz w:val="16"/>
        </w:rPr>
        <w:t xml:space="preserve">Jud. fond: </w:t>
      </w:r>
      <w:r w:rsidR="00A5513C">
        <w:rPr>
          <w:sz w:val="16"/>
        </w:rPr>
        <w:t>............</w:t>
      </w:r>
    </w:p>
    <w:p w:rsidR="00ED5FFF" w14:paraId="7119AF81" w14:textId="400D1825">
      <w:pPr>
        <w:rPr>
          <w:sz w:val="16"/>
        </w:rPr>
      </w:pPr>
      <w:r>
        <w:rPr>
          <w:sz w:val="16"/>
        </w:rPr>
        <w:t xml:space="preserve">4 ex./ </w:t>
      </w:r>
      <w:r w:rsidR="00A5513C">
        <w:rPr>
          <w:sz w:val="16"/>
        </w:rPr>
        <w:t>.............</w:t>
      </w:r>
    </w:p>
    <w:p w:rsidR="00ED5FFF" w14:paraId="016EE6A5" w14:textId="77777777">
      <w:pPr>
        <w:rPr>
          <w:b/>
        </w:rPr>
      </w:pPr>
    </w:p>
    <w:p w:rsidR="00ED5FFF" w14:paraId="1693084F" w14:textId="77777777">
      <w:pPr>
        <w:jc w:val="center"/>
      </w:pPr>
    </w:p>
    <w:p w:rsidR="00ED5FFF" w14:paraId="21B2734D" w14:textId="77777777">
      <w:pPr>
        <w:jc w:val="center"/>
      </w:pPr>
    </w:p>
    <w:p w:rsidR="00ED5FFF" w14:paraId="55FE2395" w14:textId="77777777">
      <w:pPr>
        <w:jc w:val="cente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5FFF" w14:paraId="2B5DDA84"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ED5FFF" w14:paraId="4A94CA5A" w14:textId="77777777">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5FFF" w14:paraId="79D89809"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ED5FFF" w14:paraId="054D7D05" w14:textId="77777777">
    <w:pPr>
      <w:pStyle w:val="Footer"/>
      <w:rPr>
        <w:rStyle w:val="PageNumb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FF"/>
    <w:rsid w:val="000E5CD6"/>
    <w:rsid w:val="00292854"/>
    <w:rsid w:val="00356D1C"/>
    <w:rsid w:val="003A446B"/>
    <w:rsid w:val="004945B5"/>
    <w:rsid w:val="00764208"/>
    <w:rsid w:val="009703DE"/>
    <w:rsid w:val="009E7F4F"/>
    <w:rsid w:val="00A23500"/>
    <w:rsid w:val="00A5513C"/>
    <w:rsid w:val="00A83D62"/>
    <w:rsid w:val="00AF35B8"/>
    <w:rsid w:val="00ED5FFF"/>
  </w:rsids>
  <w:docVars>
    <w:docVar w:name="url" w:val="http://bd-cjca:80/ecris_cdms/document_upload.aspx?id_document=3300000001743022&amp;id_departament=14&amp;id_sesiune=2260382&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2E2B627"/>
  <w15:docId w15:val="{14F13DA7-82A4-471B-9CB0-EF58FBF7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pPr>
      <w:tabs>
        <w:tab w:val="center" w:pos="4536"/>
        <w:tab w:val="right" w:pos="9072"/>
      </w:tabs>
    </w:pPr>
  </w:style>
  <w:style w:type="paragraph" w:customStyle="1" w:styleId="CaracterCaracter">
    <w:name w:val="Caracter Caracter"/>
    <w:basedOn w:val="Normal"/>
    <w:link w:val="LineNumber"/>
    <w:pPr>
      <w:widowControl w:val="0"/>
      <w:suppressAutoHyphens/>
    </w:pPr>
    <w:rPr>
      <w:lang w:val="pl-PL"/>
    </w:rPr>
  </w:style>
  <w:style w:type="character" w:styleId="LineNumber">
    <w:name w:val="line number"/>
    <w:basedOn w:val="DefaultParagraphFont"/>
    <w:link w:val="CaracterCaracter"/>
    <w:semiHidden/>
  </w:style>
  <w:style w:type="character" w:styleId="Hyperlink">
    <w:name w:val="Hyperlink"/>
    <w:rPr>
      <w:color w:val="0000FF"/>
      <w:u w:val="single"/>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50</ap:TotalTime>
  <ap:Pages>6</ap:Pages>
  <ap:Words>3409</ap:Words>
  <ap:Characters>19437</ap:Characters>
  <ap:Application>Microsoft Office Word</ap:Application>
  <ap:DocSecurity>0</ap:DocSecurity>
  <ap:Lines>161</ap:Lines>
  <ap:Paragraphs>45</ap:Paragraphs>
  <ap:ScaleCrop>false</ap:ScaleCrop>
  <ap:CharactersWithSpaces>22801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2023-07-31T08:07:00.0000000Z</lastPrinted>
  <dc:subject/>
  <dc:description/>
  <keywords/>
  <category/>
  <contentStatus/>
  <dc:identifier/>
  <dc:language/>
  <version/>
</coreProperties>
</file>