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8A705A" w14:paraId="3D41178E" w14:textId="79F1A4F4">
      <w:r>
        <w:t>ECLI:RO:</w:t>
      </w:r>
      <w:r w:rsidR="00C960C1">
        <w:t>....................................                                                              Hotărârea 21</w:t>
      </w:r>
    </w:p>
    <w:p w:rsidR="008A705A" w14:paraId="05318712" w14:textId="049D1671">
      <w:pPr>
        <w:rPr>
          <w:rStyle w:val="Fontdeparagrafimplicit"/>
          <w:b/>
        </w:rPr>
      </w:pPr>
      <w:r>
        <w:rPr>
          <w:rStyle w:val="Fontdeparagrafimplicit"/>
          <w:b/>
        </w:rPr>
        <w:t xml:space="preserve">Dosar nr. </w:t>
      </w:r>
      <w:r w:rsidR="00664B7B">
        <w:rPr>
          <w:rStyle w:val="Fontdeparagrafimplicit"/>
          <w:b/>
        </w:rPr>
        <w:t>...../..../2017</w:t>
      </w:r>
    </w:p>
    <w:p w:rsidR="008A705A" w14:paraId="581760E7" w14:textId="77777777">
      <w:pPr>
        <w:jc w:val="center"/>
        <w:rPr>
          <w:rStyle w:val="Fontdeparagrafimplicit"/>
          <w:b/>
        </w:rPr>
      </w:pPr>
      <w:r>
        <w:rPr>
          <w:rStyle w:val="Fontdeparagrafimplicit"/>
          <w:b/>
        </w:rPr>
        <w:t>R O M Â N I A</w:t>
      </w:r>
    </w:p>
    <w:p w:rsidR="008A705A" w14:paraId="13ED73EF" w14:textId="77777777">
      <w:pPr>
        <w:jc w:val="center"/>
        <w:rPr>
          <w:rStyle w:val="Fontdeparagrafimplicit"/>
          <w:b/>
        </w:rPr>
      </w:pPr>
    </w:p>
    <w:p w:rsidR="008A705A" w14:paraId="17854E86" w14:textId="19B77261">
      <w:pPr>
        <w:jc w:val="center"/>
        <w:rPr>
          <w:rStyle w:val="Fontdeparagrafimplicit"/>
          <w:b/>
        </w:rPr>
      </w:pPr>
      <w:r>
        <w:rPr>
          <w:rStyle w:val="Fontdeparagrafimplicit"/>
          <w:b/>
        </w:rPr>
        <w:t xml:space="preserve">CURTEA DE APEL </w:t>
      </w:r>
      <w:r w:rsidR="00834AFC">
        <w:rPr>
          <w:rStyle w:val="Fontdeparagrafimplicit"/>
          <w:b/>
        </w:rPr>
        <w:t>...............</w:t>
      </w:r>
    </w:p>
    <w:p w:rsidR="008A705A" w14:paraId="70223515" w14:textId="77777777">
      <w:pPr>
        <w:jc w:val="center"/>
        <w:rPr>
          <w:rStyle w:val="Fontdeparagrafimplicit"/>
          <w:b/>
          <w:lang w:val="en-US"/>
        </w:rPr>
      </w:pPr>
      <w:r>
        <w:rPr>
          <w:rStyle w:val="Fontdeparagrafimplicit"/>
          <w:b/>
        </w:rPr>
        <w:t>SECŢIA CONTENCIOS ADMINISTRATIV SI FISCAL</w:t>
      </w:r>
    </w:p>
    <w:p w:rsidR="008A705A" w14:paraId="6B5B4EA1" w14:textId="77777777">
      <w:pPr>
        <w:rPr>
          <w:rStyle w:val="Fontdeparagrafimplicit"/>
          <w:b/>
        </w:rPr>
      </w:pPr>
    </w:p>
    <w:p w:rsidR="008A705A" w14:paraId="28E454D3" w14:textId="16BFDB4A">
      <w:pPr>
        <w:jc w:val="center"/>
        <w:rPr>
          <w:rStyle w:val="Fontdeparagrafimplicit"/>
          <w:b/>
        </w:rPr>
      </w:pPr>
      <w:r>
        <w:rPr>
          <w:rStyle w:val="Fontdeparagrafimplicit"/>
          <w:b/>
        </w:rPr>
      </w:r>
      <w:bookmarkStart w:name="tip_incheiere" w:id="0"/>
      <w:r>
        <w:rPr>
          <w:rStyle w:val="Fontdeparagrafimplicit"/>
          <w:b/>
        </w:rPr>
      </w:r>
      <w:r>
        <w:rPr>
          <w:rStyle w:val="Fontdeparagrafimplicit"/>
          <w:b/>
        </w:rPr>
      </w:r>
      <w:r>
        <w:rPr>
          <w:rStyle w:val="Fontdeparagrafimplicit"/>
          <w:b/>
        </w:rPr>
        <w:t>DECIZIE</w:t>
      </w:r>
      <w:r>
        <w:rPr>
          <w:rStyle w:val="Fontdeparagrafimplicit"/>
          <w:b/>
        </w:rPr>
      </w:r>
      <w:bookmarkEnd w:id="0"/>
      <w:r>
        <w:rPr>
          <w:rStyle w:val="Fontdeparagrafimplicit"/>
          <w:b/>
        </w:rPr>
        <w:t xml:space="preserve"> Nr. </w:t>
      </w:r>
      <w:r w:rsidR="00834AFC">
        <w:rPr>
          <w:rStyle w:val="Fontdeparagrafimplicit"/>
          <w:b/>
        </w:rPr>
        <w:t>....</w:t>
      </w:r>
      <w:r>
        <w:rPr>
          <w:rStyle w:val="Fontdeparagrafimplicit"/>
          <w:b/>
        </w:rPr>
        <w:t>/</w:t>
      </w:r>
      <w:r w:rsidR="00834AFC">
        <w:rPr>
          <w:rStyle w:val="Fontdeparagrafimplicit"/>
          <w:b/>
        </w:rPr>
        <w:t>.....</w:t>
      </w:r>
    </w:p>
    <w:p w:rsidR="008A705A" w14:paraId="5A96F080" w14:textId="64852821">
      <w:pPr>
        <w:jc w:val="center"/>
        <w:rPr>
          <w:rStyle w:val="Fontdeparagrafimplicit"/>
          <w:b/>
        </w:rPr>
      </w:pPr>
      <w:r>
        <w:rPr>
          <w:rStyle w:val="Fontdeparagrafimplicit"/>
          <w:b/>
        </w:rPr>
        <w:t>Şedinţa </w:t>
      </w:r>
      <w:r>
        <w:rPr>
          <w:rStyle w:val="Fontdeparagrafimplicit"/>
          <w:b/>
        </w:rPr>
      </w:r>
      <w:bookmarkStart w:name="tip_sedinta" w:id="1"/>
      <w:r>
        <w:rPr>
          <w:rStyle w:val="Fontdeparagrafimplicit"/>
          <w:b/>
        </w:rPr>
      </w:r>
      <w:r>
        <w:rPr>
          <w:rStyle w:val="Fontdeparagrafimplicit"/>
          <w:b/>
        </w:rPr>
      </w:r>
      <w:r>
        <w:rPr>
          <w:rStyle w:val="Fontdeparagrafimplicit"/>
          <w:b/>
        </w:rPr>
        <w:t>publică</w:t>
      </w:r>
      <w:r>
        <w:rPr>
          <w:rStyle w:val="Fontdeparagrafimplicit"/>
          <w:b/>
        </w:rPr>
      </w:r>
      <w:bookmarkEnd w:id="1"/>
      <w:r>
        <w:rPr>
          <w:rStyle w:val="Fontdeparagrafimplicit"/>
          <w:b/>
        </w:rPr>
        <w:t xml:space="preserve"> de la </w:t>
      </w:r>
      <w:r w:rsidR="00834AFC">
        <w:rPr>
          <w:rStyle w:val="Fontdeparagrafimplicit"/>
          <w:b/>
        </w:rPr>
        <w:t>...............</w:t>
      </w:r>
      <w:r>
        <w:rPr>
          <w:rStyle w:val="Fontdeparagrafimplicit"/>
          <w:b/>
        </w:rPr>
        <w:t xml:space="preserve"> </w:t>
      </w:r>
    </w:p>
    <w:p w:rsidR="008A705A" w14:paraId="6B955423" w14:textId="77777777">
      <w:pPr>
        <w:jc w:val="center"/>
        <w:rPr>
          <w:rStyle w:val="Fontdeparagrafimplicit"/>
          <w:b/>
        </w:rPr>
      </w:pPr>
      <w:r>
        <w:rPr>
          <w:rStyle w:val="Fontdeparagrafimplicit"/>
          <w:b/>
        </w:rPr>
        <w:t>Instanţa constituită din:</w:t>
      </w:r>
    </w:p>
    <w:p w:rsidR="008A705A" w14:paraId="5AC9A34C" w14:textId="16A10145">
      <w:pPr>
        <w:jc w:val="center"/>
        <w:rPr>
          <w:rStyle w:val="Fontdeparagrafimplicit"/>
          <w:b/>
        </w:rPr>
      </w:pPr>
      <w:r>
        <w:rPr>
          <w:rStyle w:val="Fontdeparagrafimplicit"/>
          <w:b/>
        </w:rPr>
        <w:t xml:space="preserve">PREŞEDINTE </w:t>
      </w:r>
      <w:r w:rsidR="00834AFC">
        <w:rPr>
          <w:rStyle w:val="Fontdeparagrafimplicit"/>
          <w:b/>
        </w:rPr>
        <w:t>...............</w:t>
      </w:r>
    </w:p>
    <w:p w:rsidR="008A705A" w14:paraId="048A79B3" w14:textId="545FFE2F">
      <w:pPr>
        <w:jc w:val="center"/>
        <w:rPr>
          <w:rStyle w:val="Fontdeparagrafimplicit"/>
          <w:b/>
        </w:rPr>
      </w:pPr>
      <w:r>
        <w:rPr>
          <w:rStyle w:val="Fontdeparagrafimplicit"/>
          <w:b/>
        </w:rPr>
        <w:t xml:space="preserve">Judecător </w:t>
      </w:r>
      <w:r w:rsidR="00C960C1">
        <w:rPr>
          <w:rStyle w:val="Fontdeparagrafimplicit"/>
          <w:b/>
        </w:rPr>
        <w:t>A0001</w:t>
      </w:r>
    </w:p>
    <w:p w:rsidR="008A705A" w14:paraId="4F6B6865" w14:textId="3DB66580">
      <w:pPr>
        <w:jc w:val="center"/>
        <w:rPr>
          <w:rStyle w:val="Fontdeparagrafimplicit"/>
          <w:b/>
        </w:rPr>
      </w:pPr>
      <w:r>
        <w:rPr>
          <w:rStyle w:val="Fontdeparagrafimplicit"/>
          <w:b/>
        </w:rPr>
        <w:t xml:space="preserve">Judecător </w:t>
      </w:r>
      <w:r w:rsidR="00834AFC">
        <w:rPr>
          <w:rStyle w:val="Fontdeparagrafimplicit"/>
          <w:b/>
        </w:rPr>
        <w:t>...............</w:t>
      </w:r>
    </w:p>
    <w:p w:rsidR="008A705A" w14:paraId="6690D683" w14:textId="6631751E">
      <w:pPr>
        <w:jc w:val="center"/>
        <w:rPr>
          <w:rStyle w:val="Fontdeparagrafimplicit"/>
        </w:rPr>
      </w:pPr>
      <w:r>
        <w:rPr>
          <w:rStyle w:val="Fontdeparagrafimplicit"/>
          <w:b/>
        </w:rPr>
        <w:t xml:space="preserve">Grefier </w:t>
      </w:r>
      <w:r w:rsidR="00834AFC">
        <w:rPr>
          <w:rStyle w:val="Fontdeparagrafimplicit"/>
          <w:b/>
        </w:rPr>
        <w:t>...............</w:t>
      </w:r>
    </w:p>
    <w:p w:rsidR="008A705A" w14:paraId="5D82480A" w14:textId="77777777">
      <w:pPr>
        <w:rPr>
          <w:rStyle w:val="Fontdeparagrafimplicit"/>
        </w:rPr>
      </w:pPr>
    </w:p>
    <w:p w:rsidR="008A705A" w14:paraId="6A128969" w14:textId="77777777">
      <w:pPr>
        <w:rPr>
          <w:rStyle w:val="Fontdeparagrafimplicit"/>
        </w:rPr>
      </w:pPr>
    </w:p>
    <w:p w:rsidR="008A705A" w14:paraId="642E82EB" w14:textId="3AAC0DD9">
      <w:pPr>
        <w:ind w:firstLine="708"/>
        <w:jc w:val="both"/>
      </w:pPr>
      <w:r>
        <w:t xml:space="preserve">Pe rol, judecarea recursului declarat de reclamantul </w:t>
      </w:r>
      <w:bookmarkStart w:name="_Hlk236606758" w:id="2"/>
      <w:r>
        <w:rPr>
          <w:rStyle w:val="Fontdeparagrafimplicit"/>
          <w:b/>
        </w:rPr>
        <w:t xml:space="preserve">SINDICATUL ADMINISTRAŢIEI PUBLICE </w:t>
      </w:r>
      <w:r w:rsidR="00834AFC">
        <w:rPr>
          <w:rStyle w:val="Fontdeparagrafimplicit"/>
          <w:b/>
        </w:rPr>
        <w:t>...W...</w:t>
      </w:r>
      <w:r>
        <w:rPr>
          <w:rStyle w:val="Fontdeparagrafimplicit"/>
          <w:b/>
        </w:rPr>
        <w:t xml:space="preserve"> </w:t>
      </w:r>
      <w:bookmarkEnd w:id="2"/>
      <w:r>
        <w:rPr>
          <w:rStyle w:val="Fontdeparagrafimplicit"/>
          <w:b/>
        </w:rPr>
        <w:t xml:space="preserve">PENTRU </w:t>
      </w:r>
      <w:bookmarkStart w:name="_Hlk236606800" w:id="3"/>
      <w:r w:rsidR="00834AFC">
        <w:rPr>
          <w:rStyle w:val="Fontdeparagrafimplicit"/>
          <w:b/>
        </w:rPr>
        <w:t>...Y.1...</w:t>
      </w:r>
      <w:r>
        <w:rPr>
          <w:rStyle w:val="Fontdeparagrafimplicit"/>
          <w:b/>
        </w:rPr>
        <w:t xml:space="preserve">, </w:t>
      </w:r>
      <w:r w:rsidR="00834AFC">
        <w:rPr>
          <w:rStyle w:val="Fontdeparagrafimplicit"/>
          <w:b/>
        </w:rPr>
        <w:t>...Y.2...</w:t>
      </w:r>
      <w:r>
        <w:rPr>
          <w:rStyle w:val="Fontdeparagrafimplicit"/>
          <w:b/>
        </w:rPr>
        <w:t xml:space="preserve">, </w:t>
      </w:r>
      <w:r w:rsidR="00834AFC">
        <w:rPr>
          <w:rStyle w:val="Fontdeparagrafimplicit"/>
          <w:b/>
        </w:rPr>
        <w:t>...Y.3...</w:t>
      </w:r>
      <w:r>
        <w:rPr>
          <w:rStyle w:val="Fontdeparagrafimplicit"/>
          <w:b/>
        </w:rPr>
        <w:t xml:space="preserve">, </w:t>
      </w:r>
      <w:r w:rsidR="00834AFC">
        <w:rPr>
          <w:rStyle w:val="Fontdeparagrafimplicit"/>
          <w:b/>
        </w:rPr>
        <w:t>...Y.4...</w:t>
      </w:r>
      <w:r>
        <w:rPr>
          <w:rStyle w:val="Fontdeparagrafimplicit"/>
          <w:b/>
        </w:rPr>
        <w:t xml:space="preserve">, </w:t>
      </w:r>
      <w:r w:rsidR="00834AFC">
        <w:rPr>
          <w:rStyle w:val="Fontdeparagrafimplicit"/>
          <w:b/>
        </w:rPr>
        <w:t>...Y.5...</w:t>
      </w:r>
      <w:r>
        <w:rPr>
          <w:rStyle w:val="Fontdeparagrafimplicit"/>
          <w:b/>
        </w:rPr>
        <w:t xml:space="preserve">, </w:t>
      </w:r>
      <w:r w:rsidR="00834AFC">
        <w:rPr>
          <w:rStyle w:val="Fontdeparagrafimplicit"/>
          <w:b/>
        </w:rPr>
        <w:t>...Y.6...</w:t>
      </w:r>
      <w:r>
        <w:rPr>
          <w:rStyle w:val="Fontdeparagrafimplicit"/>
          <w:b/>
        </w:rPr>
        <w:t xml:space="preserve">, </w:t>
      </w:r>
      <w:r w:rsidR="00834AFC">
        <w:rPr>
          <w:rStyle w:val="Fontdeparagrafimplicit"/>
          <w:b/>
        </w:rPr>
        <w:t>...Y.7...</w:t>
      </w:r>
      <w:r>
        <w:rPr>
          <w:rStyle w:val="Fontdeparagrafimplicit"/>
          <w:b/>
        </w:rPr>
        <w:t xml:space="preserve">, </w:t>
      </w:r>
      <w:r w:rsidR="00834AFC">
        <w:rPr>
          <w:rStyle w:val="Fontdeparagrafimplicit"/>
          <w:b/>
        </w:rPr>
        <w:t>...Y.8...</w:t>
      </w:r>
      <w:r>
        <w:rPr>
          <w:rStyle w:val="Fontdeparagrafimplicit"/>
          <w:b/>
        </w:rPr>
        <w:t xml:space="preserve">, </w:t>
      </w:r>
      <w:r w:rsidR="00834AFC">
        <w:rPr>
          <w:rStyle w:val="Fontdeparagrafimplicit"/>
          <w:b/>
        </w:rPr>
        <w:t>...Y.9...</w:t>
      </w:r>
      <w:r>
        <w:rPr>
          <w:rStyle w:val="Fontdeparagrafimplicit"/>
          <w:b/>
        </w:rPr>
        <w:t xml:space="preserve">, </w:t>
      </w:r>
      <w:r w:rsidR="00834AFC">
        <w:rPr>
          <w:rStyle w:val="Fontdeparagrafimplicit"/>
          <w:b/>
        </w:rPr>
        <w:t>...Y.10...</w:t>
      </w:r>
      <w:r>
        <w:rPr>
          <w:rStyle w:val="Fontdeparagrafimplicit"/>
          <w:b/>
        </w:rPr>
        <w:t xml:space="preserve"> ŞI </w:t>
      </w:r>
      <w:r w:rsidR="00834AFC">
        <w:rPr>
          <w:rStyle w:val="Fontdeparagrafimplicit"/>
          <w:b/>
        </w:rPr>
        <w:t>...Y.11...</w:t>
      </w:r>
      <w:bookmarkEnd w:id="3"/>
      <w:r>
        <w:t xml:space="preserve">, împotriva sentinţei nr. </w:t>
      </w:r>
      <w:r w:rsidR="00834AFC">
        <w:t>..../.............</w:t>
      </w:r>
      <w:r>
        <w:t xml:space="preserve">, pronunţată de Tribunalul </w:t>
      </w:r>
      <w:r w:rsidR="00834AFC">
        <w:t>...A...</w:t>
      </w:r>
      <w:r>
        <w:t xml:space="preserve"> în dosarul nr. </w:t>
      </w:r>
      <w:r w:rsidR="00664B7B">
        <w:t>...../..../2017</w:t>
      </w:r>
      <w:r>
        <w:t xml:space="preserve">, în contradictoriu cu intimatul pârât </w:t>
      </w:r>
      <w:r>
        <w:rPr>
          <w:rStyle w:val="Fontdeparagrafimplicit"/>
          <w:b/>
        </w:rPr>
        <w:t xml:space="preserve">PRIMARUL </w:t>
      </w:r>
      <w:bookmarkStart w:name="_Hlk236607123" w:id="4"/>
      <w:r>
        <w:rPr>
          <w:rStyle w:val="Fontdeparagrafimplicit"/>
          <w:b/>
        </w:rPr>
        <w:t xml:space="preserve">COMUNEI </w:t>
      </w:r>
      <w:r w:rsidR="00834AFC">
        <w:rPr>
          <w:rStyle w:val="Fontdeparagrafimplicit"/>
          <w:b/>
        </w:rPr>
        <w:t>...B...</w:t>
      </w:r>
      <w:bookmarkEnd w:id="4"/>
      <w:r>
        <w:t>.</w:t>
      </w:r>
    </w:p>
    <w:p w:rsidR="008A705A" w14:paraId="67616249" w14:textId="596E9896">
      <w:pPr>
        <w:ind w:firstLine="708"/>
        <w:jc w:val="both"/>
      </w:pPr>
      <w:r>
        <w:t xml:space="preserve">La apelul nominal, făcut în şedinţa </w:t>
      </w:r>
      <w:r>
        <w:t>publică</w:t>
      </w:r>
      <w:r>
        <w:t xml:space="preserve">, a răspuns consilier juridic </w:t>
      </w:r>
      <w:r w:rsidR="00834AFC">
        <w:t>..............</w:t>
      </w:r>
      <w:r>
        <w:t xml:space="preserve">, pentru recurentul reclamant SAP </w:t>
      </w:r>
      <w:r w:rsidR="00834AFC">
        <w:t>...W...</w:t>
      </w:r>
      <w:r>
        <w:t xml:space="preserve">, lipsind intimatul pârât PRIMARUL COMUNEI </w:t>
      </w:r>
      <w:r w:rsidR="00834AFC">
        <w:t>...B...</w:t>
      </w:r>
      <w:r>
        <w:t xml:space="preserve">. </w:t>
      </w:r>
    </w:p>
    <w:p w:rsidR="008A705A" w14:paraId="1E048076" w14:textId="77777777">
      <w:pPr>
        <w:ind w:firstLine="708"/>
        <w:jc w:val="both"/>
      </w:pPr>
      <w:r>
        <w:t xml:space="preserve">Procedura de citare a părţilor este </w:t>
      </w:r>
      <w:r>
        <w:t>legal</w:t>
      </w:r>
      <w:r>
        <w:t xml:space="preserve"> îndeplinită.</w:t>
      </w:r>
    </w:p>
    <w:p w:rsidR="008A705A" w14:paraId="2DC0DE99" w14:textId="77777777">
      <w:pPr>
        <w:ind w:firstLine="708"/>
        <w:jc w:val="both"/>
      </w:pPr>
      <w:r>
        <w:t xml:space="preserve">S-a făcut </w:t>
      </w:r>
      <w:r>
        <w:t>referatul</w:t>
      </w:r>
      <w:r>
        <w:t xml:space="preserve"> cauzei de către </w:t>
      </w:r>
      <w:r>
        <w:t>grefier</w:t>
      </w:r>
      <w:r>
        <w:t xml:space="preserve">ul de şedinţă, </w:t>
      </w:r>
      <w:r>
        <w:t>care învederează</w:t>
      </w:r>
      <w:r>
        <w:t xml:space="preserve"> instanţei obiectul cauzei, stadiul judecăţii, modalitatea de îndeplinire a procedurii de citare, faptul că recursul a fost declarat şi motivat în termenul legal, intimatul pârât a formulat întâmpinare, s-a solicitat judecarea cauzei în lipsă, după care: </w:t>
      </w:r>
    </w:p>
    <w:p w:rsidR="008A705A" w14:paraId="5B28621B" w14:textId="6776C1C0">
      <w:pPr>
        <w:ind w:firstLine="708"/>
        <w:jc w:val="both"/>
      </w:pPr>
      <w:r>
        <w:t xml:space="preserve">Consilier juridic </w:t>
      </w:r>
      <w:r w:rsidR="00834AFC">
        <w:t>.................</w:t>
      </w:r>
      <w:r>
        <w:t>, pentru recurenta reclamantă, depune la dosar cerere de suspendare a cauzei până la soluţionarea cererii de sesizare a ÎCCJ.</w:t>
      </w:r>
    </w:p>
    <w:p w:rsidR="008A705A" w14:paraId="37488D6F" w14:textId="77777777">
      <w:pPr>
        <w:ind w:firstLine="708"/>
        <w:jc w:val="both"/>
      </w:pPr>
      <w:r>
        <w:t>Instanţa, pune în discuţie cererea de suspendare a cauzei până la soluţionarea sesizării Înaltei Curţi de Casaţie şi Justiţie.</w:t>
      </w:r>
    </w:p>
    <w:p w:rsidR="008A705A" w14:paraId="7566BD2D" w14:textId="2A95B99E">
      <w:pPr>
        <w:ind w:firstLine="708"/>
        <w:jc w:val="both"/>
      </w:pPr>
      <w:r>
        <w:t xml:space="preserve">Consilier juridic </w:t>
      </w:r>
      <w:r w:rsidR="00834AFC">
        <w:t>.................</w:t>
      </w:r>
      <w:r>
        <w:t xml:space="preserve">, pentru recurenta reclamantă, solicită instanţei admiterea cererii de suspendare, având în vedere că în </w:t>
      </w:r>
      <w:bookmarkStart w:name="_Hlk236607219" w:id="5"/>
      <w:r>
        <w:t xml:space="preserve">dosarul nr. </w:t>
      </w:r>
      <w:r w:rsidR="00834AFC">
        <w:t>..x../.../2017</w:t>
      </w:r>
      <w:bookmarkEnd w:id="5"/>
      <w:r>
        <w:t xml:space="preserve">, Curtea de Apel </w:t>
      </w:r>
      <w:r w:rsidR="00834AFC">
        <w:t>...............</w:t>
      </w:r>
      <w:r>
        <w:t xml:space="preserve"> a dispus sesizarea ICCJ în vederea pronunţării unei hotărâri prealabile pentru dezlegarea unei probleme de drept ce vizează şi prezenta cauză.</w:t>
      </w:r>
    </w:p>
    <w:p w:rsidR="008A705A" w14:paraId="01747019" w14:textId="77777777">
      <w:pPr>
        <w:ind w:firstLine="708"/>
        <w:jc w:val="both"/>
      </w:pPr>
      <w:r>
        <w:t>Instanţa acordă cuvântul la dezbateri cu privire la recursul formulat.</w:t>
      </w:r>
    </w:p>
    <w:p w:rsidR="008A705A" w14:paraId="6AFD0F39" w14:textId="582B98E8">
      <w:pPr>
        <w:ind w:firstLine="708"/>
        <w:jc w:val="both"/>
      </w:pPr>
      <w:r>
        <w:t xml:space="preserve">Consilier juridic </w:t>
      </w:r>
      <w:r w:rsidR="00834AFC">
        <w:t>.................</w:t>
      </w:r>
      <w:r>
        <w:t xml:space="preserve">, pentru recurenta reclamantă, solicită instanţei admiterea recursului, casarea în tot a hotărârii atacate, şi rejudecând, solicită admiterea acţiunii aşa cum a fost formulată.  </w:t>
      </w:r>
    </w:p>
    <w:p w:rsidR="008A705A" w14:paraId="093DFAFE" w14:textId="77777777">
      <w:pPr>
        <w:ind w:firstLine="720"/>
        <w:jc w:val="both"/>
      </w:pPr>
    </w:p>
    <w:p w:rsidR="008A705A" w14:paraId="29D295E7" w14:textId="77777777">
      <w:pPr>
        <w:ind w:firstLine="720"/>
        <w:jc w:val="both"/>
      </w:pPr>
    </w:p>
    <w:p w:rsidR="008A705A" w14:paraId="0ECD782B" w14:textId="77777777">
      <w:pPr>
        <w:jc w:val="center"/>
        <w:rPr>
          <w:rStyle w:val="Fontdeparagrafimplicit"/>
          <w:b/>
        </w:rPr>
      </w:pPr>
      <w:r>
        <w:rPr>
          <w:rStyle w:val="Fontdeparagrafimplicit"/>
          <w:b/>
        </w:rPr>
        <w:t>CURTEA</w:t>
      </w:r>
    </w:p>
    <w:p w:rsidR="008A705A" w14:paraId="7B87B467" w14:textId="77777777">
      <w:pPr>
        <w:jc w:val="center"/>
        <w:rPr>
          <w:rStyle w:val="Fontdeparagrafimplicit"/>
          <w:b/>
        </w:rPr>
      </w:pPr>
    </w:p>
    <w:p w:rsidR="008A705A" w14:paraId="2020C8C2" w14:textId="77777777">
      <w:pPr>
        <w:jc w:val="center"/>
        <w:rPr>
          <w:rStyle w:val="Fontdeparagrafimplicit"/>
        </w:rPr>
      </w:pPr>
    </w:p>
    <w:p w:rsidR="008A705A" w14:paraId="24C27F56" w14:textId="77777777">
      <w:pPr>
        <w:ind w:firstLine="708"/>
        <w:jc w:val="both"/>
      </w:pPr>
      <w:r>
        <w:t>Deliberând asupra recursului declarat, constată următoarele:</w:t>
      </w:r>
    </w:p>
    <w:p w:rsidR="008A705A" w14:paraId="549BDD4F" w14:textId="35705817">
      <w:pPr>
        <w:ind w:firstLine="708"/>
        <w:jc w:val="both"/>
      </w:pPr>
      <w:r>
        <w:rPr>
          <w:rStyle w:val="Fontdeparagrafimplicit"/>
          <w:b/>
        </w:rPr>
        <w:t xml:space="preserve">Prin sentinţa nr. </w:t>
      </w:r>
      <w:r w:rsidR="00834AFC">
        <w:rPr>
          <w:rStyle w:val="Fontdeparagrafimplicit"/>
          <w:b/>
        </w:rPr>
        <w:t>..../.............</w:t>
      </w:r>
      <w:r>
        <w:rPr>
          <w:rStyle w:val="Fontdeparagrafimplicit"/>
          <w:b/>
        </w:rPr>
        <w:t xml:space="preserve">, pronunţată de Tribunalul </w:t>
      </w:r>
      <w:r w:rsidR="00834AFC">
        <w:rPr>
          <w:rStyle w:val="Fontdeparagrafimplicit"/>
          <w:b/>
        </w:rPr>
        <w:t>...A...</w:t>
      </w:r>
      <w:r>
        <w:rPr>
          <w:rStyle w:val="Fontdeparagrafimplicit"/>
          <w:b/>
        </w:rPr>
        <w:t xml:space="preserve"> în dosarul nr. </w:t>
      </w:r>
      <w:r w:rsidR="00664B7B">
        <w:rPr>
          <w:rStyle w:val="Fontdeparagrafimplicit"/>
          <w:b/>
        </w:rPr>
        <w:t>...../..../2017</w:t>
      </w:r>
      <w:r>
        <w:t xml:space="preserve">, s-a respins acţiunea formulată de reclamantul SINDICATUL ADMINISTRAŢIEI PUBLICE </w:t>
      </w:r>
      <w:r w:rsidR="00834AFC">
        <w:t>...W...</w:t>
      </w:r>
      <w:r>
        <w:t xml:space="preserve"> PENTRU </w:t>
      </w:r>
      <w:r w:rsidR="00834AFC">
        <w:t>...Y.1...</w:t>
      </w:r>
      <w:r>
        <w:t xml:space="preserve">, </w:t>
      </w:r>
      <w:r w:rsidR="00834AFC">
        <w:t>...Y.2...</w:t>
      </w:r>
      <w:r>
        <w:t xml:space="preserve">, </w:t>
      </w:r>
      <w:r w:rsidR="00834AFC">
        <w:t>...Y.3...</w:t>
      </w:r>
      <w:r>
        <w:t xml:space="preserve">, </w:t>
      </w:r>
      <w:r w:rsidR="00834AFC">
        <w:t>...Y.4...</w:t>
      </w:r>
      <w:r>
        <w:t xml:space="preserve">, </w:t>
      </w:r>
      <w:r w:rsidR="00834AFC">
        <w:t>...Y.5...</w:t>
      </w:r>
      <w:r>
        <w:t xml:space="preserve">, </w:t>
      </w:r>
      <w:r w:rsidR="00834AFC">
        <w:t>...Y.6...</w:t>
      </w:r>
      <w:r>
        <w:t xml:space="preserve">, </w:t>
      </w:r>
      <w:r w:rsidR="00834AFC">
        <w:t>...Y.7...</w:t>
      </w:r>
      <w:r>
        <w:t xml:space="preserve">, </w:t>
      </w:r>
      <w:r w:rsidR="00834AFC">
        <w:t>...Y.8...</w:t>
      </w:r>
      <w:r>
        <w:t xml:space="preserve">, </w:t>
      </w:r>
      <w:r w:rsidR="00834AFC">
        <w:t>...Y.9...</w:t>
      </w:r>
      <w:r>
        <w:t xml:space="preserve">, </w:t>
      </w:r>
      <w:r w:rsidR="00834AFC">
        <w:t>...Y.10...</w:t>
      </w:r>
      <w:r>
        <w:t xml:space="preserve"> ŞI </w:t>
      </w:r>
      <w:r w:rsidR="00834AFC">
        <w:t>...Y.11...</w:t>
      </w:r>
      <w:r>
        <w:t xml:space="preserve">, cu sediul în </w:t>
      </w:r>
      <w:r w:rsidR="00664B7B">
        <w:t>.........................................</w:t>
      </w:r>
      <w:r>
        <w:t xml:space="preserve">, în contradictoriu cu pârâtul PRIMARUL COMUNEI </w:t>
      </w:r>
      <w:r w:rsidR="00834AFC">
        <w:t>...B...</w:t>
      </w:r>
      <w:r>
        <w:t xml:space="preserve">, cu sediul în </w:t>
      </w:r>
      <w:r w:rsidR="00664B7B">
        <w:t>...................................................</w:t>
      </w:r>
      <w:r>
        <w:t xml:space="preserve">. </w:t>
      </w:r>
    </w:p>
    <w:p w:rsidR="008A705A" w14:paraId="7A85FC15" w14:textId="7C91042E">
      <w:pPr>
        <w:ind w:firstLine="708"/>
        <w:jc w:val="both"/>
      </w:pPr>
      <w:r>
        <w:rPr>
          <w:rStyle w:val="Fontdeparagrafimplicit"/>
          <w:b/>
        </w:rPr>
        <w:t xml:space="preserve">Împotriva acestei sentinţei a formulat recurs </w:t>
      </w:r>
      <w:r>
        <w:t>reclamantul SINDICATUL ADMINISTRAŢIEI PUBLICE "</w:t>
      </w:r>
      <w:r w:rsidR="00834AFC">
        <w:t>...W...</w:t>
      </w:r>
      <w:r>
        <w:t>", criticând-o pentru nelegalitate şi netemeinicie.</w:t>
      </w:r>
    </w:p>
    <w:p w:rsidR="008A705A" w14:paraId="0124B069" w14:textId="77777777">
      <w:pPr>
        <w:ind w:firstLine="709"/>
        <w:jc w:val="both"/>
      </w:pPr>
      <w:r>
        <w:t>În motivare, a arătat că instanţa de fond în mod netemeinic şi nelegal a respins cererea de chemare în judecată prin care a solicitat:</w:t>
      </w:r>
    </w:p>
    <w:p w:rsidR="008A705A" w14:paraId="77906C81" w14:textId="77777777">
      <w:pPr>
        <w:ind w:firstLine="709"/>
        <w:jc w:val="both"/>
      </w:pPr>
      <w:r>
        <w:t>1. anularea în parte a dispoziţiilor nr.-le 89, 90, 93, 88, 103, 101, 92, 102, 91, 94, 95 emise de pârâtă în data de 30.01.2017, în ceea ce priveşte cuantumul salariului de bază stabilit prin acestea</w:t>
      </w:r>
    </w:p>
    <w:p w:rsidR="008A705A" w14:paraId="7A9F9230" w14:textId="77777777">
      <w:pPr>
        <w:ind w:firstLine="709"/>
        <w:jc w:val="both"/>
      </w:pPr>
      <w:r>
        <w:t>2. stabilirea salariului membrilor de sindicat din prezenta acţiune, promovată în numele acestora, începând cu data de 01.02.2017 până la data de 30.06.2017, la nivelul maxim al salariului de bază fa nivel naţional, stabilit prin raportare la aceeaşi funcţie, grad/treaptă, gradaţie, vechime în muncă şi în specialitate, aceleaşi condiţii de studii, din cadrul întregii categorii profesionale, respectiv familii ocupaţionale, indiferent de instituţie sau autoritate publică, care să includă şi drepturile stabilite sau recunoscute prin hotărâri judecătoreşti definitive şi irevocabile/definitive,</w:t>
      </w:r>
    </w:p>
    <w:p w:rsidR="008A705A" w14:paraId="56B83472" w14:textId="77777777">
      <w:pPr>
        <w:ind w:firstLine="709"/>
        <w:jc w:val="both"/>
      </w:pPr>
      <w:r>
        <w:t>3. obligarea pârâtei să acorde reclamanţilor diferenţele salariate dintre salariul stabilit potrivit capătului de cerere nr. 2 şi cele acordate efectiv în perioada începând cu data de 09.04.2015 şi până la 30.06.2017, sume actualizate, plus dobânda legală.</w:t>
      </w:r>
    </w:p>
    <w:p w:rsidR="008A705A" w14:paraId="73C0E0BD" w14:textId="77777777">
      <w:pPr>
        <w:ind w:firstLine="709"/>
        <w:jc w:val="both"/>
      </w:pPr>
      <w:r>
        <w:t>Prin cererea de chemare în judecată instanţa de fond a fost sesizată cu o acţiune având ca obiect stabilirea cuantumului salariului brut lunar ale recurenţilor-reclamanţi, în motivarea căreia am arătat că recurenţii-reclamanţi pe care îi reprezentăm au salariul de bază brut mai mic decât alţi colegi încadraţi în alte instituţii sau autorităţi publice din ţară, pe aceeaşi funcţie, grad, gradaţie, vechime în muncă şi în specialitate, aceleaşi condiţii de studii, din cadrul întregii categorii profesionale a "funcţionarilor publici", respectiv familii ocupaţionale de funcţii bugetare "Administraţie", realizându-se astfel o discriminare între recurenţii-reclamanţi şt alţi colegi cu aceeaşi încadrare, ca urmare a aplicării greşite a actelor normative succesive emise în materia salarizării.</w:t>
      </w:r>
    </w:p>
    <w:p w:rsidR="008A705A" w14:paraId="497A9F02" w14:textId="77777777">
      <w:pPr>
        <w:ind w:firstLine="709"/>
        <w:jc w:val="both"/>
      </w:pPr>
      <w:r>
        <w:t>Acţiunea formulată a vizat aplicarea pct. 34-35 din considerentele Deciziei CCR nr. 794/2016, potrivit cărora în vederea egalizării prevăzute de art. 3^1 alin. (1) din OUG nr. 57/2015, nivelul maxim al salariului de bază, care trebuie să includă şi drepturile stabilite sau recunoscute prin hotărâri judecătoreşti definitive şi irevocabile/definitive, urmează să se stabilească prin raportare la aceeaşi funcţie, grad, gradaţie, vechime în muncă şi în specialitate, aceleaşi condiţii de studii, din cadrul întregii categorii profesionale, respectiv familii ocupaţionale, indiferent de instituţie sau autoritate publică.</w:t>
      </w:r>
    </w:p>
    <w:p w:rsidR="008A705A" w14:paraId="0032DC62" w14:textId="77777777">
      <w:pPr>
        <w:ind w:firstLine="709"/>
        <w:jc w:val="both"/>
      </w:pPr>
      <w:r>
        <w:t>Instanţa de fond a fost chemată să constate că intimata-pârâtă nu a respectat obligaţia de a le stabili salariile recurenţilor-reclamanţi în conformitate cu prevederile art. 3^1 alin. (1) din OUG nr. 57/2015 şi considerentele pct. 34 din Decizia Curţii Constituţionale nr. 794/2016, publicată la data de 21 decembrie 2016, aşadar anterior apariţiei OUG nr. 2/2017.</w:t>
      </w:r>
    </w:p>
    <w:p w:rsidR="008A705A" w14:paraId="3A3D481C" w14:textId="77777777">
      <w:pPr>
        <w:ind w:firstLine="709"/>
        <w:jc w:val="both"/>
      </w:pPr>
      <w:r>
        <w:t>Potrivit dispoziţiilor art. 147 alin. (4) din Constituţie, atât considerentele, cât şi dispozitivul deciziilor Curţii Constituţionale sunt general obligatorii şi se impun cu aceeaşi forţă tuturor subiectelor de drept.</w:t>
      </w:r>
    </w:p>
    <w:p w:rsidR="008A705A" w14:paraId="5C042FF7" w14:textId="77777777">
      <w:pPr>
        <w:ind w:firstLine="709"/>
        <w:jc w:val="both"/>
      </w:pPr>
      <w:r>
        <w:t>Se apreciază că interpretarea pe care instanţa de fond a dat-o textului de lege intră în contradicţie cu voinţa legiuitorului, astfel cum a fost interpretată de Curtea Constituţională prin Decizia nr. 794/2016.</w:t>
      </w:r>
    </w:p>
    <w:p w:rsidR="008A705A" w14:paraId="27B0FE22" w14:textId="77777777">
      <w:pPr>
        <w:ind w:firstLine="709"/>
        <w:jc w:val="both"/>
      </w:pPr>
      <w:r>
        <w:t>Din aceste motive, apreciază că instanţa a respins acţiunea recurenţilor-reclamanţi în mod netemeinic şi nelegal, fără a avea în vedere apărările formulate, şi a interpretat greşit actul juridic dedus judecăţii, ceea ce a condus la pronunţarea unei hotărâri lipsită de temei ilegal, dată cu încălcarea şi aplicarea greşită a normelor de drept material, motive pentru care apreciem că se impune casarea în totalitate a hotărârii atacate, rejudecarea cauzei, şi admiterea acţiunii pe fondul cauzei.</w:t>
      </w:r>
    </w:p>
    <w:p w:rsidR="008A705A" w14:paraId="4C122B4D" w14:textId="77777777">
      <w:pPr>
        <w:ind w:firstLine="709"/>
        <w:jc w:val="both"/>
      </w:pPr>
      <w:r>
        <w:t>A solicitat să se aibă în vedere că în România, respectarea Constituţiei, a supremaţiei sale şi a legilor este obligatorie, aşa cum se prevede în Primul Articol din Legea Fundamentală, şi astfel vă rugăm să observaţi că deşi Decizia Curţii Constituţionale nr. 794 / 2016 a fost publicată în data de 21 decembrie 2016, intimata-pârâtă nu a pus-o în aplicare în termenul legal de 45 de zile prev. de art. 147 din Constituţie şi nu a stabilit în acest interval de timp, până la data emiterii deciziilor contestate, salariile recurentului-reclamant la nivelul maxim naţional din luna ianuarie 2017, prin raportare la aceeaşi funcţie, grad/treaptă, gradaţie, vechime în muncă şi în specialitate, aceleaşi condiţii de studii, din cadrul întregii categorii profesionale, respectiv familii ocupaţionale, indiferent de instituţie sau autoritate publică, care să includă şi drepturile stabilite sau recunoscute prin hotărâri judecătoreşti definitive şi irevocabile/definitive, astfel cum a stabilit Curtea Constituţională prin Decizia nr. 794 / 2016.</w:t>
      </w:r>
    </w:p>
    <w:p w:rsidR="008A705A" w14:paraId="701417B7" w14:textId="77777777">
      <w:pPr>
        <w:ind w:firstLine="709"/>
        <w:jc w:val="both"/>
      </w:pPr>
      <w:r>
        <w:t>Nefiind emise acte administrative în temeiul Deciziei nr. 794/2016 în perioada imediat ulterioară publicării acesteia, recurenţii-reclamanţi nu le-au putut contesta.</w:t>
      </w:r>
    </w:p>
    <w:p w:rsidR="008A705A" w14:paraId="4DDEB327" w14:textId="77777777">
      <w:pPr>
        <w:ind w:firstLine="709"/>
        <w:jc w:val="both"/>
      </w:pPr>
      <w:r>
        <w:t>Recurenţii-reclamanţi sunt funcţionari publici în cadrul intimatei-pârâte, care are calitatea de ordonator de credite şi angajator şi, drept urmare, intimata-pârâtă avea obligaţia de a stabili şi acorda recurenţilor-reclamanţi toate drepturile de natură salarială ce decurgeau din prevederile legale.</w:t>
      </w:r>
    </w:p>
    <w:p w:rsidR="008A705A" w14:paraId="738BB9C1" w14:textId="77777777">
      <w:pPr>
        <w:ind w:firstLine="709"/>
        <w:jc w:val="both"/>
      </w:pPr>
      <w:r>
        <w:t>Instanţa de fond trebuia să constate că problema stabilirii salariilor la nivel maxim, astfel cum a fost solicitată de reclamanţi, trebuia analizată prin raportare la salariile deja stabilite de angajator în temeiul actelor normative anterioare care au reglementat stabilirea salariului de bază.</w:t>
      </w:r>
    </w:p>
    <w:p w:rsidR="008A705A" w14:paraId="5262121B" w14:textId="77777777">
      <w:pPr>
        <w:ind w:firstLine="709"/>
        <w:jc w:val="both"/>
      </w:pPr>
      <w:r>
        <w:t>Motivaţia în drept a întinderii în timp a acestor pretenţii rezidă din interpretarea dată de înalta Curte de Casaţie şi Justiţie prin Deciziile nr. 32/2015 şi 23/2016, coroborate cu Decizia nr. 794/2016, care au fost reiterate pe larg în cererea noastră de chemare în judecată. ÎCCJ a statuat că "plata efectivă a drepturilor salariate urinează a se efectua potrivit dispoziţiilor..., prin raportare la nivelul de salarizare în plată pentru funcţia similară", iar, sintagma „salarizat la acelaşi nivel" are în vedere personalul din cadrul aparatului de lucru al Parlamentului, personalul din cadrul Consiliului Concurenţei, al Curţii de Conturi, precum şi din cadrul celorlalte autorităţi şi instituţii publice enumerate de art. 2 alin. (1) lit. a)* din Legea-cadru nr. 284/2010 nivelul de salarizare ce va fi avut în vedere în interpretarea şi aplicarea aceleiaşi norme este cel determinat prin aplicarea prevederilor art. 1 alin. (1) şi (2) din OUG nr. 83/2014, aprobată cu modif. şi compl. prin Legea nr. 71/2015, cu modif. şi compl. ult, în cadrul aceleiaşi autorităţi sau instituţii publice.</w:t>
      </w:r>
    </w:p>
    <w:p w:rsidR="008A705A" w14:paraId="175D6C5B" w14:textId="77777777">
      <w:pPr>
        <w:ind w:firstLine="709"/>
        <w:jc w:val="both"/>
      </w:pPr>
      <w:r>
        <w:t>Curtea Constituţională s-a referit la funcţii similare, iar noi am depus în stadiul fondului dovezi suficiente că există funcţii similare cu cele deţinute de recurenţii-reclamanţi în speţă, dar cu salarii mai mari decât aceştia, pe funcţii similare cu ale recurenţii-reclamanţi.</w:t>
      </w:r>
    </w:p>
    <w:p w:rsidR="008A705A" w14:paraId="76128AAA" w14:textId="77777777">
      <w:pPr>
        <w:ind w:firstLine="709"/>
        <w:jc w:val="both"/>
      </w:pPr>
      <w:r>
        <w:t>Potrivit art. 3^1 alin. (1^1) din OUG nr. 57 / 2015, sintagma "fiecare funcţie" reprezintă funcţiile prevăzute în aceeaşi anexă, capitol, literă, număr şi număr curent în Legea-cadru nr. 284/2010 privind salarizarea unitară.</w:t>
      </w:r>
    </w:p>
    <w:p w:rsidR="008A705A" w14:paraId="405E9105" w14:textId="1C16C0C1">
      <w:pPr>
        <w:ind w:firstLine="709"/>
        <w:jc w:val="both"/>
      </w:pPr>
      <w:r>
        <w:t xml:space="preserve">După cum a demonstrat în stadiul fondului, în aplicarea prevederilor art. 3^1 alin, (1) din OUG nr. 57/2015, cu modif. şi compl. ult., pentru funcţionarii publici, sintagma "aceeaşi funcţie" nu trebuie să se refere stricto senso la denumirea unei funcţii, ci la identificarea activităţii desfăşurate în aceleaşi condiţii, respectiv prerogativa de putere publică, astfel încât să se asigure un principiu fundamental al legii salarizării, prin crearea de oportunităţi egale şi remuneraţie egală la muncă de valoare egală, aşa cum a precizat Agenţia Naţională a Funcţionarilor Publici prin adresa nr. </w:t>
      </w:r>
      <w:r w:rsidR="00793819">
        <w:t>......</w:t>
      </w:r>
      <w:r>
        <w:t>/2016 înaintată Ministerului Muncii, Familiei şi Protecţiei Sociale, ca răspuns ia solicitarea ministerului Muncii - ataşată la dosar în stadiul fondului.</w:t>
      </w:r>
    </w:p>
    <w:p w:rsidR="008A705A" w14:paraId="06EE5100" w14:textId="77777777">
      <w:pPr>
        <w:ind w:firstLine="709"/>
        <w:jc w:val="both"/>
      </w:pPr>
      <w:r>
        <w:t>Interpretarea instanţei de fond este netemeinică şi nelegală. Instanţa de fond a interpretat în mod greşit prevederile Deciziei CCR nr. 794/ 2016, din următoarele considerente:</w:t>
      </w:r>
    </w:p>
    <w:p w:rsidR="008A705A" w14:paraId="7FA61ADA" w14:textId="77777777">
      <w:pPr>
        <w:ind w:firstLine="709"/>
        <w:jc w:val="both"/>
      </w:pPr>
      <w:r>
        <w:t>1. Decizia CCR invocată nu face distincţie între funcţiile publice teritoriale şi cele locale şi prevede egalizarea salariilor la nivel naţional pentru FUNCŢIILE similare cu aceeaşi încadrare</w:t>
      </w:r>
    </w:p>
    <w:p w:rsidR="008A705A" w14:paraId="226123B2" w14:textId="77777777">
      <w:pPr>
        <w:ind w:firstLine="709"/>
        <w:jc w:val="both"/>
      </w:pPr>
      <w:r>
        <w:t>2. Potrivit Deciziei, sintagma "funcţii similare" reprezintă funcţiile prevăzute în aceeaşi anexă, capitol, literă, număr si număr curent în Legea-cadru nr. 284/2010 privind salarizarea unitară a personalului plătit din fonduri publice, cu modificările şi completările ulterioare.</w:t>
      </w:r>
    </w:p>
    <w:p w:rsidR="008A705A" w14:paraId="03A318F1" w14:textId="1811C251">
      <w:pPr>
        <w:ind w:firstLine="709"/>
        <w:jc w:val="both"/>
      </w:pPr>
      <w:r>
        <w:t xml:space="preserve">3. Funcţiile recurenţilor-reclamanţi sunt similare celor identificate de noi la primăria Mun. </w:t>
      </w:r>
      <w:r w:rsidR="00793819">
        <w:t>...C...</w:t>
      </w:r>
      <w:r>
        <w:t>, fiind prevăzute în aceeaşi Familie ocupaţională din care fac parte şi recurenţii-reclamanţi, aceeaşi Anexă nr. 1 la Legea-cadru nr. 284/2010 privind salarizarea - Cap. I lit. A - "Salarizarea funcţionarilor publici" şi aceeaşi lit. c) Funcţii publice generale de execuţie.</w:t>
      </w:r>
    </w:p>
    <w:p w:rsidR="008A705A" w14:paraId="23008EA6" w14:textId="77777777">
      <w:pPr>
        <w:ind w:firstLine="709"/>
        <w:jc w:val="both"/>
      </w:pPr>
      <w:r>
        <w:t xml:space="preserve">În mod eronat, instanţa de fond a motivat că "în cauză nu sunt întrunite condiţiile discriminării, deoarece nu s-a făcut dovada unui tratament diferenţiat aplicat unor situaţii egale fără a exista o justificare obiectivă şi rezonabilă", deoarece în stadiul fondului am arătat </w:t>
      </w:r>
      <w:r>
        <w:t>că recurenţii - reclamanţi pe care îi reprezentăm au salariile de bază brute mai mici decât alţi colegi din alte instituţii din ţară încadraţi în alte instituţii sau autorităţi publice pe aceeaşi funcţie, grad, gradaţie, vechime în muncă şi în specialitate, aceleaşi condiţii de studii, din cadrul întregii categorii profesionale a "funcţionarilor publici", respectiv familii ocupaţionale de funcţii bugetare "Administraţie", realizându-se astfel o discriminare între recurenţii-reclamanţi şi alţi colegi cu aceeaşi încadrare, ca urmare a aplicării greşite a actelor normative succesive emise în materia salarizării.</w:t>
      </w:r>
    </w:p>
    <w:p w:rsidR="008A705A" w14:paraId="676D3983" w14:textId="77777777">
      <w:pPr>
        <w:ind w:firstLine="709"/>
        <w:jc w:val="both"/>
      </w:pPr>
      <w:r>
        <w:t>În considerarea celor statuate de Curtea Constituţională la pct. 34 din Decizia nr. 794/2016, instanţa de fond trebuia să constate că nivelul maxim al salariului de bază al recurenţilor-reclamanţi se poate stabili prin raportare la funcţiile similare indicate, motiv pentru care că singura soluţie care apreciază că s-ar impune, spre a nu priva părţile de dreptul lor fundamental de acces la instanţă, prin privarea de o analiză temeinică a tuturor actelor şi susţinerilor părţilor, este admiterea recursului, rejudecarea cauzei şi admiterea acţiunii aşa cum a fost precizată pe fondul cauzei.</w:t>
      </w:r>
    </w:p>
    <w:p w:rsidR="008A705A" w14:paraId="6444542B" w14:textId="77777777">
      <w:pPr>
        <w:ind w:firstLine="709"/>
        <w:jc w:val="both"/>
      </w:pPr>
      <w:r>
        <w:t>Un aspect deosebit de important este şi faptul că, la nivelul administraţiei publice locale, numeroase alte instituţii publice au pus deja în aplicare de bunăvoie dispoziţiile deciziei Curţii Constituţionale, egalizând salariile personalului din subordine cu salariile personalului altor instituţii, luând în considerare şi drepturile stabilite sau recunoscute de instanţele de judecată, motiv pentru care apare ca discriminatoriu refuzul intimatei-pârâte de a egaliza salariile recurenţilor-reclamanţi cu alţi funcţionari publici cu aceeaşi încadrare salarizaţi la nivel maxim.</w:t>
      </w:r>
    </w:p>
    <w:p w:rsidR="008A705A" w14:paraId="2C5DDFF2" w14:textId="77777777">
      <w:pPr>
        <w:ind w:firstLine="709"/>
        <w:jc w:val="both"/>
      </w:pPr>
      <w:r>
        <w:t>În drept, şi-a întemeiat recursul pe art. 486 şi urm. Cod proc. civ. şi pe prevederile legale invocate.</w:t>
      </w:r>
    </w:p>
    <w:p w:rsidR="008A705A" w14:paraId="28651717" w14:textId="0C620EF4">
      <w:pPr>
        <w:ind w:firstLine="720"/>
        <w:jc w:val="both"/>
      </w:pPr>
      <w:r>
        <w:rPr>
          <w:rStyle w:val="Fontdeparagrafimplicit"/>
          <w:b/>
        </w:rPr>
        <w:t xml:space="preserve">Referitor la cererea de suspendare a judecării prezentei cauze, până la soluţionarea sesizării Înaltei Curţi de Casaţie şi Justiţie, dispusă de Curtea de Apel </w:t>
      </w:r>
      <w:r w:rsidR="00834AFC">
        <w:rPr>
          <w:rStyle w:val="Fontdeparagrafimplicit"/>
          <w:b/>
        </w:rPr>
        <w:t>...............</w:t>
      </w:r>
      <w:r>
        <w:rPr>
          <w:rStyle w:val="Fontdeparagrafimplicit"/>
          <w:b/>
        </w:rPr>
        <w:t xml:space="preserve"> la data de 21.02.2018, în dosarul nr. </w:t>
      </w:r>
      <w:r w:rsidR="00834AFC">
        <w:rPr>
          <w:rStyle w:val="Fontdeparagrafimplicit"/>
          <w:b/>
        </w:rPr>
        <w:t>..x../.../2017</w:t>
      </w:r>
      <w:r>
        <w:t xml:space="preserve"> se reţine că aceasta este neîntemeiată deoarece prin încheierea mai sus precizată a fost sesizată ÎCCJ în vederea pronunţării unei hotărâri prealabile pentru dezlegarea problemei de drept constând în interpretarea dispoziţiilor art. 3</w:t>
      </w:r>
      <w:r>
        <w:rPr>
          <w:rStyle w:val="Fontdeparagrafimplicit"/>
          <w:vertAlign w:val="superscript"/>
        </w:rPr>
        <w:t>1</w:t>
      </w:r>
      <w:r>
        <w:t xml:space="preserve"> alin. 1 raportat la art. 3</w:t>
      </w:r>
      <w:r>
        <w:rPr>
          <w:rStyle w:val="Fontdeparagrafimplicit"/>
          <w:vertAlign w:val="superscript"/>
        </w:rPr>
        <w:t>1</w:t>
      </w:r>
      <w:r>
        <w:t xml:space="preserve"> alin. 1</w:t>
      </w:r>
      <w:r>
        <w:rPr>
          <w:rStyle w:val="Fontdeparagrafimplicit"/>
          <w:vertAlign w:val="superscript"/>
        </w:rPr>
        <w:t>3</w:t>
      </w:r>
      <w:r>
        <w:t xml:space="preserve"> din OUG nr.57/2015, în forma modificată prin OUG nr. 43/2016, respectiv interpretarea noţiunii de „instituţie sau autoritate publică”, în situaţia salarizării personalului din cadrul instituţiilor publice deconcentrate, de acelaşi tip, subordonate consiliilor judeţene, în raport de interpretarea noţiunii de „acelaşi ordonator de credite”, ipoteză care nu se regăseşte în speţa dedusă judecăţii.</w:t>
      </w:r>
    </w:p>
    <w:p w:rsidR="008A705A" w14:paraId="49338E78" w14:textId="5B1D05AC">
      <w:pPr>
        <w:pStyle w:val="Frspaiere"/>
        <w:ind w:firstLine="720"/>
        <w:jc w:val="both"/>
        <w:rPr>
          <w:rStyle w:val="Fontdeparagrafimplicit"/>
          <w:rFonts w:ascii="Times New Roman" w:hAnsi="Times New Roman"/>
          <w:sz w:val="24"/>
        </w:rPr>
      </w:pPr>
      <w:r>
        <w:rPr>
          <w:rStyle w:val="Fontdeparagrafimplicit"/>
          <w:rFonts w:ascii="Times New Roman" w:hAnsi="Times New Roman"/>
          <w:sz w:val="24"/>
        </w:rPr>
        <w:t xml:space="preserve">Prin urmare nu sunt îndeplinite condiţiile legale prevăzute de art. 520 alin. 4 C.pr.civ. pentru a se putea dispune suspendarea prezentei cauze, aceasta nefiind o cauză similară celei în care s-a dispus sesizarea Înaltei Curţi de Casaţie şi Justiţie în dosarul nr. </w:t>
      </w:r>
      <w:r w:rsidR="00834AFC">
        <w:rPr>
          <w:rStyle w:val="Fontdeparagrafimplicit"/>
          <w:rFonts w:ascii="Times New Roman" w:hAnsi="Times New Roman"/>
          <w:sz w:val="24"/>
        </w:rPr>
        <w:t>..x../.../2017</w:t>
      </w:r>
      <w:r>
        <w:rPr>
          <w:rStyle w:val="Fontdeparagrafimplicit"/>
          <w:rFonts w:ascii="Times New Roman" w:hAnsi="Times New Roman"/>
          <w:sz w:val="24"/>
        </w:rPr>
        <w:t>.</w:t>
      </w:r>
    </w:p>
    <w:p w:rsidR="008A705A" w14:paraId="59ED6583" w14:textId="77777777">
      <w:pPr>
        <w:ind w:firstLine="708"/>
        <w:jc w:val="both"/>
        <w:rPr>
          <w:rStyle w:val="Fontdeparagrafimplicit"/>
          <w:b/>
        </w:rPr>
      </w:pPr>
      <w:r>
        <w:rPr>
          <w:rStyle w:val="Fontdeparagrafimplicit"/>
          <w:b/>
        </w:rPr>
        <w:t xml:space="preserve">Examinând recursul prin prisma motivelor formulate şi dispoziţiilor legale incidente în cauză, Curtea constată că: </w:t>
      </w:r>
    </w:p>
    <w:p w:rsidR="008A705A" w14:paraId="035C3D38" w14:textId="77777777">
      <w:pPr>
        <w:ind w:firstLine="708"/>
        <w:jc w:val="both"/>
      </w:pPr>
      <w:r>
        <w:t>Atunci când hotărârea a fost dată cu încălcarea sau greşita aplicare  a normelor de drept material reprezintă motivul de casare prevăzut de art.488 alin.1 pct.8 din c.p.c., însă Curtea reţine că instanţa de fond a făcut o corectă interpretare şi aplicare a dispoziţiilor materiale incidente in cauză.</w:t>
      </w:r>
    </w:p>
    <w:p w:rsidR="008A705A" w14:paraId="04A52CAB" w14:textId="7355A36A">
      <w:pPr>
        <w:ind w:firstLine="708"/>
        <w:jc w:val="both"/>
      </w:pPr>
      <w:r>
        <w:t xml:space="preserve">Recurentul  reclamant a invocat faptul că fiecare membru de sindicat pe care îl reprezintă are dreptul de a beneficia de salariul maxim în plată la nivel naţional, stabilit prin raportare la aceeaşi funcţie, grad/treaptă, gradaţie, vechime in muncă şi in specialitate, aceleaşi condiţii de studii, din cadrul întregii categorii profesionale, respectiv familie ocupaţională, indiferent de instituţie sau autoritate publică, care să includă şi drepturile stabilite sau recunoscute prin hotărâri judecătoreşti definitive şi irevocabile/definitive. Prin precizarea depusă in faţa instanţei de fond au arătat că doresc stabilirea salariului prin raportare la salariul pentru aceeaşi funcţie, grad, gradaţie, vechime în muncă din cadrul Consiliilor Judeţene </w:t>
      </w:r>
      <w:r w:rsidR="00793819">
        <w:t>...D...</w:t>
      </w:r>
      <w:r>
        <w:t xml:space="preserve">, </w:t>
      </w:r>
      <w:r w:rsidR="00834AFC">
        <w:t>...A...</w:t>
      </w:r>
      <w:r>
        <w:t xml:space="preserve"> şi </w:t>
      </w:r>
      <w:r w:rsidR="00793819">
        <w:t>...E...</w:t>
      </w:r>
      <w:r>
        <w:t>.</w:t>
      </w:r>
    </w:p>
    <w:p w:rsidR="008A705A" w14:paraId="4FAF4CC0" w14:textId="77777777">
      <w:pPr>
        <w:ind w:firstLine="708"/>
        <w:jc w:val="both"/>
      </w:pPr>
      <w:r>
        <w:t>Curtea apreciază că dispoziţiile OUG nr.57/2015, cu modificările şi completările ulterioare (act normativ invocat de reclamanţi în cuprinsul acţiunii introductive) au fost în mod corect interpretate şi aplicate de instanţa de fond.</w:t>
      </w:r>
    </w:p>
    <w:p w:rsidR="008A705A" w14:paraId="1320372C" w14:textId="77777777">
      <w:pPr>
        <w:ind w:firstLine="708"/>
        <w:jc w:val="both"/>
      </w:pPr>
      <w:r>
        <w:t>Astfel, în esenţă, reclamanţii a invocat în motivarea cererii de chemare în judecată faptul că pretenţiile acestora se întemeiază pe Decizia nr. 794 a Curţii Constituţionale  şi pe dispoziţiile cu caracter special ale OUG nr. 57/2015.</w:t>
      </w:r>
    </w:p>
    <w:p w:rsidR="008A705A" w14:paraId="55F14928" w14:textId="77777777">
      <w:pPr>
        <w:ind w:firstLine="708"/>
        <w:jc w:val="both"/>
      </w:pPr>
      <w:r>
        <w:t>In acord cu cele reţinute de instanţa de fond, Curtea constată că, potrivit dispoziţiilor art. 31  alin 11 şi 13 din OUG nr.57/2015: ,,Prin excepţie de la prevederile art. 1 alin. (1), începând cu luna august 2016, personalul plătit din fonduri publice care beneficiază de un cuantum al salariilor de bază/indemnizaţiilor de încadrare mai mic decât cel stabilit la nivel maxim pentru fiecare funcţie, grad/treaptă, gradaţie, vechime în funcţie sau în specialitate, după caz, va fi salarizat la nivelul maxim al salariului de bază/indemnizaţiei de încadrare din cadrul instituţiei sau autorităţii publice respective, dacă îşi desfăşoară activitatea în aceleaşi condiţii.”</w:t>
      </w:r>
    </w:p>
    <w:p w:rsidR="008A705A" w14:paraId="249069E3" w14:textId="77777777">
      <w:pPr>
        <w:ind w:firstLine="708"/>
        <w:jc w:val="both"/>
      </w:pPr>
      <w:r>
        <w:t>„Prin instituţie sau autoritate publică se înţelege acea instituţie sau autoritate publică cu personalitate juridică care are patrimoniu propriu, buget propriu de venituri şi cheltuieli, conduce contabilitate proprie, iar conducătorul acesteia are calitatea de ordonator de credite. În cazul instituţiilor sau autorităţilor publice aflate în subordinea aceluiaşi ordonator de credite, având acelaşi scop, îndeplinind aceleaşi funcţii şi atribuţii, aflate la acelaşi nivel de subordonare din punct de vedere  financiar, nivelul maxim al salariului de bază/indemnizaţiei de încadrare se va stabili la nivelul maxim aflat în plată din cadrul tuturor acestor instituţii sau autorităţi publice subordonate”.</w:t>
      </w:r>
    </w:p>
    <w:p w:rsidR="008A705A" w14:paraId="533AE196" w14:textId="77777777">
      <w:pPr>
        <w:ind w:firstLine="708"/>
        <w:jc w:val="both"/>
      </w:pPr>
      <w:r>
        <w:t>Aşadar, în vederea egalizării prevăzut de art. 31 alin. 11 din OUG nr.57/2015 ,,nivelul maxim  al salariului de bază sau al indemnizaţiei de încadrare”, urmează să se stabilească  prin raportare la aceeaşi funcţie, grad, gradaţie, vechime în muncă şi în specialitate, aceleaşi condiţii de studii, din cadrul aceleiaşi instituţii/autorităţi, ceea ce presupune identitatea de ordonator de credite, conform alin. 1(3) al art. 31 din Ordonanţă.</w:t>
      </w:r>
    </w:p>
    <w:p w:rsidR="008A705A" w14:paraId="14ED1335" w14:textId="77777777">
      <w:pPr>
        <w:ind w:firstLine="708"/>
        <w:jc w:val="both"/>
      </w:pPr>
      <w:r>
        <w:t>Este adevărat că alin. 11 al art. 31 defineşte sintagma ,, fiecare funcţie” prin raportare la Legea cadru nr. 284/2010, dar această metodă de definire nu poate extinde sfera de aplicare a art. 31 şi la familia ocupaţională, atâta timp cât textul indică expres condiţia salarizării la nivel maxim în cadrul aceleiaşi autorităţi sau instituţii publice.</w:t>
      </w:r>
    </w:p>
    <w:p w:rsidR="008A705A" w14:paraId="66069851" w14:textId="77777777">
      <w:pPr>
        <w:ind w:firstLine="708"/>
        <w:jc w:val="both"/>
      </w:pPr>
      <w:r>
        <w:t>Decizia Curţii Constituţionale nr. 794/2016 invocată de către reclamant, prevede că „în vederea egalizării prevăzute de art. 31 alin. (1) din Ordonanţa de urgenţă a Guvernului nr. 57/2015, ,,nivelul maxim al salariului de bază/indemnizaţiei de Încadrare", care trebuie să includă şi drepturile stabilite sau recunoscute prin hotărâri judecătoreşti definitive şi irevocabile/definitive, urmează să se stabilească prin raportare la aceeaşi funcţie, grad, gradaţie, vechime în muncă şi în specialitate, aceleaşi condiţii de studii, din cadrul întregii categorii profesionale, respectiv familii ocupaţionale, indiferent de instituţie sau autoritate publică.”</w:t>
      </w:r>
    </w:p>
    <w:p w:rsidR="008A705A" w14:paraId="260E40E1" w14:textId="77777777">
      <w:pPr>
        <w:ind w:firstLine="708"/>
        <w:jc w:val="both"/>
      </w:pPr>
      <w:r>
        <w:t>Curtea reţine că prevederile mai sus menţionate nu sunt incidente în cauză, întrucât vizează declararea ca neconstituţional a textului art. 31 alin 12 din OUG nr. 57/2015, care nu este aplicabil litigiului dedus prezentei judecăţi.</w:t>
      </w:r>
    </w:p>
    <w:p w:rsidR="008A705A" w14:paraId="0BDBCF55" w14:textId="77777777">
      <w:pPr>
        <w:ind w:firstLine="708"/>
        <w:jc w:val="both"/>
      </w:pPr>
      <w:r>
        <w:t>Cum reclamanţii nu a contestat neincluderea în salariul de bază a drepturilor salariale stabilite/ recunoscute prin hotărâre judecătorească, nu pot fi avute în vedere prevederile Deciziei Curţii Constituţionale nr. 794/2016 menţionate anterior.</w:t>
      </w:r>
    </w:p>
    <w:p w:rsidR="008A705A" w14:paraId="0AADB052" w14:textId="77777777">
      <w:pPr>
        <w:ind w:firstLine="708"/>
        <w:jc w:val="both"/>
      </w:pPr>
      <w:r>
        <w:t xml:space="preserve">Cu privire la dispoziţiile art. 3 ind.1 alin. (14) din Ordonanţa de urgenţă a Guvernului nr. 57/2015 privind salarizarea personalului plătit din fonduri publice în anul 2016, prorogarea unor termene, precum şi unele măsuri fiscal-bugetare, Curtea Constituţională a respins, ca inadmisibilă, excepţia de neconstituţionalitate </w:t>
      </w:r>
    </w:p>
    <w:p w:rsidR="008A705A" w14:paraId="4451F55B" w14:textId="77777777">
      <w:pPr>
        <w:ind w:firstLine="708"/>
        <w:jc w:val="both"/>
      </w:pPr>
      <w:r>
        <w:t>În ceea ce priveşte dispoziţiile art. 3 ind.1 alin. (11) şi (13) din Ordonanţa de urgenţă a Guvernului nr. 57/2015 privind salarizarea personalului plătit din fonduri publice în anul 2016, prorogarea unor termene, precum şi unele măsuri fiscal-bugetare a apreciat că sunt constituţionale în raport cu criticile formulate.</w:t>
      </w:r>
    </w:p>
    <w:p w:rsidR="008A705A" w14:paraId="173E8D69" w14:textId="77777777">
      <w:pPr>
        <w:ind w:firstLine="708"/>
        <w:jc w:val="both"/>
      </w:pPr>
      <w:r>
        <w:t xml:space="preserve">Este adevărată susţinerea reclamanţilor conform căreia, în ceea ce priveşte obligativitatea deciziilor pronunţate în cadrul controlului de constituţionalitate, puterea de lucru judecat se ataşează nu numai dispozitivului, ci şi considerentelor pe care se sprijină acesta. Însă, în toate situaţiile considerentele explică dispozitivul unei hotărâri. Or, în întreaga </w:t>
      </w:r>
      <w:r>
        <w:t>hotărâre, Curtea Constituţională s-a referit la principiul egalităţii cu referire la drepturile stabilite sau recunoscute prin hotărâri judecătoreşti.</w:t>
      </w:r>
    </w:p>
    <w:p w:rsidR="008A705A" w14:paraId="55C3B774" w14:textId="77777777">
      <w:pPr>
        <w:ind w:firstLine="708"/>
        <w:jc w:val="both"/>
      </w:pPr>
      <w:r>
        <w:t xml:space="preserve">În esenţă, s-au analizat aspectele vizând efectele hotărârii judecătoreşti, raportat la o situaţie juridică identică, includerea în nivelul maxim al salariului de bază/indemnizaţiei de încadrare a drepturilor stabilite/recunoscute prin hotărâri judecătoreşti, cu referire la dispoziţiile art.1 alin 4, 16, 124 şi 126 Constituţie. </w:t>
      </w:r>
    </w:p>
    <w:p w:rsidR="008A705A" w14:paraId="5061D3D4" w14:textId="77777777">
      <w:pPr>
        <w:ind w:firstLine="708"/>
        <w:jc w:val="both"/>
      </w:pPr>
      <w:r>
        <w:t>Aşadar, s-a reţinut încălcarea principiului egalităţii însă doar raportat la norma a cărei încălcare se invocă şi cu referire la drepturile rezultate din hotărâri judecătoreşti, nefiind aşadar analizată situaţia invocată de reclamantă.</w:t>
      </w:r>
    </w:p>
    <w:p w:rsidR="008A705A" w14:paraId="54083B10" w14:textId="77777777">
      <w:pPr>
        <w:ind w:firstLine="708"/>
        <w:jc w:val="both"/>
      </w:pPr>
      <w:r>
        <w:t xml:space="preserve">Aşadar, interpretarea făcută de reclamantă, vizând  punctul 34 din Decizia Curţii Constituţionale este ruptă din contextul ansamblului, rolul considerentelor fiind acela de a explica în ansamblul său dispozitivul. </w:t>
      </w:r>
    </w:p>
    <w:p w:rsidR="008A705A" w14:paraId="5ACEC6DA" w14:textId="157C05B1">
      <w:pPr>
        <w:ind w:firstLine="708"/>
        <w:jc w:val="both"/>
      </w:pPr>
      <w:r>
        <w:t xml:space="preserve">De altfel, chiar şi în acest paragraf se face trimitere expres la drepturile stabilite sau recunoscute prin hotărâri judecătoreşti, iar situaţia premisă este diferită, astfel că susţinerea reclamanţilor privind egalizarea solicitată în cadrul Familiei Ocupaţionale, cu referire în speţă la salariaţii din cadrul Consiliilor Judeţene </w:t>
      </w:r>
      <w:r w:rsidR="00793819">
        <w:t>...D...</w:t>
      </w:r>
      <w:r>
        <w:t xml:space="preserve">, </w:t>
      </w:r>
      <w:r w:rsidR="00834AFC">
        <w:t>...A...</w:t>
      </w:r>
      <w:r>
        <w:t xml:space="preserve"> şi </w:t>
      </w:r>
      <w:r w:rsidR="00793819">
        <w:t>...E...</w:t>
      </w:r>
      <w:r>
        <w:t>, este nefondată.</w:t>
      </w:r>
    </w:p>
    <w:p w:rsidR="008A705A" w14:paraId="49AF8491" w14:textId="77777777">
      <w:pPr>
        <w:ind w:firstLine="708"/>
        <w:jc w:val="both"/>
      </w:pPr>
      <w:r>
        <w:t>În concluzie, susţinerile recurentului reclamant privind incidenţa motivului de nelegalitate prevăzut de art. 488 alin. 1, pct. 8 Cod procedură civilă, sunt neîntemeiate.</w:t>
      </w:r>
    </w:p>
    <w:p w:rsidR="008A705A" w14:paraId="6D7D93AD" w14:textId="77777777">
      <w:pPr>
        <w:ind w:firstLine="708"/>
        <w:jc w:val="both"/>
      </w:pPr>
      <w:r>
        <w:t>Pe cale de consecinţă, văzând şi dispoziţiile art. 498 alin. 2 Cod procedură civilă, Curtea va respinge recursul ca nefondat.</w:t>
      </w:r>
    </w:p>
    <w:p w:rsidR="008A705A" w14:paraId="05974E5C" w14:textId="77777777"/>
    <w:p w:rsidR="008A705A" w14:paraId="18A5D24D" w14:textId="77777777"/>
    <w:p w:rsidR="008A705A" w14:paraId="2C819443" w14:textId="77777777"/>
    <w:p w:rsidR="008A705A" w14:paraId="0221A257" w14:textId="77777777">
      <w:pPr>
        <w:jc w:val="center"/>
        <w:rPr>
          <w:rStyle w:val="Fontdeparagrafimplicit"/>
          <w:b/>
        </w:rPr>
      </w:pPr>
      <w:r>
        <w:rPr>
          <w:rStyle w:val="Fontdeparagrafimplicit"/>
          <w:b/>
        </w:rPr>
        <w:t>PENTRU ACESTE MOTIVE,</w:t>
      </w:r>
      <w:r>
        <w:rPr>
          <w:rStyle w:val="Fontdeparagrafimplicit"/>
          <w:b/>
        </w:rPr>
        <w:br/>
        <w:t>ÎN NUMELE LEGII</w:t>
      </w:r>
    </w:p>
    <w:p w:rsidR="008A705A" w14:paraId="5F5D8878" w14:textId="77777777">
      <w:pPr>
        <w:jc w:val="center"/>
        <w:rPr>
          <w:rStyle w:val="Fontdeparagrafimplicit"/>
          <w:b/>
        </w:rPr>
      </w:pPr>
      <w:r>
        <w:rPr>
          <w:rStyle w:val="Fontdeparagrafimplicit"/>
          <w:b/>
        </w:rPr>
        <w:t>DECIDE</w:t>
      </w:r>
    </w:p>
    <w:p w:rsidR="008A705A" w14:paraId="22494B86" w14:textId="77777777">
      <w:pPr>
        <w:jc w:val="center"/>
        <w:rPr>
          <w:rStyle w:val="Fontdeparagrafimplicit"/>
          <w:b/>
        </w:rPr>
      </w:pPr>
    </w:p>
    <w:p w:rsidR="008A705A" w14:paraId="70E31BAF" w14:textId="77777777">
      <w:pPr>
        <w:rPr>
          <w:rStyle w:val="Fontdeparagrafimplicit"/>
        </w:rPr>
      </w:pPr>
    </w:p>
    <w:p w:rsidR="008A705A" w14:paraId="53A9F7C4" w14:textId="77777777">
      <w:pPr>
        <w:ind w:firstLine="708"/>
        <w:jc w:val="both"/>
      </w:pPr>
      <w:r>
        <w:t>Respinge cererea suspendare.</w:t>
      </w:r>
    </w:p>
    <w:p w:rsidR="008A705A" w14:paraId="3A930953" w14:textId="653394D9">
      <w:pPr>
        <w:ind w:firstLine="708"/>
        <w:jc w:val="both"/>
      </w:pPr>
      <w:r>
        <w:t xml:space="preserve">Respinge recursul declarat de reclamantul declarat de reclamantul </w:t>
      </w:r>
      <w:r>
        <w:rPr>
          <w:rStyle w:val="Fontdeparagrafimplicit"/>
          <w:b/>
        </w:rPr>
        <w:t xml:space="preserve">SINDICATUL ADMINISTRAŢIEI PUBLICE </w:t>
      </w:r>
      <w:r w:rsidR="00834AFC">
        <w:rPr>
          <w:rStyle w:val="Fontdeparagrafimplicit"/>
          <w:b/>
        </w:rPr>
        <w:t>...W...</w:t>
      </w:r>
      <w:r>
        <w:rPr>
          <w:rStyle w:val="Fontdeparagrafimplicit"/>
          <w:b/>
        </w:rPr>
        <w:t xml:space="preserve"> PENTRU </w:t>
      </w:r>
      <w:r w:rsidR="00834AFC">
        <w:rPr>
          <w:rStyle w:val="Fontdeparagrafimplicit"/>
          <w:b/>
        </w:rPr>
        <w:t>...Y.1...</w:t>
      </w:r>
      <w:r>
        <w:rPr>
          <w:rStyle w:val="Fontdeparagrafimplicit"/>
          <w:b/>
        </w:rPr>
        <w:t xml:space="preserve">, </w:t>
      </w:r>
      <w:r w:rsidR="00834AFC">
        <w:rPr>
          <w:rStyle w:val="Fontdeparagrafimplicit"/>
          <w:b/>
        </w:rPr>
        <w:t>...Y.2...</w:t>
      </w:r>
      <w:r>
        <w:rPr>
          <w:rStyle w:val="Fontdeparagrafimplicit"/>
          <w:b/>
        </w:rPr>
        <w:t xml:space="preserve">, </w:t>
      </w:r>
      <w:r w:rsidR="00834AFC">
        <w:rPr>
          <w:rStyle w:val="Fontdeparagrafimplicit"/>
          <w:b/>
        </w:rPr>
        <w:t>...Y.3...</w:t>
      </w:r>
      <w:r>
        <w:rPr>
          <w:rStyle w:val="Fontdeparagrafimplicit"/>
          <w:b/>
        </w:rPr>
        <w:t xml:space="preserve">, </w:t>
      </w:r>
      <w:r w:rsidR="00834AFC">
        <w:rPr>
          <w:rStyle w:val="Fontdeparagrafimplicit"/>
          <w:b/>
        </w:rPr>
        <w:t>...Y.4...</w:t>
      </w:r>
      <w:r>
        <w:rPr>
          <w:rStyle w:val="Fontdeparagrafimplicit"/>
          <w:b/>
        </w:rPr>
        <w:t xml:space="preserve">, </w:t>
      </w:r>
      <w:r w:rsidR="00834AFC">
        <w:rPr>
          <w:rStyle w:val="Fontdeparagrafimplicit"/>
          <w:b/>
        </w:rPr>
        <w:t>...Y.5...</w:t>
      </w:r>
      <w:r>
        <w:rPr>
          <w:rStyle w:val="Fontdeparagrafimplicit"/>
          <w:b/>
        </w:rPr>
        <w:t xml:space="preserve">, </w:t>
      </w:r>
      <w:r w:rsidR="00834AFC">
        <w:rPr>
          <w:rStyle w:val="Fontdeparagrafimplicit"/>
          <w:b/>
        </w:rPr>
        <w:t>...Y.6...</w:t>
      </w:r>
      <w:r>
        <w:rPr>
          <w:rStyle w:val="Fontdeparagrafimplicit"/>
          <w:b/>
        </w:rPr>
        <w:t xml:space="preserve">, </w:t>
      </w:r>
      <w:r w:rsidR="00834AFC">
        <w:rPr>
          <w:rStyle w:val="Fontdeparagrafimplicit"/>
          <w:b/>
        </w:rPr>
        <w:t>...Y.7...</w:t>
      </w:r>
      <w:r>
        <w:rPr>
          <w:rStyle w:val="Fontdeparagrafimplicit"/>
          <w:b/>
        </w:rPr>
        <w:t xml:space="preserve">, </w:t>
      </w:r>
      <w:r w:rsidR="00834AFC">
        <w:rPr>
          <w:rStyle w:val="Fontdeparagrafimplicit"/>
          <w:b/>
        </w:rPr>
        <w:t>...Y.8...</w:t>
      </w:r>
      <w:r>
        <w:rPr>
          <w:rStyle w:val="Fontdeparagrafimplicit"/>
          <w:b/>
        </w:rPr>
        <w:t xml:space="preserve">, </w:t>
      </w:r>
      <w:r w:rsidR="00834AFC">
        <w:rPr>
          <w:rStyle w:val="Fontdeparagrafimplicit"/>
          <w:b/>
        </w:rPr>
        <w:t>...Y.9...</w:t>
      </w:r>
      <w:r>
        <w:rPr>
          <w:rStyle w:val="Fontdeparagrafimplicit"/>
          <w:b/>
        </w:rPr>
        <w:t xml:space="preserve">, </w:t>
      </w:r>
      <w:r w:rsidR="00834AFC">
        <w:rPr>
          <w:rStyle w:val="Fontdeparagrafimplicit"/>
          <w:b/>
        </w:rPr>
        <w:t>...Y.10...</w:t>
      </w:r>
      <w:r>
        <w:rPr>
          <w:rStyle w:val="Fontdeparagrafimplicit"/>
          <w:b/>
        </w:rPr>
        <w:t xml:space="preserve"> ŞI </w:t>
      </w:r>
      <w:r w:rsidR="00834AFC">
        <w:rPr>
          <w:rStyle w:val="Fontdeparagrafimplicit"/>
          <w:b/>
        </w:rPr>
        <w:t>...Y.11...</w:t>
      </w:r>
      <w:r>
        <w:t xml:space="preserve">, împotriva sentinţei nr. </w:t>
      </w:r>
      <w:r w:rsidR="00834AFC">
        <w:t>..../.............</w:t>
      </w:r>
      <w:r>
        <w:t xml:space="preserve">, pronunţată de Tribunalul </w:t>
      </w:r>
      <w:r w:rsidR="00834AFC">
        <w:t>...A...</w:t>
      </w:r>
      <w:r>
        <w:t xml:space="preserve"> în dosarul nr. </w:t>
      </w:r>
      <w:r w:rsidR="00664B7B">
        <w:t>...../..../2017</w:t>
      </w:r>
      <w:r>
        <w:t xml:space="preserve">, în contradictoriu cu intimatul pârât </w:t>
      </w:r>
      <w:r>
        <w:rPr>
          <w:rStyle w:val="Fontdeparagrafimplicit"/>
          <w:b/>
        </w:rPr>
        <w:t xml:space="preserve">PRIMARUL COMUNEI </w:t>
      </w:r>
      <w:r w:rsidR="00834AFC">
        <w:rPr>
          <w:rStyle w:val="Fontdeparagrafimplicit"/>
          <w:b/>
        </w:rPr>
        <w:t>...B...</w:t>
      </w:r>
      <w:r>
        <w:t>.</w:t>
      </w:r>
    </w:p>
    <w:p w:rsidR="008A705A" w14:paraId="35D976F1" w14:textId="77777777">
      <w:pPr>
        <w:ind w:firstLine="708"/>
        <w:jc w:val="both"/>
      </w:pPr>
      <w:r>
        <w:t>Definitivă.</w:t>
      </w:r>
    </w:p>
    <w:p w:rsidR="008A705A" w14:paraId="72B4C175" w14:textId="2C6BA90E">
      <w:pPr>
        <w:ind w:firstLine="720"/>
        <w:jc w:val="both"/>
      </w:pPr>
      <w:r>
        <w:t xml:space="preserve">Pronunţată în şedinţa </w:t>
      </w:r>
      <w:bookmarkStart w:name="tip_sedinta_copie_2" w:id="6"/>
      <w:r>
        <w:t>publică</w:t>
      </w:r>
      <w:bookmarkEnd w:id="6"/>
      <w:r>
        <w:t xml:space="preserve"> de la </w:t>
      </w:r>
      <w:r w:rsidR="00834AFC">
        <w:t>...............</w:t>
      </w:r>
      <w:r>
        <w:t>.</w:t>
      </w:r>
      <w:bookmarkStart w:name="completul_1" w:id="7"/>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5"/>
        <w:gridCol w:w="3095"/>
      </w:tblGrid>
      <w:tr w14:paraId="3D34E75C" w14:textId="77777777">
        <w:tblPrEx>
          <w:tblW w:w="0" w:type="auto"/>
          <w:tblLook w:val="04A0"/>
        </w:tblPrEx>
        <w:tc>
          <w:tcPr>
            <w:tcW w:w="3096" w:type="dxa"/>
            <w:tcBorders>
              <w:top w:val="single" w:color="FFFFFF" w:sz="4" w:space="0"/>
              <w:left w:val="single" w:color="FFFFFF" w:sz="4" w:space="0"/>
              <w:bottom w:val="single" w:color="FFFFFF" w:sz="4" w:space="0"/>
              <w:right w:val="single" w:color="FFFFFF" w:sz="4" w:space="0"/>
            </w:tcBorders>
          </w:tcPr>
          <w:p w:rsidR="008A705A" w14:paraId="1B6E9167" w14:textId="77777777">
            <w:pPr>
              <w:jc w:val="center"/>
            </w:pPr>
            <w:r>
              <w:t>Preşedinte,</w:t>
            </w:r>
          </w:p>
          <w:p w:rsidR="008A705A" w14:paraId="7BCCE578" w14:textId="40B29F31">
            <w:pPr>
              <w:jc w:val="center"/>
            </w:pPr>
            <w:r>
              <w:t>...............</w:t>
            </w:r>
          </w:p>
        </w:tc>
        <w:tc>
          <w:tcPr>
            <w:tcW w:w="3096" w:type="dxa"/>
            <w:tcBorders>
              <w:top w:val="single" w:color="FFFFFF" w:sz="4" w:space="0"/>
              <w:left w:val="single" w:color="FFFFFF" w:sz="4" w:space="0"/>
              <w:bottom w:val="single" w:color="FFFFFF" w:sz="4" w:space="0"/>
              <w:right w:val="single" w:color="FFFFFF" w:sz="4" w:space="0"/>
            </w:tcBorders>
          </w:tcPr>
          <w:p w:rsidR="008A705A" w14:paraId="7E8C309D" w14:textId="77777777">
            <w:pPr>
              <w:jc w:val="center"/>
            </w:pPr>
            <w:r>
              <w:t>Judecător,</w:t>
            </w:r>
          </w:p>
          <w:p w:rsidR="008A705A" w14:paraId="6331F955" w14:textId="03C1B4B8">
            <w:pPr>
              <w:jc w:val="center"/>
            </w:pPr>
            <w:r>
              <w:t>A0001</w:t>
            </w:r>
          </w:p>
        </w:tc>
        <w:tc>
          <w:tcPr>
            <w:tcW w:w="3096" w:type="dxa"/>
            <w:tcBorders>
              <w:top w:val="single" w:color="FFFFFF" w:sz="4" w:space="0"/>
              <w:left w:val="single" w:color="FFFFFF" w:sz="4" w:space="0"/>
              <w:bottom w:val="single" w:color="FFFFFF" w:sz="4" w:space="0"/>
              <w:right w:val="single" w:color="FFFFFF" w:sz="4" w:space="0"/>
            </w:tcBorders>
          </w:tcPr>
          <w:p w:rsidR="008A705A" w14:paraId="0F372D4A" w14:textId="77777777">
            <w:pPr>
              <w:jc w:val="center"/>
            </w:pPr>
            <w:r>
              <w:t>Judecător,</w:t>
            </w:r>
          </w:p>
          <w:p w:rsidR="008A705A" w14:paraId="52D12994" w14:textId="2DF838AF">
            <w:pPr>
              <w:jc w:val="center"/>
            </w:pPr>
            <w:r>
              <w:t>...............</w:t>
            </w:r>
          </w:p>
        </w:tc>
      </w:tr>
      <w:tr w14:paraId="4580890D" w14:textId="77777777">
        <w:tblPrEx>
          <w:tblW w:w="0" w:type="auto"/>
          <w:tblLook w:val="04A0"/>
        </w:tblPrEx>
        <w:tc>
          <w:tcPr>
            <w:tcW w:w="3096" w:type="dxa"/>
            <w:tcBorders>
              <w:top w:val="single" w:color="FFFFFF" w:sz="4" w:space="0"/>
              <w:left w:val="single" w:color="FFFFFF" w:sz="4" w:space="0"/>
              <w:bottom w:val="single" w:color="FFFFFF" w:sz="4" w:space="0"/>
              <w:right w:val="single" w:color="FFFFFF" w:sz="4" w:space="0"/>
            </w:tcBorders>
          </w:tcPr>
          <w:p w:rsidR="008A705A" w14:paraId="319C9109" w14:textId="77777777">
            <w:pPr>
              <w:jc w:val="center"/>
            </w:pPr>
          </w:p>
        </w:tc>
        <w:tc>
          <w:tcPr>
            <w:tcW w:w="3096" w:type="dxa"/>
            <w:tcBorders>
              <w:top w:val="single" w:color="FFFFFF" w:sz="4" w:space="0"/>
              <w:left w:val="single" w:color="FFFFFF" w:sz="4" w:space="0"/>
              <w:bottom w:val="single" w:color="FFFFFF" w:sz="4" w:space="0"/>
              <w:right w:val="single" w:color="FFFFFF" w:sz="4" w:space="0"/>
            </w:tcBorders>
          </w:tcPr>
          <w:p w:rsidR="008A705A" w14:paraId="5E74CD3A" w14:textId="77777777">
            <w:pPr>
              <w:jc w:val="center"/>
            </w:pPr>
            <w:r>
              <w:t>Grefier,</w:t>
            </w:r>
          </w:p>
          <w:p w:rsidR="008A705A" w14:paraId="41F2046F" w14:textId="122E71A2">
            <w:pPr>
              <w:jc w:val="center"/>
            </w:pPr>
            <w:r>
              <w:t>...............</w:t>
            </w:r>
          </w:p>
        </w:tc>
        <w:tc>
          <w:tcPr>
            <w:tcW w:w="3096" w:type="dxa"/>
            <w:tcBorders>
              <w:top w:val="single" w:color="FFFFFF" w:sz="4" w:space="0"/>
              <w:left w:val="single" w:color="FFFFFF" w:sz="4" w:space="0"/>
              <w:bottom w:val="single" w:color="FFFFFF" w:sz="4" w:space="0"/>
              <w:right w:val="single" w:color="FFFFFF" w:sz="4" w:space="0"/>
            </w:tcBorders>
          </w:tcPr>
          <w:p w:rsidR="008A705A" w14:paraId="7CA0F268" w14:textId="77777777">
            <w:pPr>
              <w:jc w:val="center"/>
            </w:pPr>
          </w:p>
        </w:tc>
      </w:tr>
    </w:tbl>
    <w:p w:rsidR="008A705A" w14:paraId="6F168891" w14:textId="77777777">
      <w:pPr>
        <w:jc w:val="center"/>
      </w:pPr>
      <w:bookmarkEnd w:id="7"/>
    </w:p>
    <w:p w:rsidR="008A705A" w14:paraId="4E822281" w14:textId="0EAB43AF">
      <w:pPr>
        <w:rPr>
          <w:rStyle w:val="Fontdeparagrafimplicit"/>
          <w:sz w:val="16"/>
        </w:rPr>
      </w:pPr>
      <w:r>
        <w:rPr>
          <w:rStyle w:val="Fontdeparagrafimplicit"/>
          <w:sz w:val="16"/>
        </w:rPr>
        <w:t xml:space="preserve">Red. jud. </w:t>
      </w:r>
      <w:r w:rsidR="00C960C1">
        <w:rPr>
          <w:rStyle w:val="Fontdeparagrafimplicit"/>
          <w:sz w:val="16"/>
        </w:rPr>
        <w:t>A0001</w:t>
      </w:r>
      <w:r>
        <w:rPr>
          <w:rStyle w:val="Fontdeparagrafimplicit"/>
          <w:sz w:val="16"/>
        </w:rPr>
        <w:t>/</w:t>
      </w:r>
      <w:r w:rsidR="00C960C1">
        <w:rPr>
          <w:rStyle w:val="Fontdeparagrafimplicit"/>
          <w:sz w:val="16"/>
        </w:rPr>
        <w:t>............</w:t>
      </w:r>
    </w:p>
    <w:p w:rsidR="008A705A" w14:paraId="71728434" w14:textId="0B1BCF14">
      <w:pPr>
        <w:rPr>
          <w:rStyle w:val="Fontdeparagrafimplicit"/>
          <w:sz w:val="16"/>
        </w:rPr>
      </w:pPr>
      <w:r>
        <w:rPr>
          <w:rStyle w:val="Fontdeparagrafimplicit"/>
          <w:sz w:val="16"/>
        </w:rPr>
        <w:t xml:space="preserve">Tehnored. </w:t>
      </w:r>
      <w:r w:rsidR="00C960C1">
        <w:rPr>
          <w:rStyle w:val="Fontdeparagrafimplicit"/>
          <w:sz w:val="16"/>
        </w:rPr>
        <w:t>............</w:t>
      </w:r>
      <w:r>
        <w:rPr>
          <w:rStyle w:val="Fontdeparagrafimplicit"/>
          <w:sz w:val="16"/>
        </w:rPr>
        <w:t>./4 ex.</w:t>
      </w:r>
    </w:p>
    <w:p w:rsidR="008A705A" w14:paraId="5146BAD2" w14:textId="66D3F28B">
      <w:pPr>
        <w:rPr>
          <w:rStyle w:val="Fontdeparagrafimplicit"/>
          <w:sz w:val="16"/>
        </w:rPr>
      </w:pPr>
      <w:r>
        <w:rPr>
          <w:rStyle w:val="Fontdeparagrafimplicit"/>
          <w:sz w:val="16"/>
        </w:rPr>
        <w:t xml:space="preserve">Jud. fond </w:t>
      </w:r>
      <w:r w:rsidR="00C960C1">
        <w:rPr>
          <w:rStyle w:val="Fontdeparagrafimplicit"/>
          <w:sz w:val="16"/>
        </w:rPr>
        <w:t>...................</w:t>
      </w:r>
    </w:p>
    <w:p w:rsidR="008A705A" w14:paraId="2179F4EA" w14:textId="77777777">
      <w:pPr>
        <w:rPr>
          <w:rStyle w:val="Fontdeparagrafimplicit"/>
        </w:rPr>
      </w:pPr>
    </w:p>
    <w:p w:rsidR="008A705A" w14:paraId="5EB57AB1" w14:textId="77777777">
      <w:pPr>
        <w:jc w:val="center"/>
        <w:rPr>
          <w:rStyle w:val="Fontdeparagrafimplicit"/>
        </w:rPr>
      </w:pPr>
    </w:p>
    <w:sectPr>
      <w:footerReference w:type="even" r:id="rId4"/>
      <w:footerReference w:type="default" r:id="rId5"/>
      <w:pgSz w:w="11906" w:h="16838"/>
      <w:pgMar w:top="851" w:right="1418"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A705A" w14:paraId="61FB7C68"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A705A" w14:paraId="07E0806B"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A705A" w14:paraId="289578B8"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A705A" w14:paraId="0944EAB0"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05A"/>
    <w:rsid w:val="002A02EF"/>
    <w:rsid w:val="00664B7B"/>
    <w:rsid w:val="00793819"/>
    <w:rsid w:val="00834AFC"/>
    <w:rsid w:val="00875F59"/>
    <w:rsid w:val="008A705A"/>
    <w:rsid w:val="00C960C1"/>
  </w:rsids>
  <w:docVars>
    <w:docVar w:name="url" w:val="http://10.19.48.53:80/ecris_cdms/document_upload.aspx?id_document=5400000001169933&amp;id_departament=5&amp;id_sesiune=1426715&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4FEB9D87"/>
  <w15:docId w15:val="{67037978-B2AB-4512-9964-860FFCE0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harChar">
    <w:name w:val="Char Char"/>
    <w:basedOn w:val="Normal"/>
    <w:link w:val="Fontdeparagrafimplicit"/>
    <w:rPr>
      <w:sz w:val="20"/>
      <w:lang w:val="pl-PL"/>
    </w:r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har Char Char Char"/>
    <w:link w:val="CharChar"/>
    <w:rPr>
      <w:sz w:val="20"/>
      <w:lang w:val="pl-PL"/>
    </w:rPr>
  </w:style>
  <w:style w:type="character" w:customStyle="1" w:styleId="Numrdepagin">
    <w:name w:val="Număr de pagină"/>
    <w:basedOn w:val="Fontdeparagrafimplicit"/>
    <w:rPr>
      <w:sz w:val="20"/>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26</ap:TotalTime>
  <ap:Pages>6</ap:Pages>
  <ap:Words>3515</ap:Words>
  <ap:Characters>20391</ap:Characters>
  <ap:Application>Microsoft Office Word</ap:Application>
  <ap:DocSecurity>0</ap:DocSecurity>
  <ap:Lines>169</ap:Lines>
  <ap:Paragraphs>47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23859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