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5.5.0 -->
  <w:body>
    <w:p w:rsidR="00D70E94" w:rsidP="00D70E94">
      <w:pPr>
        <w:ind w:firstLine="708"/>
        <w:rPr>
          <w:b/>
        </w:rPr>
      </w:pPr>
      <w:r>
        <w:rPr>
          <w:b/>
        </w:rPr>
        <w:t>HOTĂRÂREA NR. 12                                                         CANDIDAT  A0009</w:t>
      </w:r>
    </w:p>
    <w:p w:rsidR="00711943">
      <w:pPr>
        <w:ind w:firstLine="709"/>
        <w:rPr>
          <w:rStyle w:val="Fontdeparagrafimplicit"/>
          <w:rFonts w:ascii="Garamond" w:hAnsi="Garamond"/>
        </w:rPr>
      </w:pPr>
      <w:r>
        <w:rPr>
          <w:rStyle w:val="Fontdeparagrafimplicit"/>
          <w:rFonts w:ascii="Garamond" w:hAnsi="Garamond"/>
        </w:rPr>
        <w:t>Cod ECLI    ECLI:RO:</w:t>
      </w:r>
      <w:r w:rsidR="00D70E94">
        <w:rPr>
          <w:rStyle w:val="Fontdeparagrafimplicit"/>
          <w:rFonts w:ascii="Garamond" w:hAnsi="Garamond"/>
        </w:rPr>
        <w:t>.............</w:t>
      </w:r>
    </w:p>
    <w:p w:rsidR="00711943">
      <w:pPr>
        <w:ind w:firstLine="709"/>
        <w:rPr>
          <w:rStyle w:val="Fontdeparagrafimplicit"/>
          <w:rFonts w:ascii="Garamond" w:hAnsi="Garamond"/>
        </w:rPr>
      </w:pPr>
      <w:r>
        <w:rPr>
          <w:rStyle w:val="Fontdeparagrafimplicit"/>
          <w:rFonts w:ascii="Garamond" w:hAnsi="Garamond"/>
        </w:rPr>
        <w:t xml:space="preserve">Dosar nr. </w:t>
      </w:r>
      <w:r w:rsidR="00D70E94">
        <w:rPr>
          <w:rStyle w:val="Fontdeparagrafimplicit"/>
          <w:rFonts w:ascii="Garamond" w:hAnsi="Garamond"/>
        </w:rPr>
        <w:t>.............</w:t>
      </w:r>
    </w:p>
    <w:p w:rsidR="00711943">
      <w:pPr>
        <w:ind w:firstLine="709"/>
        <w:jc w:val="center"/>
        <w:rPr>
          <w:rStyle w:val="Fontdeparagrafimplicit"/>
          <w:b/>
        </w:rPr>
      </w:pPr>
    </w:p>
    <w:p w:rsidR="00711943">
      <w:pPr>
        <w:ind w:firstLine="709"/>
        <w:jc w:val="center"/>
      </w:pPr>
      <w:r>
        <w:t>R O M Â N I A</w:t>
      </w:r>
    </w:p>
    <w:p w:rsidR="00711943">
      <w:pPr>
        <w:ind w:firstLine="709"/>
        <w:jc w:val="center"/>
      </w:pPr>
      <w:r>
        <w:t xml:space="preserve">CURTEA DE APEL </w:t>
      </w:r>
      <w:r w:rsidR="00D70E94">
        <w:t>.............</w:t>
      </w:r>
    </w:p>
    <w:p w:rsidR="00711943">
      <w:pPr>
        <w:ind w:firstLine="709"/>
        <w:jc w:val="center"/>
      </w:pPr>
      <w:r>
        <w:t xml:space="preserve">SECŢIA </w:t>
      </w:r>
      <w:r w:rsidR="00D70E94">
        <w:t>............</w:t>
      </w:r>
      <w:r>
        <w:t>CONTENCIOS ADMINISTRATIV ŞI FISCAL</w:t>
      </w:r>
    </w:p>
    <w:p w:rsidR="00711943">
      <w:pPr>
        <w:ind w:firstLine="709"/>
        <w:jc w:val="center"/>
      </w:pPr>
    </w:p>
    <w:p w:rsidR="00711943">
      <w:pPr>
        <w:ind w:firstLine="709"/>
        <w:jc w:val="center"/>
        <w:rPr>
          <w:rStyle w:val="Fontdeparagrafimplicit"/>
          <w:b/>
        </w:rPr>
      </w:pPr>
      <w:r>
        <w:rPr>
          <w:rStyle w:val="Fontdeparagrafimplicit"/>
          <w:b/>
        </w:rPr>
        <w:t>SENTINŢA CIVILĂ NR.</w:t>
      </w:r>
      <w:r w:rsidR="00D70E94">
        <w:rPr>
          <w:rStyle w:val="Fontdeparagrafimplicit"/>
          <w:b/>
        </w:rPr>
        <w:t>...........</w:t>
      </w:r>
    </w:p>
    <w:p w:rsidR="00711943">
      <w:pPr>
        <w:ind w:firstLine="709"/>
        <w:jc w:val="center"/>
        <w:rPr>
          <w:rStyle w:val="Fontdeparagrafimplicit"/>
          <w:b/>
        </w:rPr>
      </w:pPr>
      <w:r>
        <w:rPr>
          <w:rStyle w:val="Fontdeparagrafimplicit"/>
          <w:b/>
        </w:rPr>
        <w:t xml:space="preserve">Şedinţa publică din data de </w:t>
      </w:r>
      <w:r w:rsidR="00D70E94">
        <w:rPr>
          <w:rStyle w:val="Fontdeparagrafimplicit"/>
          <w:b/>
        </w:rPr>
        <w:t>.............</w:t>
      </w:r>
    </w:p>
    <w:p w:rsidR="00711943">
      <w:pPr>
        <w:ind w:firstLine="709"/>
        <w:jc w:val="center"/>
        <w:rPr>
          <w:rStyle w:val="Fontdeparagrafimplicit"/>
          <w:b/>
        </w:rPr>
      </w:pPr>
      <w:r>
        <w:rPr>
          <w:rStyle w:val="Fontdeparagrafimplicit"/>
          <w:b/>
        </w:rPr>
        <w:t>Curtea constituită din:</w:t>
      </w:r>
    </w:p>
    <w:p w:rsidR="00711943">
      <w:pPr>
        <w:ind w:firstLine="709"/>
        <w:jc w:val="center"/>
      </w:pPr>
      <w:r>
        <w:t xml:space="preserve">PREŞEDINTE: </w:t>
      </w:r>
      <w:r w:rsidR="00D70E94">
        <w:t>CANDIDAT A0009</w:t>
      </w:r>
    </w:p>
    <w:p w:rsidR="00711943">
      <w:pPr>
        <w:ind w:firstLine="709"/>
        <w:jc w:val="center"/>
      </w:pPr>
      <w:r>
        <w:t xml:space="preserve">GREFIER: </w:t>
      </w:r>
      <w:r w:rsidR="00D70E94">
        <w:t>...............</w:t>
      </w:r>
    </w:p>
    <w:p w:rsidR="00711943">
      <w:pPr>
        <w:ind w:firstLine="709"/>
        <w:jc w:val="both"/>
      </w:pPr>
    </w:p>
    <w:p w:rsidR="00711943">
      <w:pPr>
        <w:ind w:firstLine="709"/>
        <w:jc w:val="both"/>
      </w:pPr>
      <w:r>
        <w:t xml:space="preserve">Pe rol se află cererea în contencios administrativ şi fiscal formulată de reclamantul  </w:t>
      </w:r>
      <w:r w:rsidR="00D70E94">
        <w:rPr>
          <w:rStyle w:val="Fontdeparagrafimplicit"/>
          <w:b/>
        </w:rPr>
        <w:t xml:space="preserve">AB </w:t>
      </w:r>
      <w:r>
        <w:t xml:space="preserve">în contradictoriu cu pârâţii </w:t>
      </w:r>
      <w:r>
        <w:rPr>
          <w:rStyle w:val="Fontdeparagrafimplicit"/>
          <w:b/>
        </w:rPr>
        <w:t xml:space="preserve">Uniunea Naţională a Barourilor din România şi </w:t>
      </w:r>
      <w:r w:rsidR="00D70E94">
        <w:rPr>
          <w:rStyle w:val="Fontdeparagrafimplicit"/>
          <w:b/>
        </w:rPr>
        <w:t>Baroul B</w:t>
      </w:r>
      <w:r w:rsidR="003A0916">
        <w:rPr>
          <w:rStyle w:val="Fontdeparagrafimplicit"/>
          <w:b/>
        </w:rPr>
        <w:t xml:space="preserve"> </w:t>
      </w:r>
      <w:r>
        <w:t>ş</w:t>
      </w:r>
      <w:r w:rsidR="00D70E94">
        <w:t xml:space="preserve"> </w:t>
      </w:r>
      <w:r>
        <w:t xml:space="preserve">i cu persoana introducă în cauză în condiţiile art. 78 alin. 2 C.pr.civ., respectiv domnul </w:t>
      </w:r>
      <w:r w:rsidR="00D70E94">
        <w:rPr>
          <w:rStyle w:val="Fontdeparagrafimplicit"/>
          <w:b/>
        </w:rPr>
        <w:t>BC</w:t>
      </w:r>
      <w:r>
        <w:rPr>
          <w:rStyle w:val="Fontdeparagrafimplicit"/>
          <w:b/>
        </w:rPr>
        <w:t>,</w:t>
      </w:r>
      <w:r>
        <w:t xml:space="preserve"> având ca obiect anulare decizie Uniunea Naţionala a Barourilor din România.</w:t>
      </w:r>
    </w:p>
    <w:p w:rsidR="00711943">
      <w:pPr>
        <w:ind w:right="23" w:firstLine="709"/>
        <w:jc w:val="both"/>
        <w:rPr>
          <w:rStyle w:val="Fontdeparagrafimplicit"/>
          <w:color w:val="000000"/>
        </w:rPr>
      </w:pPr>
      <w:r>
        <w:rPr>
          <w:rStyle w:val="Fontdeparagrafimplicit"/>
          <w:color w:val="000000"/>
        </w:rPr>
        <w:t>Cauza a rămas în pronunţare în şedinţa publică de la</w:t>
      </w:r>
      <w:r w:rsidR="00D70E94">
        <w:rPr>
          <w:rStyle w:val="Fontdeparagrafimplicit"/>
          <w:color w:val="000000"/>
        </w:rPr>
        <w:t>..............</w:t>
      </w:r>
      <w:r>
        <w:rPr>
          <w:rStyle w:val="Fontdeparagrafimplicit"/>
          <w:color w:val="000000"/>
        </w:rPr>
        <w:t xml:space="preserve">, desfăşurarea şedinţei fiind consemnată în încheierea de şedinţă de la acea dată, care face parte integrantă din prezenta hotărâre, dată la care Curtea, din lipsă de timp pentru a delibera, a amânat pronunţarea succesiv până la data de </w:t>
      </w:r>
      <w:r w:rsidR="00D70E94">
        <w:rPr>
          <w:rStyle w:val="Fontdeparagrafimplicit"/>
          <w:color w:val="000000"/>
        </w:rPr>
        <w:t>............</w:t>
      </w:r>
      <w:r>
        <w:rPr>
          <w:rStyle w:val="Fontdeparagrafimplicit"/>
          <w:color w:val="000000"/>
        </w:rPr>
        <w:t xml:space="preserve">, când a pronunţat următoarea hotărâre: </w:t>
      </w:r>
    </w:p>
    <w:p w:rsidR="00711943">
      <w:pPr>
        <w:ind w:firstLine="709"/>
        <w:rPr>
          <w:rStyle w:val="Fontdeparagrafimplicit"/>
          <w:b/>
        </w:rPr>
      </w:pPr>
    </w:p>
    <w:p w:rsidR="00711943">
      <w:pPr>
        <w:ind w:firstLine="709"/>
        <w:jc w:val="center"/>
        <w:rPr>
          <w:rStyle w:val="Fontdeparagrafimplicit"/>
          <w:b/>
        </w:rPr>
      </w:pPr>
      <w:r>
        <w:rPr>
          <w:rStyle w:val="Fontdeparagrafimplicit"/>
          <w:b/>
        </w:rPr>
        <w:t>CURTEA,</w:t>
      </w:r>
    </w:p>
    <w:p w:rsidR="00711943">
      <w:pPr>
        <w:ind w:firstLine="709"/>
        <w:jc w:val="center"/>
        <w:rPr>
          <w:rStyle w:val="Fontdeparagrafimplicit"/>
          <w:b/>
        </w:rPr>
      </w:pPr>
    </w:p>
    <w:p w:rsidR="00711943">
      <w:pPr>
        <w:numPr>
          <w:ilvl w:val="0"/>
          <w:numId w:val="3"/>
        </w:numPr>
        <w:ind w:left="0" w:firstLine="709"/>
        <w:jc w:val="both"/>
        <w:rPr>
          <w:rStyle w:val="Fontdeparagrafimplicit"/>
          <w:b/>
        </w:rPr>
      </w:pPr>
      <w:r>
        <w:rPr>
          <w:rStyle w:val="Fontdeparagrafimplicit"/>
          <w:b/>
        </w:rPr>
        <w:t xml:space="preserve">Cererea de chemare în judecată. </w:t>
      </w:r>
    </w:p>
    <w:p w:rsidR="00711943">
      <w:pPr>
        <w:ind w:firstLine="709"/>
        <w:jc w:val="both"/>
        <w:rPr>
          <w:rStyle w:val="Fontdeparagrafimplicit"/>
          <w:b/>
        </w:rPr>
      </w:pPr>
    </w:p>
    <w:p w:rsidR="00711943">
      <w:pPr>
        <w:ind w:firstLine="709"/>
        <w:jc w:val="both"/>
      </w:pPr>
      <w:r>
        <w:t xml:space="preserve">Prin cererea înregistrată pe rolul </w:t>
      </w:r>
      <w:r w:rsidR="00D70E94">
        <w:t>Curţii de Apel ..........</w:t>
      </w:r>
      <w:r>
        <w:t xml:space="preserve">– Secţia </w:t>
      </w:r>
      <w:r w:rsidR="00D70E94">
        <w:t>..........</w:t>
      </w:r>
      <w:r>
        <w:t xml:space="preserve">Contencios administrativ şi fiscal la data de 22.06.2020, sub nr. </w:t>
      </w:r>
      <w:r w:rsidR="00D70E94">
        <w:t>.............</w:t>
      </w:r>
      <w:r>
        <w:t xml:space="preserve">, reclamantul </w:t>
      </w:r>
      <w:r w:rsidR="00D70E94">
        <w:rPr>
          <w:rStyle w:val="Fontdeparagrafimplicit"/>
          <w:b/>
        </w:rPr>
        <w:t>AB</w:t>
      </w:r>
      <w:r>
        <w:t xml:space="preserve">, în contradictoriu cu pârâţii </w:t>
      </w:r>
      <w:r>
        <w:rPr>
          <w:rStyle w:val="Fontdeparagrafimplicit"/>
          <w:b/>
        </w:rPr>
        <w:t xml:space="preserve">Uniunea Naţională a Barourilor din România şi </w:t>
      </w:r>
      <w:r w:rsidR="00D70E94">
        <w:rPr>
          <w:rStyle w:val="Fontdeparagrafimplicit"/>
          <w:b/>
        </w:rPr>
        <w:t xml:space="preserve">Baroul B </w:t>
      </w:r>
      <w:r>
        <w:t xml:space="preserve">şi cu persoana introducă în cauză în condiţiile art. 78 alin. 2 C.pr.civ., respectiv domnul </w:t>
      </w:r>
      <w:r w:rsidR="00D70E94">
        <w:rPr>
          <w:rStyle w:val="Fontdeparagrafimplicit"/>
          <w:b/>
        </w:rPr>
        <w:t>BC</w:t>
      </w:r>
      <w:r>
        <w:t>, a solicitat:</w:t>
      </w:r>
    </w:p>
    <w:p w:rsidR="00711943">
      <w:pPr>
        <w:ind w:firstLine="709"/>
        <w:jc w:val="both"/>
      </w:pPr>
      <w:r>
        <w:t xml:space="preserve">- în principal, modificarea Deciziei nr. </w:t>
      </w:r>
      <w:r w:rsidR="00D70E94">
        <w:t xml:space="preserve">......../07.12.2019 </w:t>
      </w:r>
      <w:r>
        <w:t xml:space="preserve">şi a Deciziei nr. </w:t>
      </w:r>
      <w:r w:rsidR="00D70E94">
        <w:t>......./04.10.2019</w:t>
      </w:r>
      <w:r>
        <w:t xml:space="preserve">, prin care s-a soluţionat contestaţia formulată de domnul </w:t>
      </w:r>
      <w:r w:rsidR="00D70E94">
        <w:t>BC</w:t>
      </w:r>
      <w:r>
        <w:t xml:space="preserve"> împotriva Deciziei Consiliului </w:t>
      </w:r>
      <w:r w:rsidR="007D6913">
        <w:t>Baroului B</w:t>
      </w:r>
      <w:r w:rsidR="004225AF">
        <w:t xml:space="preserve"> </w:t>
      </w:r>
      <w:r>
        <w:t xml:space="preserve">nr. </w:t>
      </w:r>
      <w:r w:rsidR="00D70E94">
        <w:t>..........</w:t>
      </w:r>
      <w:r>
        <w:t xml:space="preserve">/11.06.2019, prin înlăturarea considerentelor care fac referire la calitatea </w:t>
      </w:r>
      <w:r w:rsidR="00D70E94">
        <w:t xml:space="preserve">C.I. AB </w:t>
      </w:r>
      <w:r>
        <w:t xml:space="preserve">de succesor în drepturi al </w:t>
      </w:r>
      <w:r w:rsidR="00D70E94">
        <w:t xml:space="preserve">S.C.A. AB </w:t>
      </w:r>
      <w:r>
        <w:t>şi Asociaţii;</w:t>
      </w:r>
    </w:p>
    <w:p w:rsidR="00711943">
      <w:pPr>
        <w:ind w:firstLine="709"/>
        <w:jc w:val="both"/>
      </w:pPr>
      <w:r>
        <w:t xml:space="preserve">- în subsidiar, anularea Deciziei nr. </w:t>
      </w:r>
      <w:r w:rsidR="00D70E94">
        <w:t xml:space="preserve">......../07.12.2019 </w:t>
      </w:r>
      <w:r>
        <w:t xml:space="preserve">şi a Deciziei nr. </w:t>
      </w:r>
      <w:r w:rsidR="00D70E94">
        <w:t>......./04.10.2019</w:t>
      </w:r>
      <w:r>
        <w:t xml:space="preserve">, cu consecinţa obligării pârâtei la emiterea unei noi decizii, cu înlăturarea considerentelor care fac referire la calitatea </w:t>
      </w:r>
      <w:r w:rsidR="00D70E94">
        <w:t xml:space="preserve">C.I. AB </w:t>
      </w:r>
      <w:r>
        <w:t xml:space="preserve">de succesor în drepturi al </w:t>
      </w:r>
      <w:r w:rsidR="00D70E94">
        <w:t xml:space="preserve">S.C.A. AB </w:t>
      </w:r>
      <w:r>
        <w:t xml:space="preserve">şi Asociaţii şi cu reţinerea calităţii de succesor în drepturi al </w:t>
      </w:r>
      <w:r w:rsidR="00D70E94">
        <w:t xml:space="preserve">S.C.A. AB </w:t>
      </w:r>
      <w:r>
        <w:t>şi Asociaţii a persoanei fizice</w:t>
      </w:r>
      <w:r w:rsidR="00D70E94">
        <w:t xml:space="preserve"> AB</w:t>
      </w:r>
      <w:r>
        <w:t>.</w:t>
      </w:r>
    </w:p>
    <w:p w:rsidR="00711943">
      <w:pPr>
        <w:ind w:firstLine="709"/>
        <w:jc w:val="both"/>
      </w:pPr>
      <w:r>
        <w:t xml:space="preserve">În motivarea cererii de chemare în judecată, reclamantul a arăta că cele două decizi cuprind dispoziţii care îl prejudiciază, respectiv acelea prin care s-a reţinut că </w:t>
      </w:r>
      <w:r w:rsidR="00D70E94">
        <w:t xml:space="preserve">C.I. AB </w:t>
      </w:r>
      <w:r>
        <w:t>este succesorul „</w:t>
      </w:r>
      <w:r>
        <w:rPr>
          <w:rStyle w:val="Fontdeparagrafimplicit"/>
          <w:i/>
        </w:rPr>
        <w:t xml:space="preserve">în drepturi al </w:t>
      </w:r>
      <w:r w:rsidR="00D70E94">
        <w:rPr>
          <w:rStyle w:val="Fontdeparagrafimplicit"/>
          <w:i/>
        </w:rPr>
        <w:t xml:space="preserve">S.C.A. AB </w:t>
      </w:r>
      <w:r>
        <w:rPr>
          <w:rStyle w:val="Fontdeparagrafimplicit"/>
          <w:i/>
        </w:rPr>
        <w:t>şi Asociaţii, păstrându-şi acelaşi sediu, logistica, portofoliul de clienţi şi obţinând venituri</w:t>
      </w:r>
      <w:r>
        <w:t xml:space="preserve"> (…).”.</w:t>
      </w:r>
    </w:p>
    <w:p w:rsidR="00711943">
      <w:pPr>
        <w:ind w:firstLine="709"/>
        <w:jc w:val="both"/>
      </w:pPr>
      <w:r>
        <w:t>O astfel de concluzie este eronată întrucât:</w:t>
      </w:r>
    </w:p>
    <w:p w:rsidR="00711943">
      <w:pPr>
        <w:numPr>
          <w:ilvl w:val="0"/>
          <w:numId w:val="4"/>
        </w:numPr>
        <w:ind w:left="0" w:firstLine="709"/>
        <w:jc w:val="both"/>
      </w:pPr>
      <w:r>
        <w:t xml:space="preserve">nu a solicitat niciodată transformarea </w:t>
      </w:r>
      <w:r w:rsidR="00D70E94">
        <w:t xml:space="preserve">S.C.A. AB </w:t>
      </w:r>
      <w:r>
        <w:t xml:space="preserve">şi Asociaţii în </w:t>
      </w:r>
      <w:r w:rsidR="007D6913">
        <w:t>C.I. AB</w:t>
      </w:r>
      <w:r>
        <w:t>, aspect ce rezultă cu claritate din Decizia asociatului unic nr. 23.10.2018, nefiind posibil ca o societate desfiinţată să se mai transforme;</w:t>
      </w:r>
    </w:p>
    <w:p w:rsidR="00711943">
      <w:pPr>
        <w:numPr>
          <w:ilvl w:val="0"/>
          <w:numId w:val="4"/>
        </w:numPr>
        <w:ind w:left="0" w:firstLine="709"/>
        <w:jc w:val="both"/>
      </w:pPr>
      <w:r>
        <w:t>S.C.A. AB</w:t>
      </w:r>
      <w:r w:rsidR="007D6913">
        <w:t xml:space="preserve"> </w:t>
      </w:r>
      <w:r w:rsidR="00B15223">
        <w:t>şi Asociaţii şi-a lichidat situaţia patrimonială urmare a desfiinţării acesteia prin preluarea activului şi a pasivului în nume personal de către persoana fizică</w:t>
      </w:r>
      <w:r w:rsidR="007D6913">
        <w:t xml:space="preserve"> AB</w:t>
      </w:r>
      <w:r w:rsidR="00B15223">
        <w:t xml:space="preserve">, aspect ce rezultă din declaraţia notarială autentificată sub nr. </w:t>
      </w:r>
      <w:r w:rsidR="007D6913">
        <w:t>.........</w:t>
      </w:r>
      <w:r w:rsidR="00B15223">
        <w:t>/20.06.2019 şi din Decizi</w:t>
      </w:r>
      <w:r w:rsidR="007D6913">
        <w:t>a Consiliului Bariului B</w:t>
      </w:r>
      <w:r w:rsidR="00B15223">
        <w:t xml:space="preserve"> nr. </w:t>
      </w:r>
      <w:r>
        <w:t>..........</w:t>
      </w:r>
      <w:r w:rsidR="00B15223">
        <w:t>/11.06.2019;</w:t>
      </w:r>
    </w:p>
    <w:p w:rsidR="00711943">
      <w:pPr>
        <w:numPr>
          <w:ilvl w:val="0"/>
          <w:numId w:val="4"/>
        </w:numPr>
        <w:ind w:left="0" w:firstLine="709"/>
        <w:jc w:val="both"/>
      </w:pPr>
      <w:r>
        <w:t>la data de 31.10.2018 a expirat termenul de 3 luni reglementat de art. 211 din Statutul profesiei de avocat, astfel că, începând cu această dată, S.C.A. „</w:t>
      </w:r>
      <w:r w:rsidR="007D6913">
        <w:t xml:space="preserve">AB </w:t>
      </w:r>
      <w:r>
        <w:t>şi Asociaţii” trebuia considerată desfiinţată de drept, în lipsa unei cererii exprese de transformare;</w:t>
      </w:r>
    </w:p>
    <w:p w:rsidR="00711943">
      <w:pPr>
        <w:numPr>
          <w:ilvl w:val="0"/>
          <w:numId w:val="4"/>
        </w:numPr>
        <w:ind w:left="0" w:firstLine="709"/>
        <w:jc w:val="both"/>
      </w:pPr>
      <w:r>
        <w:t>în condiţiile în care şi-a exprimat voinţa în sensul desfiinţării societăţii şi nu al transformării acesteia, prin deciziile contestate sunt încălcate dispoziţiile art. 6 alin. 2 din Statutul profesiei, conform cărora avocatul este liber să îşi aleagă, să schimbe şi să dispună în tot sau în parte de forma de exercitare a profesiei, în condiţiile prevăzute de lege şi de Statut;</w:t>
      </w:r>
    </w:p>
    <w:p w:rsidR="00711943">
      <w:pPr>
        <w:numPr>
          <w:ilvl w:val="0"/>
          <w:numId w:val="4"/>
        </w:numPr>
        <w:ind w:left="0" w:firstLine="709"/>
        <w:jc w:val="both"/>
      </w:pPr>
      <w:r>
        <w:t xml:space="preserve">menţiunea din cuprinsul Deciziei nr. </w:t>
      </w:r>
      <w:r w:rsidR="00D70E94">
        <w:t>......./04.10.2019</w:t>
      </w:r>
      <w:r>
        <w:t xml:space="preserve">, conform căreia </w:t>
      </w:r>
      <w:r w:rsidR="00D70E94">
        <w:t>C.I. AB</w:t>
      </w:r>
      <w:r w:rsidR="007D6913">
        <w:t xml:space="preserve"> </w:t>
      </w:r>
      <w:r>
        <w:t xml:space="preserve">este succesor în drepturi a </w:t>
      </w:r>
      <w:r w:rsidR="00D70E94">
        <w:t>S.C.A. AB</w:t>
      </w:r>
      <w:r w:rsidR="007D6913">
        <w:t xml:space="preserve"> </w:t>
      </w:r>
      <w:r>
        <w:t xml:space="preserve">şi Asociaţii este contrară Deciziei Consiliului </w:t>
      </w:r>
      <w:r w:rsidR="007D6913">
        <w:t xml:space="preserve">Baroului B </w:t>
      </w:r>
      <w:r>
        <w:t xml:space="preserve">nr. </w:t>
      </w:r>
      <w:r w:rsidR="00D70E94">
        <w:t>..........</w:t>
      </w:r>
      <w:r>
        <w:t xml:space="preserve">/11.06.2019 şi Deciziei U.N.B.R. nr. </w:t>
      </w:r>
      <w:r w:rsidR="007D6913">
        <w:t>......../04.10.2019</w:t>
      </w:r>
      <w:r>
        <w:t>.</w:t>
      </w:r>
    </w:p>
    <w:p w:rsidR="00711943">
      <w:pPr>
        <w:ind w:firstLine="709"/>
        <w:jc w:val="both"/>
      </w:pPr>
      <w:r>
        <w:t>În drept, au fost invocate dispoziţiile Legii nr. 554/2004.</w:t>
      </w:r>
    </w:p>
    <w:p w:rsidR="00711943">
      <w:pPr>
        <w:ind w:firstLine="709"/>
        <w:jc w:val="both"/>
      </w:pPr>
      <w:r>
        <w:t>În probaţie, s-a solicitat încuviinţarea administrării probei cu înscrisuri.</w:t>
      </w:r>
    </w:p>
    <w:p w:rsidR="00711943">
      <w:pPr>
        <w:ind w:firstLine="709"/>
        <w:jc w:val="both"/>
      </w:pPr>
    </w:p>
    <w:p w:rsidR="00711943">
      <w:pPr>
        <w:numPr>
          <w:ilvl w:val="0"/>
          <w:numId w:val="3"/>
        </w:numPr>
        <w:ind w:left="0" w:firstLine="709"/>
        <w:jc w:val="both"/>
        <w:rPr>
          <w:rStyle w:val="Fontdeparagrafimplicit"/>
          <w:b/>
        </w:rPr>
      </w:pPr>
      <w:r>
        <w:rPr>
          <w:rStyle w:val="Fontdeparagrafimplicit"/>
          <w:b/>
        </w:rPr>
        <w:t>Apărările formulate în cauză.</w:t>
      </w:r>
    </w:p>
    <w:p w:rsidR="00711943">
      <w:pPr>
        <w:ind w:firstLine="709"/>
        <w:jc w:val="both"/>
      </w:pPr>
    </w:p>
    <w:p w:rsidR="00711943">
      <w:pPr>
        <w:numPr>
          <w:ilvl w:val="1"/>
          <w:numId w:val="3"/>
        </w:numPr>
        <w:ind w:left="0" w:firstLine="709"/>
        <w:jc w:val="both"/>
      </w:pPr>
      <w:r>
        <w:rPr>
          <w:rStyle w:val="Fontdeparagrafimplicit"/>
          <w:b/>
        </w:rPr>
        <w:t>Uniunea Naţională a Barourilor din România</w:t>
      </w:r>
      <w:r>
        <w:t xml:space="preserve"> a depus întâmpinare (filele 65 şi următoarele), prin care a solicitat respingerea cererii de chemare în judecată, ca nefondată, în motivarea poziţiei sale procesuale, arătând, în esenţă, că se impune respingerea capătului de cerere având ca obiect anularea actelor contestate, întrucât, pe de-o parte, nu s-au invocat motive reale de anulare, iar, pe de altă parte, solicitările reclamantului sunt lipsite de fundament de vreme ce prin decizii anterioare s-a lut act de desfiinţarea </w:t>
      </w:r>
      <w:r w:rsidR="00D70E94">
        <w:t>S.C.A. AB</w:t>
      </w:r>
      <w:r w:rsidR="007D6913">
        <w:t xml:space="preserve"> </w:t>
      </w:r>
      <w:r>
        <w:t xml:space="preserve">şi Asociaţii şi înfiinţarea </w:t>
      </w:r>
      <w:r w:rsidR="007D6913">
        <w:t>C.I. AB</w:t>
      </w:r>
      <w:r>
        <w:t>.</w:t>
      </w:r>
    </w:p>
    <w:p w:rsidR="00711943">
      <w:pPr>
        <w:ind w:firstLine="709"/>
        <w:jc w:val="both"/>
      </w:pPr>
      <w:r>
        <w:t xml:space="preserve">Relativ la capătul de cerere prin care s-a solicitat reţinerea calităţii persoanei fizice </w:t>
      </w:r>
      <w:r w:rsidR="007D6913">
        <w:t xml:space="preserve">AB </w:t>
      </w:r>
      <w:r>
        <w:t>de succesor în drepturi al societăţii civile de avocaţi, s-a solicitat respingerea acestuia, dat fiind faptul că o astfel de calitate nu poate fi avută de o persoană fizică, ci doar de o formă de exercitare a profesiei.</w:t>
      </w:r>
    </w:p>
    <w:p w:rsidR="00711943">
      <w:pPr>
        <w:ind w:firstLine="709"/>
        <w:jc w:val="both"/>
      </w:pPr>
      <w:r>
        <w:t xml:space="preserve">În ceea ce priveşte capătul doi de cerere, s-a invocat excepţia lipsei calităţii procesuale pasive a U.N.B.R., în raport de faptul că prin acest petit se solicită, implicit, obligarea </w:t>
      </w:r>
      <w:r w:rsidR="007D6913">
        <w:t xml:space="preserve">Baroului B </w:t>
      </w:r>
      <w:r>
        <w:t xml:space="preserve">la emiterea unei alte decizii. </w:t>
      </w:r>
    </w:p>
    <w:p w:rsidR="00711943">
      <w:pPr>
        <w:ind w:firstLine="709"/>
        <w:jc w:val="both"/>
      </w:pPr>
      <w:r>
        <w:t>În drept, au fost invocate dispoziţiile art. 205 C.pr.civ.</w:t>
      </w:r>
    </w:p>
    <w:p w:rsidR="00711943">
      <w:pPr>
        <w:ind w:firstLine="709"/>
        <w:jc w:val="both"/>
      </w:pPr>
    </w:p>
    <w:p w:rsidR="00711943">
      <w:pPr>
        <w:numPr>
          <w:ilvl w:val="1"/>
          <w:numId w:val="3"/>
        </w:numPr>
        <w:ind w:left="0" w:firstLine="709"/>
        <w:jc w:val="both"/>
      </w:pPr>
      <w:r>
        <w:rPr>
          <w:rStyle w:val="Fontdeparagrafimplicit"/>
          <w:b/>
        </w:rPr>
        <w:t>Baroul B</w:t>
      </w:r>
      <w:r w:rsidR="007D6913">
        <w:rPr>
          <w:rStyle w:val="Fontdeparagrafimplicit"/>
          <w:b/>
        </w:rPr>
        <w:t xml:space="preserve"> </w:t>
      </w:r>
      <w:r w:rsidR="00B15223">
        <w:t>a depus întâmpinare (filele 81 şi următoarele), prin care a invocat excepţia lipsei calităţii sale procesuale pasive, motivată din perspectiva faptului că nu este emitentul vreunuia dintre actele a căror anulare se solicită, excepţia lipsei de interes, în argumentarea căreia a arătat c</w:t>
      </w:r>
      <w:r w:rsidR="007D6913">
        <w:t>ă cererile pe care domnul AB</w:t>
      </w:r>
      <w:r w:rsidR="00B15223">
        <w:t xml:space="preserve"> le-a adresat </w:t>
      </w:r>
      <w:r w:rsidR="007D6913">
        <w:t xml:space="preserve">Baroului B </w:t>
      </w:r>
      <w:r w:rsidR="00B15223">
        <w:t xml:space="preserve">au fost admise aşa cum au fost formulate de către acesta, şi excepţia prescripţiei dreptului material la acţiune, în susţinerea căreia s-a precizat că formularea unei contestaţii împotriva  Deciziei nr. </w:t>
      </w:r>
      <w:r>
        <w:t>......./04.10.2019</w:t>
      </w:r>
      <w:r w:rsidR="00B15223">
        <w:t xml:space="preserve">, prin care s-a soluţionat calea administrativă de atac împotriva Deciziei nr. </w:t>
      </w:r>
      <w:r>
        <w:t>..........</w:t>
      </w:r>
      <w:r w:rsidR="00B15223">
        <w:t>/11.06.2019, nu are semnificaţia repunerii acestuia în termenul de contestare a celei dintâi decizii, astfel că termenul pentru sesizarea instanţei trebuie calculat de la data de 22.10.2019.</w:t>
      </w:r>
    </w:p>
    <w:p w:rsidR="00711943">
      <w:pPr>
        <w:ind w:firstLine="709"/>
        <w:jc w:val="both"/>
      </w:pPr>
      <w:r>
        <w:t xml:space="preserve">Relativ la fondul raportului de drept administrativ, în cuprinsul întâmpinării s-a punctat că reclamantul nu a dovedit vătămarea pe care i-o pot produce considerentele inserate în cuprinsul actelor contestate, respectiv cele prin care se reţine că </w:t>
      </w:r>
      <w:r w:rsidR="00D70E94">
        <w:t>C.I. AB</w:t>
      </w:r>
      <w:r w:rsidR="007D6913">
        <w:t xml:space="preserve"> </w:t>
      </w:r>
      <w:r>
        <w:t xml:space="preserve">este succesorul în drepturi al </w:t>
      </w:r>
      <w:r w:rsidR="00D70E94">
        <w:t>S.C.A. AB</w:t>
      </w:r>
      <w:r w:rsidR="007D6913">
        <w:t xml:space="preserve"> </w:t>
      </w:r>
      <w:r>
        <w:t>şi Asociaţii.</w:t>
      </w:r>
    </w:p>
    <w:p w:rsidR="00711943">
      <w:pPr>
        <w:ind w:firstLine="709"/>
        <w:jc w:val="both"/>
      </w:pPr>
      <w:r>
        <w:t xml:space="preserve">În continuare, s-a punctat că, prin Decizia </w:t>
      </w:r>
      <w:r w:rsidR="007D6913">
        <w:t xml:space="preserve">Baroului B </w:t>
      </w:r>
      <w:r>
        <w:t xml:space="preserve">nr. </w:t>
      </w:r>
      <w:r w:rsidR="00D70E94">
        <w:t>..........</w:t>
      </w:r>
      <w:r>
        <w:t>/11.06.2019, a fost admisă cererea reclamantului, dispunându-se în sensul că, începând „</w:t>
      </w:r>
      <w:r>
        <w:rPr>
          <w:rStyle w:val="Fontdeparagrafimplicit"/>
          <w:i/>
        </w:rPr>
        <w:t xml:space="preserve">cu data de 11.06.2019, se ia act de desfiinţarea </w:t>
      </w:r>
      <w:r w:rsidR="007D6913">
        <w:rPr>
          <w:rStyle w:val="Fontdeparagrafimplicit"/>
          <w:i/>
        </w:rPr>
        <w:t xml:space="preserve">AB </w:t>
      </w:r>
      <w:r>
        <w:rPr>
          <w:rStyle w:val="Fontdeparagrafimplicit"/>
          <w:i/>
        </w:rPr>
        <w:t>şi Asociaţii – SCA</w:t>
      </w:r>
      <w:r>
        <w:t xml:space="preserve">”, efectele desfiinţării societăţii producându-se de la acea dată. Prin aceeaşi decizie, s-a aprobat şi înfiinţarea Cabinetului de avocat </w:t>
      </w:r>
      <w:r w:rsidR="007D6913">
        <w:t>AB</w:t>
      </w:r>
      <w:r>
        <w:t xml:space="preserve">, reţinându-se că, prin declaraţia notarială pe proprie răspundere a reclamantului, acesta, în calitate de asociat unic al societăţii desfiinţate, a declarat că preia tot activul şi pasivul </w:t>
      </w:r>
      <w:r w:rsidR="00D70E94">
        <w:t>S.C.A. AB</w:t>
      </w:r>
      <w:r w:rsidR="007D6913">
        <w:t xml:space="preserve"> </w:t>
      </w:r>
      <w:r>
        <w:t>şi Asociaţii.</w:t>
      </w:r>
    </w:p>
    <w:p w:rsidR="00711943">
      <w:pPr>
        <w:ind w:firstLine="709"/>
        <w:jc w:val="both"/>
      </w:pPr>
      <w:r>
        <w:t xml:space="preserve">Având în vedere conţinutul Deciziei </w:t>
      </w:r>
      <w:r w:rsidR="007D6913">
        <w:t xml:space="preserve">Baroului B </w:t>
      </w:r>
      <w:r>
        <w:t xml:space="preserve">nr. </w:t>
      </w:r>
      <w:r w:rsidR="00D70E94">
        <w:t>..........</w:t>
      </w:r>
      <w:r>
        <w:t>/11.06.2019 şi faptul că aceasta îşi produce efectele, intrând în circuitul civil, se impune concluzia că cererea de chemare în judecată este nefondată.</w:t>
      </w:r>
    </w:p>
    <w:p w:rsidR="00711943">
      <w:pPr>
        <w:ind w:firstLine="709"/>
        <w:jc w:val="both"/>
      </w:pPr>
      <w:r>
        <w:t>În drept, au fost invocate dispoziţiile art. 205 C.pr.civ.</w:t>
      </w:r>
    </w:p>
    <w:p w:rsidR="00711943">
      <w:pPr>
        <w:ind w:firstLine="709"/>
        <w:jc w:val="both"/>
      </w:pPr>
      <w:r>
        <w:t>În probaţiune, s-a solicitat încuviinţarea administrării probei cu înscrisuri.</w:t>
      </w:r>
    </w:p>
    <w:p w:rsidR="00711943">
      <w:pPr>
        <w:ind w:firstLine="709"/>
        <w:jc w:val="both"/>
      </w:pPr>
    </w:p>
    <w:p w:rsidR="00711943">
      <w:pPr>
        <w:numPr>
          <w:ilvl w:val="1"/>
          <w:numId w:val="3"/>
        </w:numPr>
        <w:ind w:left="0" w:firstLine="709"/>
        <w:jc w:val="both"/>
      </w:pPr>
      <w:r>
        <w:rPr>
          <w:rStyle w:val="Fontdeparagrafimplicit"/>
          <w:b/>
        </w:rPr>
        <w:t>Persoana introdusă în cauză în condiţiile art. 78 alin. 2 C.pr.civ.</w:t>
      </w:r>
      <w:r>
        <w:t xml:space="preserve">, domnul </w:t>
      </w:r>
      <w:r w:rsidR="007D6913">
        <w:t xml:space="preserve">BC </w:t>
      </w:r>
      <w:r>
        <w:t xml:space="preserve">a depus la ultimul termen de judecată concluzii scrise, prin care a invocat excepţia inadmisibilităţii cererii de chemare în judecată, argumentată din perspectiva faptului că Decizia nr. </w:t>
      </w:r>
      <w:r w:rsidR="00D70E94">
        <w:t>......./04.10.2019</w:t>
      </w:r>
      <w:r>
        <w:t xml:space="preserve"> nu este un act administrativ în sensul art. 2 alin. 1 lit. c din Legea nr. 554/2004, excepţia lisei de interes şi excepţia prescripţiei dreptului material la acţiune, în susţinerea cărora s-au dezvoltat argumente similare cu cele invocate de </w:t>
      </w:r>
      <w:r w:rsidR="00D70E94">
        <w:t>Baroul B</w:t>
      </w:r>
      <w:r w:rsidR="007D6913">
        <w:t xml:space="preserve"> </w:t>
      </w:r>
      <w:r>
        <w:t>în privinţa aceloraşi excepţii.</w:t>
      </w:r>
    </w:p>
    <w:p w:rsidR="00711943">
      <w:pPr>
        <w:ind w:firstLine="709"/>
        <w:jc w:val="both"/>
      </w:pPr>
      <w:r>
        <w:t>Relativ la fondul raportului de drept administrativ dedus judecăţii, s-a menţionat că se impune respingerea cererii de chemare în judecată ca nefondată, dat fiind faptul că, pe de-o parte, în cuprinsul cererii de chemare în judecată nu se arată cum sunt vătămate drepturile reclamantului prin Dec</w:t>
      </w:r>
      <w:r w:rsidR="007D6913">
        <w:t>izia Consiliului U.N.B.R. nr. ........</w:t>
      </w:r>
      <w:r>
        <w:t xml:space="preserve">/2019, iar, pe de altă parte, Decizia nr. </w:t>
      </w:r>
      <w:r w:rsidR="007D6913">
        <w:t>.....</w:t>
      </w:r>
      <w:r w:rsidR="00D70E94">
        <w:t>....</w:t>
      </w:r>
      <w:r>
        <w:t>/11.06.2019 îşi produce efectele, intrând în circuitul civil.</w:t>
      </w:r>
    </w:p>
    <w:p w:rsidR="00711943">
      <w:pPr>
        <w:ind w:firstLine="709"/>
        <w:jc w:val="both"/>
      </w:pPr>
      <w:r>
        <w:t>În drept, au fost invocate dispoziţiile art. 78 C.pr.civ.</w:t>
      </w:r>
    </w:p>
    <w:p w:rsidR="00711943">
      <w:pPr>
        <w:ind w:firstLine="709"/>
        <w:jc w:val="both"/>
      </w:pPr>
      <w:r>
        <w:t>În probaţiune, s-a solicitat încuviinţarea administrării probei cu înscrisuri.</w:t>
      </w:r>
    </w:p>
    <w:p w:rsidR="00711943">
      <w:pPr>
        <w:ind w:firstLine="709"/>
        <w:jc w:val="both"/>
      </w:pPr>
    </w:p>
    <w:p w:rsidR="00711943">
      <w:pPr>
        <w:numPr>
          <w:ilvl w:val="0"/>
          <w:numId w:val="3"/>
        </w:numPr>
        <w:ind w:left="0" w:firstLine="709"/>
        <w:jc w:val="both"/>
        <w:rPr>
          <w:rStyle w:val="Fontdeparagrafimplicit"/>
          <w:b/>
        </w:rPr>
      </w:pPr>
      <w:r>
        <w:rPr>
          <w:rStyle w:val="Fontdeparagrafimplicit"/>
          <w:b/>
        </w:rPr>
        <w:t>Aspecte procesuale relevante.</w:t>
      </w:r>
    </w:p>
    <w:p w:rsidR="00711943">
      <w:pPr>
        <w:ind w:firstLine="709"/>
        <w:jc w:val="both"/>
        <w:rPr>
          <w:rStyle w:val="Fontdeparagrafimplicit"/>
        </w:rPr>
      </w:pPr>
    </w:p>
    <w:p w:rsidR="00711943">
      <w:pPr>
        <w:ind w:firstLine="709"/>
        <w:jc w:val="both"/>
      </w:pPr>
      <w:r>
        <w:t xml:space="preserve">La termenul de judecată din data de 16.06.2021 (fila 142), instanţa (în compunerea de la acea dată) a luat act de renunţarea la judecată cu privire la capătul de cerere având ca obiect modificarea Deciziei nr. </w:t>
      </w:r>
      <w:r w:rsidR="00D70E94">
        <w:t xml:space="preserve">......../07.12.2019 </w:t>
      </w:r>
      <w:r>
        <w:t xml:space="preserve">şi a Deciziei nr. </w:t>
      </w:r>
      <w:r w:rsidR="00D70E94">
        <w:t>......./04.10.2019</w:t>
      </w:r>
      <w:r>
        <w:t xml:space="preserve">, prin care s-a soluţionat contestaţiei formulată de domnul </w:t>
      </w:r>
      <w:r w:rsidR="00D70E94">
        <w:t>BC</w:t>
      </w:r>
      <w:r>
        <w:t xml:space="preserve"> împotriva Deciziei Consiliului </w:t>
      </w:r>
      <w:r w:rsidR="007D6913">
        <w:t xml:space="preserve">Baroului B </w:t>
      </w:r>
      <w:r>
        <w:t xml:space="preserve">nr. </w:t>
      </w:r>
      <w:r w:rsidR="00D70E94">
        <w:t>..........</w:t>
      </w:r>
      <w:r>
        <w:t xml:space="preserve">/11.06.2019, prin înlăturarea considerentelor care fac referire la calitatea </w:t>
      </w:r>
      <w:r w:rsidR="00D70E94">
        <w:t>C.I. AB</w:t>
      </w:r>
      <w:r w:rsidR="007D6913">
        <w:t xml:space="preserve"> </w:t>
      </w:r>
      <w:r>
        <w:t xml:space="preserve">de succesor în drepturi al </w:t>
      </w:r>
      <w:r w:rsidR="00D70E94">
        <w:t>S.C.A. AB</w:t>
      </w:r>
      <w:r w:rsidR="007D6913">
        <w:t xml:space="preserve"> </w:t>
      </w:r>
      <w:r>
        <w:t>şi Asociaţii.</w:t>
      </w:r>
    </w:p>
    <w:p w:rsidR="00711943">
      <w:pPr>
        <w:ind w:firstLine="709"/>
        <w:jc w:val="both"/>
      </w:pPr>
      <w:r>
        <w:t xml:space="preserve">La acelaşi termen de judecată, Curtea a încuviinţat administrarea probei cu înscrisuri, în cadrul căreia s-a depus documentaţia care a stat la baza emiterii Deciziei Consiliului </w:t>
      </w:r>
      <w:r w:rsidR="007D6913">
        <w:t xml:space="preserve">Baroului B </w:t>
      </w:r>
      <w:r>
        <w:t xml:space="preserve">nr. </w:t>
      </w:r>
      <w:r w:rsidR="00D70E94">
        <w:t>..........</w:t>
      </w:r>
      <w:r>
        <w:t>/11.06.2019 (filele 144-173).</w:t>
      </w:r>
    </w:p>
    <w:p w:rsidR="00711943">
      <w:pPr>
        <w:ind w:firstLine="709"/>
        <w:jc w:val="both"/>
      </w:pPr>
      <w:r>
        <w:t xml:space="preserve">Prin încheierea din data de 11.04.2022 (fila 216), Curtea, a dispus introducerea în cauză, în condiţiile art. 78 alin. 2 C.pr.civ., a domnului </w:t>
      </w:r>
      <w:r w:rsidR="00D70E94">
        <w:t>BC</w:t>
      </w:r>
      <w:r>
        <w:t>.</w:t>
      </w:r>
    </w:p>
    <w:p w:rsidR="00711943">
      <w:pPr>
        <w:ind w:firstLine="709"/>
        <w:jc w:val="both"/>
      </w:pPr>
    </w:p>
    <w:p w:rsidR="00711943">
      <w:pPr>
        <w:numPr>
          <w:ilvl w:val="0"/>
          <w:numId w:val="3"/>
        </w:numPr>
        <w:ind w:left="0" w:firstLine="709"/>
        <w:jc w:val="both"/>
        <w:rPr>
          <w:rStyle w:val="Fontdeparagrafimplicit"/>
          <w:b/>
        </w:rPr>
      </w:pPr>
      <w:r>
        <w:rPr>
          <w:rStyle w:val="Fontdeparagrafimplicit"/>
          <w:b/>
        </w:rPr>
        <w:t>Considerentele curţii de Apel</w:t>
      </w:r>
      <w:r w:rsidR="007D6913">
        <w:rPr>
          <w:rStyle w:val="Fontdeparagrafimplicit"/>
          <w:b/>
        </w:rPr>
        <w:t xml:space="preserve"> ............</w:t>
      </w:r>
      <w:r>
        <w:rPr>
          <w:rStyle w:val="Fontdeparagrafimplicit"/>
          <w:b/>
        </w:rPr>
        <w:t>.</w:t>
      </w:r>
    </w:p>
    <w:p w:rsidR="00711943">
      <w:pPr>
        <w:ind w:firstLine="709"/>
        <w:jc w:val="both"/>
        <w:rPr>
          <w:rStyle w:val="Fontdeparagrafimplicit"/>
        </w:rPr>
      </w:pPr>
    </w:p>
    <w:p w:rsidR="00711943">
      <w:pPr>
        <w:numPr>
          <w:ilvl w:val="1"/>
          <w:numId w:val="3"/>
        </w:numPr>
        <w:ind w:left="0" w:firstLine="709"/>
        <w:jc w:val="both"/>
        <w:rPr>
          <w:rStyle w:val="Fontdeparagrafimplicit"/>
          <w:b/>
        </w:rPr>
      </w:pPr>
      <w:r>
        <w:rPr>
          <w:rStyle w:val="Fontdeparagrafimplicit"/>
          <w:b/>
        </w:rPr>
        <w:t>Situaţia de fapt relevantă.</w:t>
      </w:r>
    </w:p>
    <w:p w:rsidR="00711943">
      <w:pPr>
        <w:ind w:firstLine="709"/>
        <w:jc w:val="both"/>
        <w:rPr>
          <w:rStyle w:val="Fontdeparagrafimplicit"/>
        </w:rPr>
      </w:pPr>
    </w:p>
    <w:p w:rsidR="00711943">
      <w:pPr>
        <w:numPr>
          <w:ilvl w:val="2"/>
          <w:numId w:val="3"/>
        </w:numPr>
        <w:ind w:left="0" w:firstLine="709"/>
        <w:jc w:val="both"/>
      </w:pPr>
      <w:r>
        <w:t xml:space="preserve">Prin Decizia Consiliului </w:t>
      </w:r>
      <w:r w:rsidR="007D6913">
        <w:t xml:space="preserve">Baroului B </w:t>
      </w:r>
      <w:r>
        <w:t xml:space="preserve">nr. </w:t>
      </w:r>
      <w:r w:rsidR="007D6913">
        <w:t>......../06.09.2007</w:t>
      </w:r>
      <w:r>
        <w:t xml:space="preserve">, s-a aprobat cooptarea domnului </w:t>
      </w:r>
      <w:r w:rsidR="007D6913">
        <w:t>AB</w:t>
      </w:r>
      <w:r>
        <w:t xml:space="preserve">, în calitate de asociat, în cadrul S.C.A. </w:t>
      </w:r>
      <w:r w:rsidR="004225AF">
        <w:t xml:space="preserve">BC </w:t>
      </w:r>
      <w:r>
        <w:t>şi Asociaţi”, cu schimbarea denumirii acesteia în „</w:t>
      </w:r>
      <w:r w:rsidR="007D6913">
        <w:rPr>
          <w:rStyle w:val="Fontdeparagrafimplicit"/>
          <w:i/>
        </w:rPr>
        <w:t xml:space="preserve"> BC, AB </w:t>
      </w:r>
      <w:r>
        <w:rPr>
          <w:rStyle w:val="Fontdeparagrafimplicit"/>
          <w:i/>
        </w:rPr>
        <w:t>şi Asociaţii</w:t>
      </w:r>
      <w:r>
        <w:t>”.</w:t>
      </w:r>
    </w:p>
    <w:p w:rsidR="00711943">
      <w:pPr>
        <w:numPr>
          <w:ilvl w:val="2"/>
          <w:numId w:val="3"/>
        </w:numPr>
        <w:ind w:left="0" w:firstLine="709"/>
        <w:jc w:val="both"/>
      </w:pPr>
      <w:r>
        <w:t xml:space="preserve">Prin Decizia Consiliului </w:t>
      </w:r>
      <w:r w:rsidR="007D6913">
        <w:t xml:space="preserve">Baroului B </w:t>
      </w:r>
      <w:r>
        <w:t xml:space="preserve">nr. </w:t>
      </w:r>
      <w:r w:rsidR="007D6913">
        <w:t>........</w:t>
      </w:r>
      <w:r>
        <w:t xml:space="preserve">/03.11.2015, ca urmare a neînţelegerilor dintre asociaţi, s-a luat act de retragerea voluntară din societate a domnului </w:t>
      </w:r>
      <w:r w:rsidR="00D70E94">
        <w:t>BC</w:t>
      </w:r>
      <w:r>
        <w:t>, aprobându-se, totodată, cooptarea altor asociaţi, precum şi schimbarea denumirii acesteia în „</w:t>
      </w:r>
      <w:r w:rsidR="007D6913">
        <w:rPr>
          <w:rStyle w:val="Fontdeparagrafimplicit"/>
          <w:i/>
        </w:rPr>
        <w:t>AB</w:t>
      </w:r>
      <w:r>
        <w:rPr>
          <w:rStyle w:val="Fontdeparagrafimplicit"/>
          <w:i/>
        </w:rPr>
        <w:t xml:space="preserve">, </w:t>
      </w:r>
      <w:r w:rsidR="004225AF">
        <w:rPr>
          <w:rStyle w:val="Fontdeparagrafimplicit"/>
          <w:i/>
        </w:rPr>
        <w:t xml:space="preserve">CD </w:t>
      </w:r>
      <w:r>
        <w:rPr>
          <w:rStyle w:val="Fontdeparagrafimplicit"/>
          <w:i/>
        </w:rPr>
        <w:t>şi Asociaţii</w:t>
      </w:r>
      <w:r>
        <w:t>”.</w:t>
      </w:r>
    </w:p>
    <w:p w:rsidR="00711943">
      <w:pPr>
        <w:numPr>
          <w:ilvl w:val="2"/>
          <w:numId w:val="3"/>
        </w:numPr>
        <w:ind w:left="0" w:firstLine="709"/>
        <w:jc w:val="both"/>
      </w:pPr>
      <w:r>
        <w:t>Prin Decizia nr........</w:t>
      </w:r>
      <w:r w:rsidR="00B15223">
        <w:t xml:space="preserve">/10.07.2018 (fila 45) a Consiliul </w:t>
      </w:r>
      <w:r w:rsidR="007D6913">
        <w:t>Baroului B</w:t>
      </w:r>
      <w:r>
        <w:t xml:space="preserve"> </w:t>
      </w:r>
      <w:r w:rsidR="00B15223">
        <w:t xml:space="preserve">s-au aprobat, începând cu data de 31.07.2018, următoarele: retragerea doamnei avocat asociat </w:t>
      </w:r>
      <w:r w:rsidR="007D6913">
        <w:t>CD</w:t>
      </w:r>
      <w:r w:rsidR="00B15223">
        <w:t xml:space="preserve"> din cadrul „</w:t>
      </w:r>
      <w:r w:rsidR="007D6913">
        <w:t>AB</w:t>
      </w:r>
      <w:r w:rsidR="00B15223">
        <w:t xml:space="preserve">, </w:t>
      </w:r>
      <w:r w:rsidR="007D6913">
        <w:t xml:space="preserve">CD </w:t>
      </w:r>
      <w:r w:rsidR="00B15223">
        <w:t>şi Asociaţii – Societate Civilă de Avocaţi”, schimbarea denumirii societăţii în „</w:t>
      </w:r>
      <w:r w:rsidR="007D6913">
        <w:t>AB</w:t>
      </w:r>
      <w:r w:rsidR="00B15223">
        <w:t xml:space="preserve"> şi Asociaţii – Societate Civilă de Avocaţi” şi continuarea exercitării activităţii profesionale a domnului avocat </w:t>
      </w:r>
      <w:r w:rsidR="007D6913">
        <w:t>AB</w:t>
      </w:r>
      <w:r w:rsidR="00B15223">
        <w:t xml:space="preserve"> ca asociat unic în cadrul „</w:t>
      </w:r>
      <w:r w:rsidR="007D6913">
        <w:t>AB</w:t>
      </w:r>
      <w:r w:rsidR="00B15223">
        <w:t xml:space="preserve"> şi Asociaţii – Societate Civilă de Avocaţi”, pe o perioadă de 3 luni.</w:t>
      </w:r>
    </w:p>
    <w:p w:rsidR="00711943">
      <w:pPr>
        <w:numPr>
          <w:ilvl w:val="2"/>
          <w:numId w:val="3"/>
        </w:numPr>
        <w:ind w:left="0" w:firstLine="709"/>
        <w:jc w:val="both"/>
      </w:pPr>
      <w:r>
        <w:t xml:space="preserve">Prin Decizia nr. </w:t>
      </w:r>
      <w:r w:rsidR="00D70E94">
        <w:t>..........</w:t>
      </w:r>
      <w:r>
        <w:t xml:space="preserve">/11.06.2019 (fila 28), </w:t>
      </w:r>
      <w:r w:rsidR="00D70E94">
        <w:t>Baroul B</w:t>
      </w:r>
      <w:r w:rsidR="007D6913">
        <w:t xml:space="preserve"> </w:t>
      </w:r>
      <w:r>
        <w:t>a luat act de desfiinţarea Societăţii Civile de Avocaţi „</w:t>
      </w:r>
      <w:r w:rsidR="007D6913">
        <w:t>AB</w:t>
      </w:r>
      <w:r>
        <w:t xml:space="preserve"> şi Asociaţii”, aprobându-se înfiinţarea cu aceeaşi dată a Cabinetului individual „</w:t>
      </w:r>
      <w:r w:rsidR="007D6913">
        <w:t>AB</w:t>
      </w:r>
      <w:r>
        <w:t>”.</w:t>
      </w:r>
    </w:p>
    <w:p w:rsidR="00711943">
      <w:pPr>
        <w:numPr>
          <w:ilvl w:val="2"/>
          <w:numId w:val="3"/>
        </w:numPr>
        <w:ind w:left="0" w:firstLine="709"/>
        <w:jc w:val="both"/>
      </w:pPr>
      <w:r>
        <w:t>În preambulul acestei decizii, s-au consemnat (printre alte elemente nerelevante pentru cauză) următoarele:</w:t>
      </w:r>
    </w:p>
    <w:p w:rsidR="00711943">
      <w:pPr>
        <w:ind w:firstLine="709"/>
        <w:jc w:val="both"/>
      </w:pPr>
      <w:r>
        <w:t>„</w:t>
      </w:r>
      <w:r>
        <w:rPr>
          <w:rStyle w:val="Fontdeparagrafimplicit"/>
          <w:i/>
        </w:rPr>
        <w:t>Ţinând cont de Declaraţia pe proprie răspundere, autentificată de către Societatea Profesională Notarială „</w:t>
      </w:r>
      <w:r w:rsidR="007D6913">
        <w:rPr>
          <w:rStyle w:val="Fontdeparagrafimplicit"/>
          <w:i/>
        </w:rPr>
        <w:t xml:space="preserve">DE </w:t>
      </w:r>
      <w:r>
        <w:rPr>
          <w:rStyle w:val="Fontdeparagrafimplicit"/>
          <w:i/>
        </w:rPr>
        <w:t xml:space="preserve">şi </w:t>
      </w:r>
      <w:r w:rsidR="007D6913">
        <w:rPr>
          <w:rStyle w:val="Fontdeparagrafimplicit"/>
          <w:i/>
        </w:rPr>
        <w:t>EF</w:t>
      </w:r>
      <w:r>
        <w:rPr>
          <w:rStyle w:val="Fontdeparagrafimplicit"/>
          <w:i/>
        </w:rPr>
        <w:t xml:space="preserve">”, prin care domnul </w:t>
      </w:r>
      <w:r w:rsidR="007D6913">
        <w:rPr>
          <w:rStyle w:val="Fontdeparagrafimplicit"/>
          <w:i/>
        </w:rPr>
        <w:t xml:space="preserve">AB </w:t>
      </w:r>
      <w:r>
        <w:rPr>
          <w:rStyle w:val="Fontdeparagrafimplicit"/>
          <w:i/>
        </w:rPr>
        <w:t xml:space="preserve"> îşi asumă întreaga răspundere în locul „</w:t>
      </w:r>
      <w:r w:rsidR="007D6913">
        <w:rPr>
          <w:rStyle w:val="Fontdeparagrafimplicit"/>
          <w:i/>
        </w:rPr>
        <w:t>AB</w:t>
      </w:r>
      <w:r>
        <w:rPr>
          <w:rStyle w:val="Fontdeparagrafimplicit"/>
          <w:i/>
        </w:rPr>
        <w:t xml:space="preserve"> şi Asociaţii – Societate civilă de Avocaţi” (…) şi este de acord cu reluarea activului şi a pasivului societăţii</w:t>
      </w:r>
      <w:r>
        <w:t>.”.</w:t>
      </w:r>
    </w:p>
    <w:p w:rsidR="00711943">
      <w:pPr>
        <w:numPr>
          <w:ilvl w:val="2"/>
          <w:numId w:val="3"/>
        </w:numPr>
        <w:ind w:left="0" w:firstLine="709"/>
        <w:jc w:val="both"/>
      </w:pPr>
      <w:r>
        <w:t xml:space="preserve">Împotriva Deciziei nr. </w:t>
      </w:r>
      <w:r w:rsidR="007D6913">
        <w:t>.....</w:t>
      </w:r>
      <w:r w:rsidR="00D70E94">
        <w:t>...</w:t>
      </w:r>
      <w:r>
        <w:t xml:space="preserve">/11.06.2019 a formulat contestaţie domnul avocat </w:t>
      </w:r>
      <w:r w:rsidR="00D70E94">
        <w:t>BC</w:t>
      </w:r>
      <w:r>
        <w:t xml:space="preserve">, susţinând, cu relevanţă pentru prezenta cauză, că, deşi în cadrul deciziei se menţionează că domnul avocat </w:t>
      </w:r>
      <w:r w:rsidR="007D6913">
        <w:t>AB</w:t>
      </w:r>
      <w:r>
        <w:t xml:space="preserve"> îşi asumă întreaga răspundere în locul S.C.A. „</w:t>
      </w:r>
      <w:r w:rsidR="007D6913">
        <w:t>AB</w:t>
      </w:r>
      <w:r>
        <w:t xml:space="preserve"> şi Asociaţii” şi că este de acord cu preluarea activului şi pasivului societăţii, acesta nu are bunuri pe numele său, fiind executat silit şi de către alţi creditori.</w:t>
      </w:r>
    </w:p>
    <w:p w:rsidR="00711943">
      <w:pPr>
        <w:numPr>
          <w:ilvl w:val="2"/>
          <w:numId w:val="3"/>
        </w:numPr>
        <w:ind w:left="0" w:firstLine="709"/>
        <w:jc w:val="both"/>
        <w:rPr>
          <w:rStyle w:val="Fontdeparagrafimplicit"/>
        </w:rPr>
      </w:pPr>
      <w:r>
        <w:t xml:space="preserve">Contestaţia a fost respinsă prin Decizia nr. </w:t>
      </w:r>
      <w:r w:rsidR="00D70E94">
        <w:t>......./04.10.2019</w:t>
      </w:r>
      <w:r>
        <w:t xml:space="preserve"> (filele 11-12), reţinându-se că s-a menţionat expres că Cabinetului individual „</w:t>
      </w:r>
      <w:r w:rsidR="007D6913">
        <w:t>AB</w:t>
      </w:r>
      <w:r>
        <w:t>” este „</w:t>
      </w:r>
      <w:r>
        <w:rPr>
          <w:rStyle w:val="Fontdeparagrafimplicit"/>
          <w:i/>
        </w:rPr>
        <w:t>succesoarea în drepturi a S.C.A. „</w:t>
      </w:r>
      <w:r w:rsidR="007D6913">
        <w:rPr>
          <w:rStyle w:val="Fontdeparagrafimplicit"/>
          <w:i/>
        </w:rPr>
        <w:t>AB</w:t>
      </w:r>
      <w:r>
        <w:rPr>
          <w:rStyle w:val="Fontdeparagrafimplicit"/>
          <w:i/>
        </w:rPr>
        <w:t xml:space="preserve"> şi Asociaţii”, păstrându-şi acelaşi sediu, logistică, portofoliu de clienţi şi obţinând venituri care ar face posibilă onorarea obligaţiilor financiare care se vor stabili prin hotărâre arbitrală.”.</w:t>
      </w:r>
    </w:p>
    <w:p w:rsidR="00711943">
      <w:pPr>
        <w:numPr>
          <w:ilvl w:val="2"/>
          <w:numId w:val="3"/>
        </w:numPr>
        <w:ind w:left="0" w:firstLine="709"/>
        <w:jc w:val="both"/>
      </w:pPr>
      <w:r>
        <w:t xml:space="preserve">Împotriva Deciziei nr. </w:t>
      </w:r>
      <w:r w:rsidR="00D70E94">
        <w:t>......./04.10.2019</w:t>
      </w:r>
      <w:r>
        <w:t xml:space="preserve">, a formulat contestaţie domnul </w:t>
      </w:r>
      <w:r w:rsidR="007D6913">
        <w:t>AB</w:t>
      </w:r>
      <w:r>
        <w:t xml:space="preserve"> (filele 13 şi următoarele), solicitând revocarea acestei întrucât în mod greşit s-a reţinut că C.I. „</w:t>
      </w:r>
      <w:r w:rsidR="007D6913">
        <w:rPr>
          <w:rStyle w:val="Fontdeparagrafimplicit"/>
          <w:i/>
        </w:rPr>
        <w:t>AB</w:t>
      </w:r>
      <w:r>
        <w:t>” este succesorul în drepturi al S.C.A. „</w:t>
      </w:r>
      <w:r w:rsidR="007D6913">
        <w:rPr>
          <w:rStyle w:val="Fontdeparagrafimplicit"/>
          <w:i/>
        </w:rPr>
        <w:t>AB</w:t>
      </w:r>
      <w:r>
        <w:rPr>
          <w:rStyle w:val="Fontdeparagrafimplicit"/>
          <w:i/>
        </w:rPr>
        <w:t xml:space="preserve"> şi Asociaţii</w:t>
      </w:r>
      <w:r>
        <w:t>”.</w:t>
      </w:r>
    </w:p>
    <w:p w:rsidR="00711943">
      <w:pPr>
        <w:numPr>
          <w:ilvl w:val="2"/>
          <w:numId w:val="3"/>
        </w:numPr>
        <w:ind w:left="0" w:firstLine="709"/>
        <w:jc w:val="both"/>
      </w:pPr>
      <w:r>
        <w:t xml:space="preserve">Contestaţia a fost respinsă prin Decizia U.N.B.R. nr. </w:t>
      </w:r>
      <w:r w:rsidR="00D70E94">
        <w:t xml:space="preserve">......../07.12.2019 </w:t>
      </w:r>
      <w:r>
        <w:t xml:space="preserve">(fil2l2 22 şi următoarele), în motivarea acesteia reţinându-se, în esenţă, că, întrucât domnul </w:t>
      </w:r>
      <w:r w:rsidR="007D6913">
        <w:t xml:space="preserve">AB </w:t>
      </w:r>
      <w:r>
        <w:t>a afirmat că îşi asumă întreaga răspundere în locul S.C.A. „</w:t>
      </w:r>
      <w:r w:rsidR="007D6913">
        <w:rPr>
          <w:rStyle w:val="Fontdeparagrafimplicit"/>
          <w:i/>
        </w:rPr>
        <w:t>AB</w:t>
      </w:r>
      <w:r>
        <w:rPr>
          <w:rStyle w:val="Fontdeparagrafimplicit"/>
          <w:i/>
        </w:rPr>
        <w:t xml:space="preserve"> şi Asociaţii</w:t>
      </w:r>
      <w:r>
        <w:t>” şi că este de acord cu preluarea activului şi pasivului societăţii, se impune respingerea căii administrative de atac.</w:t>
      </w:r>
    </w:p>
    <w:p w:rsidR="00711943">
      <w:pPr>
        <w:numPr>
          <w:ilvl w:val="2"/>
          <w:numId w:val="3"/>
        </w:numPr>
        <w:ind w:left="0" w:firstLine="709"/>
        <w:jc w:val="both"/>
      </w:pPr>
      <w:r>
        <w:t xml:space="preserve">Revenind Decizia nr. </w:t>
      </w:r>
      <w:r w:rsidR="00D70E94">
        <w:t>..........</w:t>
      </w:r>
      <w:r>
        <w:t xml:space="preserve">/11.06.2019, este necesar a se puncta că aceasta a format obiectul unei acţiuni în anulare înregistrată sub nr. </w:t>
      </w:r>
      <w:r w:rsidR="007D6913">
        <w:t>............</w:t>
      </w:r>
      <w:r>
        <w:t xml:space="preserve">, acţiune respinsă de </w:t>
      </w:r>
      <w:r w:rsidR="004225AF">
        <w:t>Tribunalul</w:t>
      </w:r>
      <w:r w:rsidR="007D6913">
        <w:t xml:space="preserve"> ..........</w:t>
      </w:r>
      <w:r>
        <w:t xml:space="preserve">prin sentinţa civilă nr. </w:t>
      </w:r>
      <w:r w:rsidR="007D6913">
        <w:t xml:space="preserve"> ..........</w:t>
      </w:r>
      <w:r>
        <w:t>(filele 112-115), în sensul respingerii.</w:t>
      </w:r>
    </w:p>
    <w:p w:rsidR="00711943">
      <w:pPr>
        <w:numPr>
          <w:ilvl w:val="2"/>
          <w:numId w:val="3"/>
        </w:numPr>
        <w:ind w:left="0" w:firstLine="709"/>
        <w:jc w:val="both"/>
      </w:pPr>
      <w:r>
        <w:t xml:space="preserve">Împotriva considerentelor acestei sentinţe, a formulat recurs </w:t>
      </w:r>
      <w:r w:rsidR="00D70E94">
        <w:t>C.I. AB</w:t>
      </w:r>
      <w:r>
        <w:t>(filele 131-140), susţinând, în esenţă că acestea sunt eronate întrucât:</w:t>
      </w:r>
    </w:p>
    <w:p w:rsidR="00711943">
      <w:pPr>
        <w:numPr>
          <w:ilvl w:val="0"/>
          <w:numId w:val="4"/>
        </w:numPr>
        <w:ind w:left="0" w:firstLine="709"/>
        <w:jc w:val="both"/>
      </w:pPr>
      <w:r>
        <w:t xml:space="preserve">în cauză nu a avut loc o transformare a </w:t>
      </w:r>
      <w:r w:rsidR="00D70E94">
        <w:t>S.C.A. AB</w:t>
      </w:r>
      <w:r w:rsidR="003A0916">
        <w:t xml:space="preserve"> </w:t>
      </w:r>
      <w:r>
        <w:t xml:space="preserve">şi Asociaţii în </w:t>
      </w:r>
      <w:r w:rsidR="007D6913">
        <w:t>C.I. AB</w:t>
      </w:r>
      <w:r>
        <w:t xml:space="preserve">, </w:t>
      </w:r>
      <w:r w:rsidR="007D6913">
        <w:t>Baroului B</w:t>
      </w:r>
      <w:r w:rsidR="004225AF">
        <w:t xml:space="preserve"> </w:t>
      </w:r>
      <w:r>
        <w:t xml:space="preserve">nefiindu-i solicitată de către domnul </w:t>
      </w:r>
      <w:r w:rsidR="007D6913">
        <w:t>AB</w:t>
      </w:r>
      <w:r>
        <w:t xml:space="preserve"> transformarea sau reorganizarea societăţii de avocaţi; în realitate, din decizia asociatului unic din data de 23.10.2018 rezultă cu claritate că </w:t>
      </w:r>
      <w:r w:rsidR="00D70E94">
        <w:t>S.C.A. AB</w:t>
      </w:r>
      <w:r w:rsidR="003A0916">
        <w:t xml:space="preserve"> </w:t>
      </w:r>
      <w:r>
        <w:t>şi Asociaţii s-a desfiinţat;</w:t>
      </w:r>
    </w:p>
    <w:p w:rsidR="00711943">
      <w:pPr>
        <w:numPr>
          <w:ilvl w:val="0"/>
          <w:numId w:val="4"/>
        </w:numPr>
        <w:ind w:left="0" w:firstLine="709"/>
        <w:jc w:val="both"/>
        <w:rPr>
          <w:rStyle w:val="Fontdeparagrafimplicit"/>
          <w:b/>
        </w:rPr>
      </w:pPr>
      <w:r>
        <w:t xml:space="preserve">după expirarea termenului de 3 luni reglementate de art. 211 din Statut, a intervenit dizolvarea de drept a </w:t>
      </w:r>
      <w:r w:rsidR="00D70E94">
        <w:t>S.C.A. AB</w:t>
      </w:r>
      <w:r w:rsidR="003A0916">
        <w:t xml:space="preserve"> </w:t>
      </w:r>
      <w:r>
        <w:t xml:space="preserve">şi Asociaţii, neexistând o cerere expresă de transformare sau reorganizare a societăţii de avocaţi; din contră, domnul </w:t>
      </w:r>
      <w:r w:rsidR="007D6913">
        <w:t>AB</w:t>
      </w:r>
      <w:r>
        <w:t xml:space="preserve"> a depus o cerere de desfiinţare a societăţii şi de înfiinţare a cabinetului de avocat;</w:t>
      </w:r>
    </w:p>
    <w:p w:rsidR="00711943">
      <w:pPr>
        <w:numPr>
          <w:ilvl w:val="0"/>
          <w:numId w:val="4"/>
        </w:numPr>
        <w:ind w:left="0" w:firstLine="709"/>
        <w:jc w:val="both"/>
        <w:rPr>
          <w:rStyle w:val="Fontdeparagrafimplicit"/>
          <w:b/>
        </w:rPr>
      </w:pPr>
      <w:r>
        <w:t>în condiţiile în care nu a fost formulată o cerere expresă de schimbare a formei de exercitare a profesiei, reţinerea faptului că a avut loc o transformare a societăţii de avocaţi în cabinei individual, încalcă prevederile art. 6 din Statut care consacră libertatea avocatului de a –şi alege forma de exercitare a profesiei;</w:t>
      </w:r>
    </w:p>
    <w:p w:rsidR="00711943">
      <w:pPr>
        <w:numPr>
          <w:ilvl w:val="0"/>
          <w:numId w:val="4"/>
        </w:numPr>
        <w:ind w:left="0" w:firstLine="709"/>
        <w:jc w:val="both"/>
      </w:pPr>
      <w:r>
        <w:t xml:space="preserve">greşit s-a reţinu că intervenientul </w:t>
      </w:r>
      <w:r w:rsidR="007D6913">
        <w:t>AB</w:t>
      </w:r>
      <w:r w:rsidR="003A0916">
        <w:t xml:space="preserve"> </w:t>
      </w:r>
      <w:r>
        <w:t xml:space="preserve">a preluat pasivul </w:t>
      </w:r>
      <w:r w:rsidR="00D70E94">
        <w:t>S.C.A. AB</w:t>
      </w:r>
      <w:r w:rsidR="003A0916">
        <w:t xml:space="preserve"> </w:t>
      </w:r>
      <w:r>
        <w:t xml:space="preserve">şi Asociaţii, în condiţiile în care, pe de-o parte, intervenient în dosarul nr. </w:t>
      </w:r>
      <w:r w:rsidR="007D6913">
        <w:t>............</w:t>
      </w:r>
      <w:r>
        <w:t xml:space="preserve"> a fost </w:t>
      </w:r>
      <w:r w:rsidR="00D70E94">
        <w:t>C.I. AB</w:t>
      </w:r>
      <w:r w:rsidR="003A0916">
        <w:t xml:space="preserve"> </w:t>
      </w:r>
      <w:r>
        <w:t xml:space="preserve">şi nu persoana fizică </w:t>
      </w:r>
      <w:r w:rsidR="007D6913">
        <w:t>AB</w:t>
      </w:r>
      <w:r>
        <w:t xml:space="preserve">, iar, pe de altă parte, din Declaraţia autentificată sub nr </w:t>
      </w:r>
      <w:r w:rsidR="007D6913">
        <w:t>.........</w:t>
      </w:r>
      <w:r>
        <w:t xml:space="preserve">/20.06.2019 rezultă că persoana fizică </w:t>
      </w:r>
      <w:r w:rsidR="007D6913">
        <w:t>AB</w:t>
      </w:r>
      <w:r w:rsidR="003A0916">
        <w:t xml:space="preserve"> </w:t>
      </w:r>
      <w:r>
        <w:t xml:space="preserve">este de acord să preia tot activul şi pasivul </w:t>
      </w:r>
      <w:r w:rsidR="00D70E94">
        <w:t>S.C.A. AB</w:t>
      </w:r>
      <w:r w:rsidR="003A0916">
        <w:t xml:space="preserve"> </w:t>
      </w:r>
      <w:r>
        <w:t>şi Asociaţii;</w:t>
      </w:r>
    </w:p>
    <w:p w:rsidR="00711943">
      <w:pPr>
        <w:numPr>
          <w:ilvl w:val="0"/>
          <w:numId w:val="4"/>
        </w:numPr>
        <w:ind w:left="0" w:firstLine="709"/>
        <w:jc w:val="both"/>
      </w:pPr>
      <w:r>
        <w:t xml:space="preserve">preluarea activului şi pasivul </w:t>
      </w:r>
      <w:r w:rsidR="00D70E94">
        <w:t>S.C.A. AB</w:t>
      </w:r>
      <w:r w:rsidR="003A0916">
        <w:t xml:space="preserve"> </w:t>
      </w:r>
      <w:r>
        <w:t xml:space="preserve">şi Asociaţii de către persoana fizică </w:t>
      </w:r>
      <w:r w:rsidR="007D6913">
        <w:t>AB</w:t>
      </w:r>
      <w:r w:rsidR="003A0916">
        <w:t xml:space="preserve"> </w:t>
      </w:r>
      <w:r>
        <w:t xml:space="preserve">este consemnată </w:t>
      </w:r>
      <w:r w:rsidR="003A0916">
        <w:t>şi în Decizia baroului B</w:t>
      </w:r>
      <w:r>
        <w:t xml:space="preserve"> nr </w:t>
      </w:r>
      <w:r w:rsidR="00D70E94">
        <w:t>..........</w:t>
      </w:r>
      <w:r>
        <w:t>/11.06.2019, dar şi în considerentele</w:t>
      </w:r>
      <w:r w:rsidR="003A0916">
        <w:t xml:space="preserve"> decizie U.N.B.R. nr. ......</w:t>
      </w:r>
      <w:r>
        <w:t>04.10.2019.</w:t>
      </w:r>
    </w:p>
    <w:p w:rsidR="00711943">
      <w:pPr>
        <w:numPr>
          <w:ilvl w:val="2"/>
          <w:numId w:val="3"/>
        </w:numPr>
        <w:ind w:left="0" w:firstLine="709"/>
        <w:jc w:val="both"/>
      </w:pPr>
      <w:r>
        <w:t xml:space="preserve">Prin decizia civilă nr. </w:t>
      </w:r>
      <w:r w:rsidR="003A0916">
        <w:t xml:space="preserve"> ..........</w:t>
      </w:r>
      <w:r>
        <w:t xml:space="preserve">, pronunţată în dosarul nr </w:t>
      </w:r>
      <w:r w:rsidR="003A0916">
        <w:t xml:space="preserve"> ..........</w:t>
      </w:r>
      <w:r>
        <w:t xml:space="preserve">(numărul dosarului a fost schimbat în calea de atac), </w:t>
      </w:r>
      <w:r w:rsidR="003A0916">
        <w:t>Curtea de Apel ..........</w:t>
      </w:r>
      <w:r>
        <w:t>a respins, ca nefondat, recursul declarat împotriva considerentelor sentinţei menţionate.</w:t>
      </w:r>
    </w:p>
    <w:p w:rsidR="00711943">
      <w:pPr>
        <w:ind w:firstLine="709"/>
        <w:jc w:val="both"/>
        <w:rPr>
          <w:rStyle w:val="Fontdeparagrafimplicit"/>
          <w:b/>
        </w:rPr>
      </w:pPr>
    </w:p>
    <w:p w:rsidR="00711943">
      <w:pPr>
        <w:ind w:firstLine="709"/>
        <w:jc w:val="both"/>
        <w:rPr>
          <w:rStyle w:val="Fontdeparagrafimplicit"/>
          <w:b/>
        </w:rPr>
      </w:pPr>
      <w:r>
        <w:rPr>
          <w:rStyle w:val="Fontdeparagrafimplicit"/>
          <w:b/>
        </w:rPr>
        <w:t>4.2. Soluţionarea excepţiilor.</w:t>
      </w:r>
    </w:p>
    <w:p w:rsidR="00711943">
      <w:pPr>
        <w:ind w:firstLine="709"/>
        <w:jc w:val="both"/>
        <w:rPr>
          <w:rStyle w:val="Fontdeparagrafimplicit"/>
          <w:b/>
        </w:rPr>
      </w:pPr>
    </w:p>
    <w:p w:rsidR="00711943">
      <w:pPr>
        <w:keepNext/>
        <w:keepLines/>
        <w:ind w:firstLine="709"/>
        <w:jc w:val="both"/>
        <w:rPr>
          <w:rStyle w:val="Fontdeparagrafimplicit"/>
          <w:i/>
        </w:rPr>
      </w:pPr>
      <w:r>
        <w:t>Potrivit art. 248 alin. 1 C.pr.civ., „</w:t>
      </w:r>
      <w:r>
        <w:rPr>
          <w:rStyle w:val="Fontdeparagrafimplicit"/>
          <w:i/>
        </w:rPr>
        <w:t>instanţa se va pronunţa mai întâi asupra excepţiilor de procedură, precum şi asupra celor de fond care fac inutilă, în tot sau în parte, administrarea de probe ori, după caz, cercetarea în fond a cauzei”.</w:t>
      </w:r>
    </w:p>
    <w:p w:rsidR="00711943">
      <w:pPr>
        <w:ind w:firstLine="709"/>
        <w:jc w:val="both"/>
      </w:pPr>
      <w:r>
        <w:t xml:space="preserve">În referire la excepţia lipsei calităţii procesuale pasive a U.N.B.R., invocată de acest pârât în privinţa capătului de cerere prin care, în optica sa, reclamantul a solicita, implicit, obligarea </w:t>
      </w:r>
      <w:r w:rsidR="007D6913">
        <w:t>Baroului B</w:t>
      </w:r>
      <w:r w:rsidR="003A0916">
        <w:t xml:space="preserve"> </w:t>
      </w:r>
      <w:r>
        <w:t>la emiterea unei alte decizii, Curtea, lecturând cererea de chemare în judecată, constată că nu se poate decela un astfel de petit, motiv pentru care apreciază că nu se impune dezlegarea acestei excepţii.</w:t>
      </w:r>
    </w:p>
    <w:p w:rsidR="00711943">
      <w:pPr>
        <w:ind w:firstLine="709"/>
        <w:jc w:val="both"/>
      </w:pPr>
    </w:p>
    <w:p w:rsidR="00711943">
      <w:pPr>
        <w:ind w:firstLine="709"/>
        <w:jc w:val="both"/>
        <w:rPr>
          <w:rStyle w:val="Fontdeparagrafimplicit"/>
          <w:b/>
        </w:rPr>
      </w:pPr>
      <w:r>
        <w:rPr>
          <w:rStyle w:val="Fontdeparagrafimplicit"/>
          <w:b/>
        </w:rPr>
        <w:t>4.2.1. Excepţia lipsei calităţii procesu</w:t>
      </w:r>
      <w:r w:rsidR="003A0916">
        <w:rPr>
          <w:rStyle w:val="Fontdeparagrafimplicit"/>
          <w:b/>
        </w:rPr>
        <w:t>ale pasive a Baroului B</w:t>
      </w:r>
      <w:r>
        <w:rPr>
          <w:rStyle w:val="Fontdeparagrafimplicit"/>
          <w:b/>
        </w:rPr>
        <w:t>.</w:t>
      </w:r>
    </w:p>
    <w:p w:rsidR="00711943">
      <w:pPr>
        <w:ind w:firstLine="709"/>
        <w:jc w:val="both"/>
        <w:rPr>
          <w:rStyle w:val="Fontdeparagrafimplicit"/>
        </w:rPr>
      </w:pPr>
    </w:p>
    <w:p w:rsidR="00711943">
      <w:pPr>
        <w:ind w:firstLine="709"/>
        <w:jc w:val="both"/>
      </w:pPr>
      <w:r>
        <w:t xml:space="preserve">Excepţia lipsei calităţii procesuale pasive a </w:t>
      </w:r>
      <w:r w:rsidR="007D6913">
        <w:t>Baroului B</w:t>
      </w:r>
      <w:r w:rsidR="003A0916">
        <w:t xml:space="preserve"> </w:t>
      </w:r>
      <w:r>
        <w:t>a fost invocată de acest pârât, din perspectiva faptului că nu este emitentul vreunuia dintre actele contestate.</w:t>
      </w:r>
    </w:p>
    <w:p w:rsidR="00711943">
      <w:pPr>
        <w:ind w:firstLine="709"/>
        <w:jc w:val="both"/>
      </w:pPr>
      <w:r>
        <w:t>Excepţia este nefondată.</w:t>
      </w:r>
    </w:p>
    <w:p w:rsidR="00711943">
      <w:pPr>
        <w:ind w:firstLine="709"/>
        <w:jc w:val="both"/>
      </w:pPr>
      <w:r>
        <w:t xml:space="preserve">Astfel, aşa cum rezultă din elementele de fapt dezvoltate la pct. </w:t>
      </w:r>
      <w:r>
        <w:rPr>
          <w:rStyle w:val="Fontdeparagrafimplicit"/>
          <w:b/>
        </w:rPr>
        <w:t>4.1.</w:t>
      </w:r>
      <w:r>
        <w:t xml:space="preserve"> din prezenta sentinţă, Deciziei nr. </w:t>
      </w:r>
      <w:r w:rsidR="00D70E94">
        <w:t>......./04.10.2019</w:t>
      </w:r>
      <w:r>
        <w:t xml:space="preserve"> (act contestat în prezenta cauză) s-a soluţionat contestaţia formulată de domnul </w:t>
      </w:r>
      <w:r w:rsidR="003A0916">
        <w:t xml:space="preserve">BC </w:t>
      </w:r>
      <w:r>
        <w:t xml:space="preserve">împotriva că Deciziei nr. </w:t>
      </w:r>
      <w:r w:rsidR="00D70E94">
        <w:t>..........</w:t>
      </w:r>
      <w:r>
        <w:t>/11.06.2019 emisă de Consiliul Ba</w:t>
      </w:r>
      <w:r w:rsidR="003A0916">
        <w:t>roul B</w:t>
      </w:r>
      <w:r>
        <w:t>.</w:t>
      </w:r>
    </w:p>
    <w:p w:rsidR="00711943">
      <w:pPr>
        <w:ind w:firstLine="709"/>
        <w:jc w:val="both"/>
      </w:pPr>
      <w:r>
        <w:t xml:space="preserve">Aşadar, între Decizia nr. </w:t>
      </w:r>
      <w:r w:rsidR="00D70E94">
        <w:t>......./04.10.2019</w:t>
      </w:r>
      <w:r>
        <w:t xml:space="preserve"> şi Decizia nr. </w:t>
      </w:r>
      <w:r w:rsidR="00D70E94">
        <w:t>..........</w:t>
      </w:r>
      <w:r>
        <w:t xml:space="preserve">/11.06.2019 există o legătură intrinsecă, situaţie în care Curtea apreciază că </w:t>
      </w:r>
      <w:r w:rsidR="00D70E94">
        <w:t>Baroul B</w:t>
      </w:r>
      <w:r w:rsidR="003A0916">
        <w:t xml:space="preserve"> </w:t>
      </w:r>
      <w:r>
        <w:t>este parte a raportului de drept administrativ dedus judecăţii, impunându-se respingerea excepţiei lipsei calităţii procesuale pasive, ca nefondată.</w:t>
      </w:r>
    </w:p>
    <w:p w:rsidR="00711943">
      <w:pPr>
        <w:ind w:firstLine="709"/>
        <w:jc w:val="both"/>
      </w:pPr>
    </w:p>
    <w:p w:rsidR="00711943">
      <w:pPr>
        <w:ind w:firstLine="709"/>
        <w:jc w:val="both"/>
        <w:rPr>
          <w:rStyle w:val="Fontdeparagrafimplicit"/>
          <w:b/>
        </w:rPr>
      </w:pPr>
      <w:r>
        <w:rPr>
          <w:rStyle w:val="Fontdeparagrafimplicit"/>
          <w:b/>
        </w:rPr>
        <w:t>4.2.2. Excepţia lipsei de interes.</w:t>
      </w:r>
    </w:p>
    <w:p w:rsidR="00711943">
      <w:pPr>
        <w:ind w:firstLine="709"/>
        <w:jc w:val="both"/>
        <w:rPr>
          <w:rStyle w:val="Fontdeparagrafimplicit"/>
        </w:rPr>
      </w:pPr>
    </w:p>
    <w:p w:rsidR="00711943">
      <w:pPr>
        <w:ind w:firstLine="709"/>
        <w:jc w:val="both"/>
      </w:pPr>
      <w:r>
        <w:t xml:space="preserve">Excepţia lipsei de interes a fost invocată de </w:t>
      </w:r>
      <w:r w:rsidR="00D70E94">
        <w:t>Baroul B</w:t>
      </w:r>
      <w:r w:rsidR="003A0916">
        <w:t xml:space="preserve"> </w:t>
      </w:r>
      <w:r>
        <w:t>şi de domnul</w:t>
      </w:r>
      <w:r w:rsidR="003A0916">
        <w:t xml:space="preserve"> BC</w:t>
      </w:r>
      <w:r>
        <w:t xml:space="preserve">, aceştia susţinând, în esenţă, că cererile pe care domnul </w:t>
      </w:r>
      <w:r w:rsidR="007D6913">
        <w:t>AB</w:t>
      </w:r>
      <w:r>
        <w:t xml:space="preserve"> le-a adresat </w:t>
      </w:r>
      <w:r w:rsidR="007D6913">
        <w:t>Baroului B</w:t>
      </w:r>
      <w:r w:rsidR="003A0916">
        <w:t xml:space="preserve"> </w:t>
      </w:r>
      <w:r>
        <w:t>au fost admise aşa cum au fost formulate de către acesta.</w:t>
      </w:r>
    </w:p>
    <w:p w:rsidR="00711943">
      <w:pPr>
        <w:ind w:firstLine="709"/>
        <w:jc w:val="both"/>
      </w:pPr>
      <w:r>
        <w:t>Excepţia este nefondată.</w:t>
      </w:r>
    </w:p>
    <w:p w:rsidR="00711943">
      <w:pPr>
        <w:ind w:firstLine="709"/>
        <w:jc w:val="both"/>
      </w:pPr>
      <w:r>
        <w:t xml:space="preserve">Astfel, examinând cererea de chemare în judecată, Curtea constată că reclamantul este nemulţumit de împrejurarea că în cuprinsul Deciziei nr. </w:t>
      </w:r>
      <w:r w:rsidR="00D70E94">
        <w:t xml:space="preserve">......../07.12.2019 </w:t>
      </w:r>
      <w:r>
        <w:t xml:space="preserve">şi a Deciziei nr. </w:t>
      </w:r>
      <w:r w:rsidR="00D70E94">
        <w:t>......./04.10.2019</w:t>
      </w:r>
      <w:r>
        <w:t xml:space="preserve"> s-a consemnat faptul că C.I. „</w:t>
      </w:r>
      <w:r w:rsidR="007D6913">
        <w:rPr>
          <w:rStyle w:val="Fontdeparagrafimplicit"/>
          <w:i/>
        </w:rPr>
        <w:t>AB</w:t>
      </w:r>
      <w:r>
        <w:t>” este succesorul în drepturi al S.C.A. „</w:t>
      </w:r>
      <w:r w:rsidR="007D6913">
        <w:rPr>
          <w:rStyle w:val="Fontdeparagrafimplicit"/>
          <w:i/>
        </w:rPr>
        <w:t>AB</w:t>
      </w:r>
      <w:r>
        <w:rPr>
          <w:rStyle w:val="Fontdeparagrafimplicit"/>
          <w:i/>
        </w:rPr>
        <w:t xml:space="preserve"> şi Asociaţii</w:t>
      </w:r>
      <w:r>
        <w:t>”, situaţie în care recuperarea datoriilor acestei din urmă entităţi se va face de la cabinetul de avocat.</w:t>
      </w:r>
    </w:p>
    <w:p w:rsidR="00711943">
      <w:pPr>
        <w:ind w:firstLine="709"/>
        <w:jc w:val="both"/>
      </w:pPr>
      <w:r>
        <w:t xml:space="preserve">Dat fiind faptul că domnul </w:t>
      </w:r>
      <w:r w:rsidR="007D6913">
        <w:t>AB</w:t>
      </w:r>
      <w:r>
        <w:t xml:space="preserve"> este titularul </w:t>
      </w:r>
      <w:r w:rsidR="007D6913">
        <w:t>C.I. AB</w:t>
      </w:r>
      <w:r>
        <w:t>, Curtea apreciază că acesta este titularul unui interes legitim, respectiv acela de a-şi proteja patrimoniul de afectaţiune profesională de eventualele acţiuni care au drept scop recuperarea debitelor datorate de S.C.A. „</w:t>
      </w:r>
      <w:r w:rsidR="007D6913">
        <w:rPr>
          <w:rStyle w:val="Fontdeparagrafimplicit"/>
          <w:i/>
        </w:rPr>
        <w:t>AB</w:t>
      </w:r>
      <w:r>
        <w:rPr>
          <w:rStyle w:val="Fontdeparagrafimplicit"/>
          <w:i/>
        </w:rPr>
        <w:t xml:space="preserve"> şi Asociaţii</w:t>
      </w:r>
      <w:r>
        <w:t>” şi de a nu răspunde patrimonial pentru pasivul S.C.A. „</w:t>
      </w:r>
      <w:r w:rsidR="007D6913">
        <w:t>AB</w:t>
      </w:r>
      <w:r>
        <w:t xml:space="preserve"> şi Asociaţii”. </w:t>
      </w:r>
    </w:p>
    <w:p w:rsidR="00711943">
      <w:pPr>
        <w:ind w:firstLine="709"/>
        <w:jc w:val="both"/>
      </w:pPr>
      <w:r>
        <w:t xml:space="preserve">Cât priveşte caracterul imoral sau lipsit de legitimitate al interesului reclamantului, Curtea constată că acesta nu poate fi reţinut în cauză în condiţiile în care, aşa cum s-a arătat, domnul </w:t>
      </w:r>
      <w:r w:rsidR="007D6913">
        <w:t>AB</w:t>
      </w:r>
      <w:r>
        <w:t xml:space="preserve">  urmăreşte să îşi protejeze patrimoniul profesional, în cauză nefiind dovedită vreo intenţie de sustragere de la executarea silită sau existenţa vreunei prevederi legale care să se opună unui atare demers.</w:t>
      </w:r>
    </w:p>
    <w:p w:rsidR="00711943">
      <w:pPr>
        <w:ind w:firstLine="709"/>
        <w:jc w:val="both"/>
      </w:pPr>
    </w:p>
    <w:p w:rsidR="00711943">
      <w:pPr>
        <w:ind w:firstLine="709"/>
        <w:jc w:val="both"/>
        <w:rPr>
          <w:rStyle w:val="Fontdeparagrafimplicit"/>
          <w:b/>
        </w:rPr>
      </w:pPr>
      <w:r>
        <w:rPr>
          <w:rStyle w:val="Fontdeparagrafimplicit"/>
          <w:b/>
        </w:rPr>
        <w:t>4.2.3. Excepţia inadmisibilităţii.</w:t>
      </w:r>
    </w:p>
    <w:p w:rsidR="00711943">
      <w:pPr>
        <w:ind w:firstLine="709"/>
        <w:jc w:val="both"/>
        <w:rPr>
          <w:rStyle w:val="Fontdeparagrafimplicit"/>
        </w:rPr>
      </w:pPr>
    </w:p>
    <w:p w:rsidR="00711943">
      <w:pPr>
        <w:ind w:firstLine="709"/>
        <w:jc w:val="both"/>
      </w:pPr>
      <w:r>
        <w:t xml:space="preserve">Excepţia inadmisibilităţii a fost invocată de persoana introdusă în cauză în condiţiile art. 78 alin. 2 C.pr.civ., în susţinerea acesteia arătându-se, în esenţă, că Decizia nr. </w:t>
      </w:r>
      <w:r w:rsidR="00D70E94">
        <w:t>......./04.10.2019</w:t>
      </w:r>
      <w:r>
        <w:t xml:space="preserve"> nu are calitatea de act administrativ în sensul art. 2 alin. 1 lit. c din Legea nr. 554/2004.</w:t>
      </w:r>
    </w:p>
    <w:p w:rsidR="00711943">
      <w:pPr>
        <w:ind w:firstLine="709"/>
        <w:jc w:val="both"/>
      </w:pPr>
      <w:r>
        <w:t>Excepţia este nefondată.</w:t>
      </w:r>
    </w:p>
    <w:p w:rsidR="00711943">
      <w:pPr>
        <w:ind w:firstLine="709"/>
        <w:jc w:val="both"/>
      </w:pPr>
      <w:r>
        <w:t>Astfel, potrivit dispoziţiilor art. 59 alin. 2 din Legea nr. 51/1995, U.N.B.R. este persoană juridică de interes public.</w:t>
      </w:r>
    </w:p>
    <w:p w:rsidR="00711943">
      <w:pPr>
        <w:ind w:firstLine="709"/>
        <w:jc w:val="both"/>
      </w:pPr>
      <w:r>
        <w:t>De asemenea, conform art. 65 alin. 1 lit. q din acelaşi act normativ, printre atribuţiile U.N.B.R. se numără şi anularea, pentru cauze de nelegalitate, a hotărârilor şi deciziilor adoptate de organele de conducere ale barourilor.</w:t>
      </w:r>
    </w:p>
    <w:p w:rsidR="00711943">
      <w:pPr>
        <w:ind w:firstLine="709"/>
        <w:jc w:val="both"/>
      </w:pPr>
      <w:r>
        <w:t xml:space="preserve">Pornind de la aceste dispoziţii legale şi reţinând că Decizia nr. </w:t>
      </w:r>
      <w:r w:rsidR="00D70E94">
        <w:t>......./04.10.2019</w:t>
      </w:r>
      <w:r>
        <w:t xml:space="preserve"> avea aptitudinea de a modifica raporturi juridice, respectiv calitatea C.I. „</w:t>
      </w:r>
      <w:r w:rsidR="007D6913">
        <w:rPr>
          <w:rStyle w:val="Fontdeparagrafimplicit"/>
          <w:i/>
        </w:rPr>
        <w:t>AB</w:t>
      </w:r>
      <w:r>
        <w:t>” de succesor în drepturi a S.C.A. „</w:t>
      </w:r>
      <w:r w:rsidR="007D6913">
        <w:rPr>
          <w:rStyle w:val="Fontdeparagrafimplicit"/>
          <w:i/>
        </w:rPr>
        <w:t>AB</w:t>
      </w:r>
      <w:r>
        <w:rPr>
          <w:rStyle w:val="Fontdeparagrafimplicit"/>
          <w:i/>
        </w:rPr>
        <w:t xml:space="preserve"> şi Asociaţii</w:t>
      </w:r>
      <w:r>
        <w:t>”, Curtea apreciază aceasta întruneşte condiţiile impuse de art. 2 alin. 1 lit. c din Legea nr. 554/2004, astfel că excepţia este nefondată.</w:t>
      </w:r>
    </w:p>
    <w:p w:rsidR="00711943">
      <w:pPr>
        <w:ind w:firstLine="709"/>
        <w:jc w:val="both"/>
      </w:pPr>
    </w:p>
    <w:p w:rsidR="00711943">
      <w:pPr>
        <w:ind w:firstLine="709"/>
        <w:jc w:val="both"/>
        <w:rPr>
          <w:rStyle w:val="Fontdeparagrafimplicit"/>
          <w:b/>
        </w:rPr>
      </w:pPr>
      <w:r>
        <w:rPr>
          <w:rStyle w:val="Fontdeparagrafimplicit"/>
          <w:b/>
        </w:rPr>
        <w:t>4.2.4. Excepţia prescripţiei dreptului material la acţiune.</w:t>
      </w:r>
    </w:p>
    <w:p w:rsidR="00711943">
      <w:pPr>
        <w:ind w:firstLine="709"/>
        <w:jc w:val="both"/>
        <w:rPr>
          <w:rStyle w:val="Fontdeparagrafimplicit"/>
        </w:rPr>
      </w:pPr>
    </w:p>
    <w:p w:rsidR="00711943">
      <w:pPr>
        <w:ind w:firstLine="709"/>
        <w:jc w:val="both"/>
      </w:pPr>
      <w:r>
        <w:t xml:space="preserve">Excepţia prescripţiei dreptului material la acţiune a fost invocată de </w:t>
      </w:r>
      <w:r w:rsidR="00D70E94">
        <w:t>Baroul B</w:t>
      </w:r>
      <w:r w:rsidR="003A0916">
        <w:t xml:space="preserve"> </w:t>
      </w:r>
      <w:r>
        <w:t xml:space="preserve">şi persoana introdusă în cauză în condiţiile art. 78 alin. 2 C.pr.civ., în motivarea acesteia susţinându-se, în esenţă, că formularea unei contestaţii împotriva  Deciziei nr. </w:t>
      </w:r>
      <w:r w:rsidR="00D70E94">
        <w:t>......./04.10.2019</w:t>
      </w:r>
      <w:r>
        <w:t xml:space="preserve">, prin care s-a soluţionat calea administrativă de atac împotriva Deciziei nr. </w:t>
      </w:r>
      <w:r w:rsidR="00D70E94">
        <w:t>..........</w:t>
      </w:r>
      <w:r>
        <w:t>/11.06.2019, nu are semnificaţia repunerii acestuia în termenul de contestare a celei dintâi decizii, astfel că termenul pentru sesizarea instanţei trebuie calculat de la data de 22.10.2019.</w:t>
      </w:r>
    </w:p>
    <w:p w:rsidR="00711943">
      <w:pPr>
        <w:ind w:firstLine="709"/>
        <w:jc w:val="both"/>
      </w:pPr>
      <w:r>
        <w:t>Excepţia este nefondată.</w:t>
      </w:r>
    </w:p>
    <w:p w:rsidR="00711943">
      <w:pPr>
        <w:ind w:firstLine="709"/>
        <w:jc w:val="both"/>
      </w:pPr>
      <w:r>
        <w:t>Astfel, conform prevederilor art. 7 alin. 1 din Legea nr. 554/2004, sesizarea instanţei de contencios administrativ se face în termen de 6 luni de la data comunicării răspunsului la plângerea prealabilă.</w:t>
      </w:r>
    </w:p>
    <w:p w:rsidR="00711943">
      <w:pPr>
        <w:ind w:firstLine="709"/>
        <w:jc w:val="both"/>
      </w:pPr>
      <w:r>
        <w:t xml:space="preserve">Reţinând că prin Decizia nr. </w:t>
      </w:r>
      <w:r w:rsidR="00D70E94">
        <w:t xml:space="preserve">......../07.12.2019 </w:t>
      </w:r>
      <w:r>
        <w:t xml:space="preserve">s-a soluţionat calea administrativ de atac împotriva Deciziei nr. </w:t>
      </w:r>
      <w:r w:rsidR="00D70E94">
        <w:t>......./04.10.2019</w:t>
      </w:r>
      <w:r>
        <w:t>, precum şi faptul că în cauză nu s-a făcut dovada că prima decizie a fost comunicată reclamantul cu mai mult de 6 luni înaintea sesizării instanţei de judecată, curtea va respinge excepţia ca nefondată.</w:t>
      </w:r>
    </w:p>
    <w:p w:rsidR="00711943">
      <w:pPr>
        <w:ind w:firstLine="709"/>
        <w:jc w:val="both"/>
      </w:pPr>
    </w:p>
    <w:p w:rsidR="00711943">
      <w:pPr>
        <w:ind w:firstLine="709"/>
        <w:jc w:val="both"/>
        <w:rPr>
          <w:rStyle w:val="Fontdeparagrafimplicit"/>
          <w:b/>
        </w:rPr>
      </w:pPr>
      <w:r>
        <w:rPr>
          <w:rStyle w:val="Fontdeparagrafimplicit"/>
          <w:b/>
        </w:rPr>
        <w:t>4.3. Soluţionarea fondului raportului de drept administrativ.</w:t>
      </w:r>
    </w:p>
    <w:p w:rsidR="00711943">
      <w:pPr>
        <w:ind w:firstLine="709"/>
        <w:jc w:val="both"/>
        <w:rPr>
          <w:rStyle w:val="Fontdeparagrafimplicit"/>
        </w:rPr>
      </w:pPr>
    </w:p>
    <w:p w:rsidR="00711943">
      <w:pPr>
        <w:ind w:firstLine="709"/>
        <w:jc w:val="both"/>
      </w:pPr>
      <w:r>
        <w:t xml:space="preserve">Într-o prezentare sintetică a aspectului litigios din cauze pendinte, Curtea arată că, prin promovarea prezentei cereri de chemare în judecată, reclamantul urmăreşte anularea Deciziei nr. </w:t>
      </w:r>
      <w:r w:rsidR="00D70E94">
        <w:t xml:space="preserve">......../07.12.2019 </w:t>
      </w:r>
      <w:r>
        <w:t xml:space="preserve">şi a Decizie nr. </w:t>
      </w:r>
      <w:r w:rsidR="00D70E94">
        <w:t>......./04.10.2019</w:t>
      </w:r>
      <w:r>
        <w:t xml:space="preserve">, în cuprinsul cărora s-a reţinut că prin Decizia nr. </w:t>
      </w:r>
      <w:r w:rsidR="00D70E94">
        <w:t>..........</w:t>
      </w:r>
      <w:r>
        <w:t xml:space="preserve">/11.06.2019 a avut loc o transformare a formei de exercitare a profesiei din societate civilă de avocaţi în cabinet individual, respectiv </w:t>
      </w:r>
      <w:r w:rsidR="00D70E94">
        <w:t>S.C.A. AB</w:t>
      </w:r>
      <w:r w:rsidR="003A0916">
        <w:t xml:space="preserve"> </w:t>
      </w:r>
      <w:r>
        <w:t xml:space="preserve">şi Asociaţii s-a transformat în </w:t>
      </w:r>
      <w:r w:rsidR="007D6913">
        <w:t>C.I. AB</w:t>
      </w:r>
      <w:r>
        <w:t>, astfel că această din urmă formă de exercitare a profesiei este succesoarea în drepturi şi obligaţii a celei dintâi, ceea ce implică şi posibilitatea de a răspunde de pasivul acesteia.</w:t>
      </w:r>
    </w:p>
    <w:p w:rsidR="00711943">
      <w:pPr>
        <w:ind w:firstLine="709"/>
        <w:jc w:val="both"/>
      </w:pPr>
      <w:r>
        <w:t xml:space="preserve">În realitate, susţine domnul </w:t>
      </w:r>
      <w:r w:rsidR="007D6913">
        <w:t>AB</w:t>
      </w:r>
      <w:r>
        <w:t xml:space="preserve">, a avut loc desfiinţarea </w:t>
      </w:r>
      <w:r w:rsidR="00D70E94">
        <w:t>S.C.A. AB</w:t>
      </w:r>
      <w:r w:rsidR="003A0916">
        <w:t xml:space="preserve"> </w:t>
      </w:r>
      <w:r>
        <w:t xml:space="preserve">şi Asociaţii, urmată de înfiinţarea </w:t>
      </w:r>
      <w:r w:rsidR="007D6913">
        <w:t>C.I. AB</w:t>
      </w:r>
      <w:r>
        <w:t>, situaţie în care cabinetul de avocat nu poate răspunde de pasivul societăţii civile de avocaţi.</w:t>
      </w:r>
    </w:p>
    <w:p w:rsidR="00711943">
      <w:pPr>
        <w:ind w:firstLine="709"/>
        <w:jc w:val="both"/>
      </w:pPr>
      <w:r>
        <w:t xml:space="preserve">O astfel de concluzie se impune cu atât mai mult cu cât prin Declaraţia autentificată sub nr </w:t>
      </w:r>
      <w:r w:rsidR="007D6913">
        <w:t>.........</w:t>
      </w:r>
      <w:r>
        <w:t xml:space="preserve">/20.06.2019, persoana fizică </w:t>
      </w:r>
      <w:r w:rsidR="007D6913">
        <w:t>AB</w:t>
      </w:r>
      <w:r w:rsidR="003A0916">
        <w:t xml:space="preserve"> </w:t>
      </w:r>
      <w:r>
        <w:t xml:space="preserve">a preluat activul şi pasivul .C.A. </w:t>
      </w:r>
      <w:r w:rsidR="007D6913">
        <w:t>AB</w:t>
      </w:r>
      <w:r>
        <w:t xml:space="preserve"> şi Asociaţii.</w:t>
      </w:r>
    </w:p>
    <w:p w:rsidR="00711943">
      <w:pPr>
        <w:ind w:firstLine="709"/>
        <w:jc w:val="both"/>
      </w:pPr>
      <w:r>
        <w:t>Cererea este nefondată.</w:t>
      </w:r>
    </w:p>
    <w:p w:rsidR="00711943">
      <w:pPr>
        <w:ind w:firstLine="709"/>
        <w:jc w:val="both"/>
      </w:pPr>
      <w:r>
        <w:t xml:space="preserve">Astfel, aşa cum rezultă din prezentarea situaţiei de fapt de la </w:t>
      </w:r>
      <w:r>
        <w:rPr>
          <w:rStyle w:val="Fontdeparagrafimplicit"/>
          <w:b/>
        </w:rPr>
        <w:t>pct. 4.1.</w:t>
      </w:r>
      <w:r>
        <w:t xml:space="preserve"> din prezenta sentinţă, împotriva Deciziei nr. </w:t>
      </w:r>
      <w:r w:rsidR="00D70E94">
        <w:t>..........</w:t>
      </w:r>
      <w:r>
        <w:t xml:space="preserve">/11.06.2019, a formulat acţiune în anulare domnul </w:t>
      </w:r>
      <w:r w:rsidR="00D70E94">
        <w:t>BC</w:t>
      </w:r>
      <w:r>
        <w:t xml:space="preserve">, motivul fiind, în esenţă, acela că prin Decizia nr. </w:t>
      </w:r>
      <w:r w:rsidR="00D70E94">
        <w:t>..........</w:t>
      </w:r>
      <w:r>
        <w:t xml:space="preserve">/11.06.2019 s-a reţinut în mod nelegal </w:t>
      </w:r>
      <w:r>
        <w:t>că pasivul S.C.A. „</w:t>
      </w:r>
      <w:r w:rsidR="007D6913">
        <w:t>AB</w:t>
      </w:r>
      <w:r>
        <w:t xml:space="preserve"> şi Asociaţii” este preluat de persoana fizică </w:t>
      </w:r>
      <w:r w:rsidR="007D6913">
        <w:t>AB</w:t>
      </w:r>
      <w:r>
        <w:t>, ceea ce, dată fiind împrejurarea că acesta nu are în proprietate bunuri, ar avea ca efect imposibilitatea recuperării a creanţelor al căror titular este, ca urmare a activităţii desfăşurate în cadrul  S.C.A. „</w:t>
      </w:r>
      <w:r w:rsidR="007D6913">
        <w:t>AB</w:t>
      </w:r>
      <w:r>
        <w:t xml:space="preserve"> şi Asociaţii”.</w:t>
      </w:r>
    </w:p>
    <w:p w:rsidR="00711943">
      <w:pPr>
        <w:ind w:firstLine="709"/>
        <w:jc w:val="both"/>
      </w:pPr>
      <w:r>
        <w:t xml:space="preserve">Prin sentinţa civilă nr. </w:t>
      </w:r>
      <w:r w:rsidR="003A0916">
        <w:t>..........</w:t>
      </w:r>
      <w:r>
        <w:t xml:space="preserve">, pronunţată în dosarul nr. </w:t>
      </w:r>
      <w:r w:rsidR="007D6913">
        <w:t>............</w:t>
      </w:r>
      <w:r>
        <w:t xml:space="preserve">, </w:t>
      </w:r>
      <w:r w:rsidR="00C77E4E">
        <w:t>Tribunalul</w:t>
      </w:r>
      <w:r w:rsidR="007D6913">
        <w:t xml:space="preserve"> ..........</w:t>
      </w:r>
      <w:r>
        <w:t>a respins acţi</w:t>
      </w:r>
      <w:r w:rsidR="003A0916">
        <w:t>unea formulată de domnul BC</w:t>
      </w:r>
      <w:r>
        <w:t xml:space="preserve">, soluţia fiind menţinută prin Decizia nr. </w:t>
      </w:r>
      <w:r w:rsidR="003A0916">
        <w:t xml:space="preserve"> ..........</w:t>
      </w:r>
      <w:r>
        <w:t xml:space="preserve">, pronunţată de </w:t>
      </w:r>
      <w:r w:rsidR="003A0916">
        <w:t>Curtea de Apel ..........</w:t>
      </w:r>
      <w:r>
        <w:t xml:space="preserve">în dosarul nr. </w:t>
      </w:r>
      <w:r w:rsidR="003A0916">
        <w:t xml:space="preserve"> ..........</w:t>
      </w:r>
      <w:r>
        <w:t xml:space="preserve">(dosarul nr. </w:t>
      </w:r>
      <w:r w:rsidR="007D6913">
        <w:t>............</w:t>
      </w:r>
      <w:r>
        <w:t xml:space="preserve"> primind în calea de atac un alt număr), în motivarea acestor soluţii reţinându-se, în esenţă, că „ </w:t>
      </w:r>
      <w:r>
        <w:rPr>
          <w:rStyle w:val="Fontdeparagrafimplicit"/>
          <w:i/>
        </w:rPr>
        <w:t xml:space="preserve">(…) la data de 11.06.2019 a avut loc o veritabilă transformare a formei în care domnul avocat </w:t>
      </w:r>
      <w:r w:rsidR="007D6913">
        <w:rPr>
          <w:rStyle w:val="Fontdeparagrafimplicit"/>
          <w:i/>
        </w:rPr>
        <w:t>AB</w:t>
      </w:r>
      <w:r>
        <w:rPr>
          <w:rStyle w:val="Fontdeparagrafimplicit"/>
          <w:i/>
        </w:rPr>
        <w:t xml:space="preserve"> îşi exercita profesia, trecând de la „</w:t>
      </w:r>
      <w:r w:rsidR="007D6913">
        <w:rPr>
          <w:rStyle w:val="Fontdeparagrafimplicit"/>
          <w:i/>
        </w:rPr>
        <w:t>AB</w:t>
      </w:r>
      <w:r>
        <w:rPr>
          <w:rStyle w:val="Fontdeparagrafimplicit"/>
          <w:i/>
        </w:rPr>
        <w:t xml:space="preserve"> şi Asociaţii – Societate Civilă de Avocaţi” la „</w:t>
      </w:r>
      <w:r w:rsidR="007D6913">
        <w:rPr>
          <w:rStyle w:val="Fontdeparagrafimplicit"/>
          <w:i/>
        </w:rPr>
        <w:t>AB</w:t>
      </w:r>
      <w:r>
        <w:rPr>
          <w:rStyle w:val="Fontdeparagrafimplicit"/>
          <w:i/>
        </w:rPr>
        <w:t>– Cabinet de Avocat”, în baza cererii acestuia datată 25.10.2018</w:t>
      </w:r>
      <w:r>
        <w:t>.”.</w:t>
      </w:r>
    </w:p>
    <w:p w:rsidR="00711943">
      <w:pPr>
        <w:ind w:firstLine="709"/>
        <w:jc w:val="both"/>
      </w:pPr>
      <w:r>
        <w:t>În cuprinsul aceloraşi hotărâri, s-a mai punctat că nu se poate concluziona că a avut loc o dizolvare a S.C.A. „</w:t>
      </w:r>
      <w:r w:rsidR="007D6913">
        <w:t>AB</w:t>
      </w:r>
      <w:r>
        <w:t xml:space="preserve"> şi Asociaţii”, „ </w:t>
      </w:r>
      <w:r>
        <w:rPr>
          <w:rStyle w:val="Fontdeparagrafimplicit"/>
          <w:i/>
        </w:rPr>
        <w:t>(…) tocmai pentru că avocatul asociat unic şi-a manifestat, la data de 25.10.2018, opţiunea de continuare a activităţii profesionale într-o nouă formă de exercitare a profesiei, anume cabinetul individual de avocat (…)</w:t>
      </w:r>
      <w:r>
        <w:t xml:space="preserve">.  </w:t>
      </w:r>
    </w:p>
    <w:p w:rsidR="00711943">
      <w:pPr>
        <w:ind w:firstLine="709"/>
        <w:jc w:val="both"/>
      </w:pPr>
      <w:r>
        <w:t>Cu alte cuvinte, în hotărârile antereferite, s-a reţinut cu autoritate de lucru judecat faptul că, din succesiunea schimbărilor intervenite în ceea ce priveşte forma de exercitare a profesiei, rezultă că nu a avut loc o desfiinţare a societăţii civile de avocaţi urmată de înfiinţarea cabinetului individual de avocat, aşa cum se susţine în cauza pendinte, ci o veritabilă transformare a formei de exercitare a profesiei, în conformitate cu dispoziţiile art. 182 din Statutul profesiei de avocat.</w:t>
      </w:r>
    </w:p>
    <w:p w:rsidR="00711943">
      <w:pPr>
        <w:ind w:firstLine="709"/>
        <w:jc w:val="both"/>
        <w:rPr>
          <w:rStyle w:val="Fontdeparagrafimplicit"/>
          <w:i/>
        </w:rPr>
      </w:pPr>
      <w:r>
        <w:t xml:space="preserve">Potrivit dispoziţiilor art. 430 C.pr. civ., intitulat „Autoritatea de lucru judecat”, </w:t>
      </w:r>
      <w:r>
        <w:rPr>
          <w:rStyle w:val="Fontdeparagrafimplicit"/>
          <w:i/>
        </w:rPr>
        <w:t>„1)Hotărârea judecătorească ce soluţionează, în tot sau în parte, fondul procesului sau statuează asupra unei excepţii procesuale ori asupra oricărui alt incident are, de la pronunţare, autoritate de lucru judecat cu privire la chestiunea tranşată. 2) Autoritatea de lucru judecat priveşte dispozitivul, precum şi considerentele pe care acesta se sprijină, inclusiv cele prin care s-a rezolvat o chestiune litigioasă. (…)”.</w:t>
      </w:r>
    </w:p>
    <w:p w:rsidR="00711943">
      <w:pPr>
        <w:ind w:firstLine="709"/>
        <w:jc w:val="both"/>
        <w:rPr>
          <w:rStyle w:val="Fontdeparagrafimplicit"/>
          <w:i/>
        </w:rPr>
      </w:pPr>
      <w:r>
        <w:t xml:space="preserve">De asemenea, Conform dispoziţiilor art. 431 C.pr.civ., </w:t>
      </w:r>
      <w:r>
        <w:rPr>
          <w:rStyle w:val="Fontdeparagrafimplicit"/>
          <w:i/>
        </w:rPr>
        <w:t>„Nimeni nu poate fi chemat în judecată de două ori în aceeaşi calitate, în temeiul aceleiaşi cauze şi pentru acelaşi obiect. Oricare dintre părţi poate opune lucrul anterior judecat într-un alt litigiu, dacă are legătură cu soluţionarea acestuia din urmă.”.</w:t>
      </w:r>
    </w:p>
    <w:p w:rsidR="00711943">
      <w:pPr>
        <w:ind w:firstLine="709"/>
        <w:contextualSpacing/>
        <w:jc w:val="both"/>
      </w:pPr>
      <w:r>
        <w:t xml:space="preserve">Aşa cum se deduce din textele normative redat în precedent, autoritatea de lucru judecat cunoaşte două manifestări procesuale, aceea de excepţie procesuală şi aceea de prezumţie, mijloc de probă de natură să demonstreze ceva în legătură cu raporturile juridice dintre părţi. </w:t>
      </w:r>
    </w:p>
    <w:p w:rsidR="00711943">
      <w:pPr>
        <w:ind w:firstLine="709"/>
        <w:contextualSpacing/>
        <w:jc w:val="both"/>
      </w:pPr>
      <w:r>
        <w:t xml:space="preserve">Dacă în manifestarea sa de excepţie procesuală (care corespunde unui efect negativ, extinctiv, de natură să oprească a doua judecată) autoritatea de lucru judecat presupune tripla identitate de elemente pretinsă de art. 430 C.pr.civ., nu tot astfel se întâmplă atunci când acest efect important al hotărârii se manifestă pozitiv, demonstrând modalitatea în care au fost dezlegate anterior anumite aspecte litigioase în raporturile dintre părţi, fără posibilitatea de a se statua diferit. </w:t>
      </w:r>
    </w:p>
    <w:p w:rsidR="00711943">
      <w:pPr>
        <w:ind w:firstLine="709"/>
        <w:contextualSpacing/>
        <w:jc w:val="both"/>
      </w:pPr>
      <w:r>
        <w:t>Altfel spus, efectul pozitiv al lucrului judecat se impune într-un al doilea proces care are legătură cu chestiunea litigioasă dezlegată anterior, fără posibilitatea de a mai fi contrazis. Această reglementare a autorităţii de lucru judecat în forma prezumţiei vine să asigure, din nevoia de ordine şi stabilitate juridică, evitarea contrazicerilor între considerentele hotărârii judecătoreşti.</w:t>
      </w:r>
    </w:p>
    <w:p w:rsidR="00711943">
      <w:pPr>
        <w:ind w:firstLine="709"/>
        <w:contextualSpacing/>
        <w:jc w:val="both"/>
      </w:pPr>
      <w:r>
        <w:t xml:space="preserve">Cum, potrivit legii, în relaţia dintre părţi această prezumţie are caracter absolut, înseamnă că nu se poate introduce o nouă acţiune în cadrul căreia să pretindă stabilirea contrariului a ceea ce s-a statuat judecătoreşte anterior. </w:t>
      </w:r>
    </w:p>
    <w:p w:rsidR="00711943">
      <w:pPr>
        <w:ind w:firstLine="709"/>
        <w:contextualSpacing/>
        <w:jc w:val="both"/>
      </w:pPr>
      <w:r>
        <w:t>În timp ce excepţia are la bază regula că o acţiune nu poate fi judecată decât o singură dată (</w:t>
      </w:r>
      <w:r>
        <w:rPr>
          <w:rStyle w:val="Fontdeparagrafimplicit"/>
          <w:i/>
        </w:rPr>
        <w:t>non bis in idem</w:t>
      </w:r>
      <w:r>
        <w:t xml:space="preserve">), impunând condiţia identităţii de acţiuni, care, potrivit legii, reclamă acelaşi obiect, aceeaşi cauză şi aceleaşi părţi, astfel că interzice judecata repetată a aceleiaşi </w:t>
      </w:r>
      <w:r>
        <w:t xml:space="preserve">pricini şi deci are efect peremptoriu, îndeplinind funcţia extinctivă, prezumţia se întemeiază pe regula că o constatare (nu neapărat în sens de soluţie privind raporturile litigioase dintre părţi) făcută printr-o hotărâre definitivă nu trebuie să fie contrazisă de o altă hotărâre. </w:t>
      </w:r>
    </w:p>
    <w:p w:rsidR="00711943">
      <w:pPr>
        <w:ind w:firstLine="709"/>
        <w:contextualSpacing/>
        <w:jc w:val="both"/>
      </w:pPr>
      <w:r>
        <w:t xml:space="preserve">Aşadar, spre deosebire de excepţie, aceasta din urmă reclamă diversitate de acţiuni şi identitate de chestiuni. </w:t>
      </w:r>
    </w:p>
    <w:p w:rsidR="00711943">
      <w:pPr>
        <w:ind w:firstLine="709"/>
        <w:contextualSpacing/>
        <w:jc w:val="both"/>
      </w:pPr>
      <w:r>
        <w:t xml:space="preserve">Aceasta din urmă este şi situaţia din prezenta cauză, în raport de aspectele dezlegate în dosarul nr. </w:t>
      </w:r>
      <w:r w:rsidR="003A0916">
        <w:t xml:space="preserve"> ..........</w:t>
      </w:r>
      <w:r>
        <w:t xml:space="preserve">(iniţial, cu nr. </w:t>
      </w:r>
      <w:r w:rsidR="007D6913">
        <w:t>............</w:t>
      </w:r>
      <w:r>
        <w:t xml:space="preserve">), în sensul că acţiunile sunt diferite, primul are ca obiect anularea Deciziei nr. </w:t>
      </w:r>
      <w:r w:rsidR="00D70E94">
        <w:t xml:space="preserve">......../07.12.2019 </w:t>
      </w:r>
      <w:r>
        <w:t xml:space="preserve">şi a Deciziei nr. </w:t>
      </w:r>
      <w:r w:rsidR="00D70E94">
        <w:t>......./04.10.2019</w:t>
      </w:r>
      <w:r>
        <w:t xml:space="preserve">, iar cel de – al doilea anularea Deciziei nr. </w:t>
      </w:r>
      <w:r w:rsidR="00D70E94">
        <w:t>..........</w:t>
      </w:r>
      <w:r>
        <w:t xml:space="preserve">/11.06.2019, însă chestiunile care se impun a fi tranşate sunt identice, respectiv dacă a avut loc o desfiinţare a </w:t>
      </w:r>
      <w:r w:rsidR="00D70E94">
        <w:t>S.C.A. AB</w:t>
      </w:r>
      <w:r w:rsidR="003A0916">
        <w:t xml:space="preserve"> </w:t>
      </w:r>
      <w:r>
        <w:t xml:space="preserve">şi Asociaţi pentru ca, ulterior, să se înfiinţeze </w:t>
      </w:r>
      <w:r w:rsidR="00D70E94">
        <w:t>C.I. AB</w:t>
      </w:r>
      <w:r w:rsidR="003A0916">
        <w:t xml:space="preserve"> </w:t>
      </w:r>
      <w:r>
        <w:t xml:space="preserve">sau o transformare a formei de exercitare a profesiei din </w:t>
      </w:r>
      <w:r w:rsidR="00D70E94">
        <w:t>S.C.A. AB</w:t>
      </w:r>
      <w:r w:rsidR="003A0916">
        <w:t xml:space="preserve"> </w:t>
      </w:r>
      <w:r>
        <w:t xml:space="preserve">şi Asociaţi în </w:t>
      </w:r>
      <w:r w:rsidR="007D6913">
        <w:t>C.I. AB</w:t>
      </w:r>
      <w:r>
        <w:t>.</w:t>
      </w:r>
    </w:p>
    <w:p w:rsidR="00711943">
      <w:pPr>
        <w:ind w:firstLine="709"/>
        <w:contextualSpacing/>
        <w:jc w:val="both"/>
      </w:pPr>
      <w:r>
        <w:t xml:space="preserve">Revenind la prezenta acţiune, Curtea constată că toate argumentele invocate de reclamant pentru a susţine nelegalitatea actelor contestate sunt o reluare a criticilor invocate în calea de atac exercitată în dosarul nr. </w:t>
      </w:r>
      <w:r w:rsidR="003A0916">
        <w:t>..........</w:t>
      </w:r>
      <w:r>
        <w:t xml:space="preserve">(aspect ce se poate verifica prin compararea elementelor de la </w:t>
      </w:r>
      <w:r>
        <w:rPr>
          <w:rStyle w:val="Fontdeparagrafimplicit"/>
          <w:b/>
        </w:rPr>
        <w:t>pct. 1.</w:t>
      </w:r>
      <w:r>
        <w:t xml:space="preserve"> cu cele de la </w:t>
      </w:r>
      <w:r>
        <w:rPr>
          <w:rStyle w:val="Fontdeparagrafimplicit"/>
          <w:b/>
        </w:rPr>
        <w:t>pct. 4.1.11.</w:t>
      </w:r>
      <w:r>
        <w:t xml:space="preserve"> din prezenta sentinţă), tinzând a dovedi faptul că nu a avut loc o transformare a formei de exercitare a profesiei, ci doar s-a desfiinţat societatea civilă de avocaţi, urmată de înfiinţarea cabinetului individual de avocat, fără ca între acestea să existe o legătură.</w:t>
      </w:r>
    </w:p>
    <w:p w:rsidR="00711943">
      <w:pPr>
        <w:ind w:firstLine="709"/>
        <w:contextualSpacing/>
        <w:jc w:val="both"/>
      </w:pPr>
      <w:r>
        <w:t>Or, un astfel de demers procesual nu este posibil în lumina prevederilor art. 430 C.pr.civ..</w:t>
      </w:r>
    </w:p>
    <w:p w:rsidR="00711943">
      <w:pPr>
        <w:ind w:firstLine="709"/>
        <w:contextualSpacing/>
        <w:jc w:val="both"/>
      </w:pPr>
      <w:r>
        <w:t>Pentru considerentele expuse, Curtea va respinge cererea de chemare în judecată, ca nefondată.</w:t>
      </w:r>
    </w:p>
    <w:p w:rsidR="00711943">
      <w:pPr>
        <w:ind w:firstLine="709"/>
        <w:jc w:val="both"/>
      </w:pPr>
      <w:r>
        <w:t xml:space="preserve">În temeiul art. 453 C.pr.civ, Curtea va obliga reclamantul la plata către pârâtul </w:t>
      </w:r>
      <w:r w:rsidR="00D70E94">
        <w:t>Baroul B</w:t>
      </w:r>
      <w:r w:rsidR="003A0916">
        <w:t xml:space="preserve"> </w:t>
      </w:r>
      <w:r>
        <w:t xml:space="preserve">a sumei de 800 lei, cu titlul de cheltuieli de judecată reprezentate de onorariu de avocat, apreciind că aceasta este proporţională cu munca depusă, respectiv întocmirea întâmpinării şi reprezentarea părţii la termenele de judecată. </w:t>
      </w:r>
    </w:p>
    <w:p w:rsidR="00711943">
      <w:pPr>
        <w:ind w:firstLine="709"/>
        <w:jc w:val="both"/>
      </w:pPr>
      <w:r>
        <w:t>În ceea ce priveşte onorariul solicitat de domnul</w:t>
      </w:r>
      <w:r w:rsidR="003A0916">
        <w:t xml:space="preserve"> BC</w:t>
      </w:r>
      <w:r>
        <w:t>, persoana introdusă în cauză în condiţiile art. 78 alin. 2 C.pr.civ., Curtea apreciază că activitatea avocatului ales a constat în susţinerea concluziilor cu ocazia dezbaterilor de la termenul de judecată din data de 06.06.202e şi întocmirea notelor scrise depuse la acelaşi termen de judecată, astfel că, în raport de dispoziţiile art. 451 alin. 2 C.pr.civ., Curtea apreciază că suma de 1.000 lei răspunde criteriilor reglementate de acest text legal.</w:t>
      </w:r>
    </w:p>
    <w:p w:rsidR="00711943"/>
    <w:p w:rsidR="00711943">
      <w:pPr>
        <w:ind w:firstLine="709"/>
        <w:jc w:val="center"/>
        <w:rPr>
          <w:rStyle w:val="Fontdeparagrafimplicit"/>
          <w:b/>
        </w:rPr>
      </w:pPr>
      <w:r>
        <w:rPr>
          <w:rStyle w:val="Fontdeparagrafimplicit"/>
          <w:b/>
        </w:rPr>
        <w:t>PENTRU ACESTE MOTIVE,</w:t>
      </w:r>
    </w:p>
    <w:p w:rsidR="00711943">
      <w:pPr>
        <w:ind w:firstLine="709"/>
        <w:jc w:val="center"/>
        <w:rPr>
          <w:rStyle w:val="Fontdeparagrafimplicit"/>
          <w:b/>
        </w:rPr>
      </w:pPr>
      <w:r>
        <w:rPr>
          <w:rStyle w:val="Fontdeparagrafimplicit"/>
          <w:b/>
        </w:rPr>
        <w:t>ÎN NUMELE ELGII,</w:t>
      </w:r>
    </w:p>
    <w:p w:rsidR="00711943">
      <w:pPr>
        <w:ind w:firstLine="709"/>
        <w:jc w:val="center"/>
        <w:rPr>
          <w:rStyle w:val="Fontdeparagrafimplicit"/>
          <w:b/>
        </w:rPr>
      </w:pPr>
      <w:r>
        <w:rPr>
          <w:rStyle w:val="Fontdeparagrafimplicit"/>
          <w:b/>
        </w:rPr>
        <w:t>HOTĂRĂŞTE:</w:t>
      </w:r>
    </w:p>
    <w:p w:rsidR="00711943">
      <w:pPr>
        <w:ind w:firstLine="709"/>
        <w:jc w:val="both"/>
        <w:rPr>
          <w:rStyle w:val="Fontdeparagrafimplicit"/>
          <w:b/>
        </w:rPr>
      </w:pPr>
    </w:p>
    <w:p w:rsidR="00711943">
      <w:pPr>
        <w:ind w:firstLine="709"/>
        <w:jc w:val="both"/>
      </w:pPr>
      <w:r>
        <w:t xml:space="preserve">Respinge excepţia lipsei calităţii procesuale pasive a </w:t>
      </w:r>
      <w:r w:rsidR="007D6913">
        <w:t>Baroului B</w:t>
      </w:r>
      <w:r w:rsidR="003A0916">
        <w:t xml:space="preserve"> </w:t>
      </w:r>
      <w:r>
        <w:t>invocată prin întâmpinare, ca neîntemeiată.</w:t>
      </w:r>
    </w:p>
    <w:p w:rsidR="00711943">
      <w:pPr>
        <w:ind w:firstLine="709"/>
        <w:jc w:val="both"/>
      </w:pPr>
      <w:r>
        <w:t xml:space="preserve">Respinge excepţia lipsei de interes, invocată de </w:t>
      </w:r>
      <w:r w:rsidR="00D70E94">
        <w:t>Baroul B</w:t>
      </w:r>
      <w:r w:rsidR="003A0916">
        <w:t xml:space="preserve"> </w:t>
      </w:r>
      <w:r>
        <w:t xml:space="preserve">şi de </w:t>
      </w:r>
      <w:r w:rsidR="003A0916">
        <w:t>BC</w:t>
      </w:r>
      <w:r>
        <w:t xml:space="preserve">, ca neîntemeiată. </w:t>
      </w:r>
    </w:p>
    <w:p w:rsidR="00711943">
      <w:pPr>
        <w:ind w:firstLine="709"/>
        <w:jc w:val="both"/>
      </w:pPr>
      <w:r>
        <w:t xml:space="preserve">Respinge excepţia inadmisibilităţii, invocată de </w:t>
      </w:r>
      <w:r w:rsidR="003A0916">
        <w:t>BC</w:t>
      </w:r>
      <w:r>
        <w:t xml:space="preserve">, ca neîntemeiată. </w:t>
      </w:r>
    </w:p>
    <w:p w:rsidR="00711943">
      <w:pPr>
        <w:ind w:firstLine="709"/>
        <w:jc w:val="both"/>
      </w:pPr>
      <w:r>
        <w:t xml:space="preserve">Respinge excepţia prescripţiei dreptului material la acţiune, invocată de </w:t>
      </w:r>
      <w:r w:rsidR="00D70E94">
        <w:t>Baroul B</w:t>
      </w:r>
      <w:r w:rsidR="003A0916">
        <w:t xml:space="preserve"> </w:t>
      </w:r>
      <w:r>
        <w:t xml:space="preserve">şi de </w:t>
      </w:r>
      <w:r w:rsidR="003A0916">
        <w:t>BC</w:t>
      </w:r>
      <w:r>
        <w:t xml:space="preserve">, ca neîntemeiată. </w:t>
      </w:r>
    </w:p>
    <w:p w:rsidR="00711943">
      <w:pPr>
        <w:ind w:firstLine="709"/>
        <w:jc w:val="both"/>
      </w:pPr>
      <w:r>
        <w:t xml:space="preserve">Respinge acţiunea formulată de reclamantul  </w:t>
      </w:r>
      <w:r w:rsidR="007D6913">
        <w:rPr>
          <w:rStyle w:val="Fontdeparagrafimplicit"/>
          <w:b/>
        </w:rPr>
        <w:t>AB</w:t>
      </w:r>
      <w:r>
        <w:t xml:space="preserve">, cu domiciliul ales la Cabinet de avocat </w:t>
      </w:r>
      <w:r w:rsidR="007D6913">
        <w:t>AB</w:t>
      </w:r>
      <w:r>
        <w:t xml:space="preserve">, în </w:t>
      </w:r>
      <w:r w:rsidR="003A0916">
        <w:t>........., str......... nr........., ET........, AP........</w:t>
      </w:r>
      <w:r>
        <w:t xml:space="preserve">, </w:t>
      </w:r>
      <w:r w:rsidR="003A0916">
        <w:t>...........</w:t>
      </w:r>
      <w:r>
        <w:t xml:space="preserve">,în contradictoriu cu pârâţii </w:t>
      </w:r>
      <w:r>
        <w:rPr>
          <w:rStyle w:val="Fontdeparagrafimplicit"/>
          <w:b/>
        </w:rPr>
        <w:t>Uniunea Naţională a Barourilor din România,</w:t>
      </w:r>
      <w:r>
        <w:t xml:space="preserve"> la sediul profesional al Cabine</w:t>
      </w:r>
      <w:r w:rsidR="003A0916">
        <w:t>tului de Avocat FG</w:t>
      </w:r>
      <w:r>
        <w:t xml:space="preserve">, situat în </w:t>
      </w:r>
      <w:r w:rsidR="003A0916">
        <w:t>.........</w:t>
      </w:r>
      <w:r>
        <w:t xml:space="preserve">, Piaţa </w:t>
      </w:r>
      <w:r w:rsidR="003A0916">
        <w:t>.......... nr........, et........, ap........</w:t>
      </w:r>
      <w:r>
        <w:t>,</w:t>
      </w:r>
      <w:r w:rsidR="003A0916">
        <w:t xml:space="preserve"> .........</w:t>
      </w:r>
      <w:r>
        <w:t xml:space="preserve">., </w:t>
      </w:r>
      <w:r>
        <w:rPr>
          <w:rStyle w:val="Fontdeparagrafimplicit"/>
          <w:b/>
        </w:rPr>
        <w:t xml:space="preserve"> Baroul </w:t>
      </w:r>
      <w:r w:rsidR="003A0916">
        <w:rPr>
          <w:rStyle w:val="Fontdeparagrafimplicit"/>
          <w:b/>
        </w:rPr>
        <w:t>.........</w:t>
      </w:r>
      <w:r>
        <w:t>, cu sediul în</w:t>
      </w:r>
      <w:r w:rsidR="003A0916">
        <w:t xml:space="preserve"> ...........</w:t>
      </w:r>
      <w:r>
        <w:t xml:space="preserve">, </w:t>
      </w:r>
      <w:r w:rsidR="003A0916">
        <w:t>.........</w:t>
      </w:r>
      <w:r>
        <w:t>,  str.</w:t>
      </w:r>
      <w:r w:rsidR="003A0916">
        <w:t>........., nr........</w:t>
      </w:r>
      <w:r>
        <w:t xml:space="preserve">,şi pârâtul </w:t>
      </w:r>
      <w:r w:rsidR="00D70E94">
        <w:rPr>
          <w:rStyle w:val="Fontdeparagrafimplicit"/>
          <w:b/>
        </w:rPr>
        <w:t>BC</w:t>
      </w:r>
      <w:r>
        <w:rPr>
          <w:rStyle w:val="Fontdeparagrafimplicit"/>
          <w:b/>
        </w:rPr>
        <w:t>,</w:t>
      </w:r>
      <w:r>
        <w:t xml:space="preserve"> cu domiciliul în </w:t>
      </w:r>
      <w:r w:rsidR="003A0916">
        <w:t>.........</w:t>
      </w:r>
      <w:r>
        <w:t xml:space="preserve">, </w:t>
      </w:r>
      <w:r w:rsidR="003A0916">
        <w:t>.........</w:t>
      </w:r>
      <w:r>
        <w:t>, Str.</w:t>
      </w:r>
      <w:r w:rsidR="003A0916">
        <w:t>............., nr. ...........</w:t>
      </w:r>
      <w:r w:rsidR="00C77E4E">
        <w:t xml:space="preserve">, </w:t>
      </w:r>
      <w:r>
        <w:t xml:space="preserve">ca nefondată. </w:t>
      </w:r>
    </w:p>
    <w:p w:rsidR="00711943">
      <w:pPr>
        <w:ind w:firstLine="709"/>
        <w:jc w:val="both"/>
      </w:pPr>
      <w:r>
        <w:t xml:space="preserve">Obligă reclamantul la plata către pârâţii </w:t>
      </w:r>
      <w:r w:rsidR="00D70E94">
        <w:t>Baroul B</w:t>
      </w:r>
      <w:r w:rsidR="003A0916">
        <w:t xml:space="preserve"> </w:t>
      </w:r>
      <w:r>
        <w:t xml:space="preserve">şi </w:t>
      </w:r>
      <w:r w:rsidR="00C77E4E">
        <w:t xml:space="preserve">BC </w:t>
      </w:r>
      <w:r>
        <w:t xml:space="preserve">a sumei de 800 lei, respectiv 1000 lei (onorariu redus), cu titlul de cheltuieli de judecată reprezentate de onorariu de avocat. </w:t>
      </w:r>
    </w:p>
    <w:p w:rsidR="00711943">
      <w:pPr>
        <w:ind w:firstLine="709"/>
        <w:jc w:val="both"/>
      </w:pPr>
      <w:r>
        <w:t xml:space="preserve">Cu recurs în termen de 15 zile de la comunicare, calea de atac urmând a fi depusă la Curtea de Apel </w:t>
      </w:r>
      <w:r w:rsidR="003A0916">
        <w:t>.........</w:t>
      </w:r>
      <w:r>
        <w:t>.</w:t>
      </w:r>
    </w:p>
    <w:p w:rsidR="00711943">
      <w:pPr>
        <w:ind w:firstLine="709"/>
        <w:jc w:val="both"/>
        <w:rPr>
          <w:rStyle w:val="Fontdeparagrafimplicit"/>
          <w:b/>
        </w:rPr>
      </w:pPr>
      <w:r>
        <w:t xml:space="preserve">Pronunţată azi, </w:t>
      </w:r>
      <w:r w:rsidR="00D70E94">
        <w:t>............</w:t>
      </w:r>
      <w:r>
        <w:t>, prin punerea soluţiei la dispoziţia părţilor prin mijlocirea grefei instanţei.</w:t>
      </w:r>
    </w:p>
    <w:p w:rsidR="00711943">
      <w:pPr>
        <w:ind w:firstLine="709"/>
        <w:jc w:val="both"/>
        <w:rPr>
          <w:rStyle w:val="Fontdeparagrafimplicit"/>
        </w:rPr>
      </w:pPr>
    </w:p>
    <w:p w:rsidR="00711943">
      <w:pPr>
        <w:ind w:firstLine="709"/>
        <w:jc w:val="both"/>
        <w:rPr>
          <w:rStyle w:val="Fontdeparagrafimplicit"/>
        </w:rPr>
      </w:pPr>
    </w:p>
    <w:p w:rsidR="00711943">
      <w:pPr>
        <w:tabs>
          <w:tab w:val="left" w:pos="0"/>
        </w:tabs>
        <w:ind w:firstLine="709"/>
        <w:jc w:val="both"/>
        <w:rPr>
          <w:rStyle w:val="Fontdeparagrafimplicit"/>
          <w:b/>
        </w:rPr>
      </w:pPr>
      <w:r>
        <w:rPr>
          <w:rStyle w:val="Fontdeparagrafimplicit"/>
          <w:b/>
        </w:rPr>
        <w:t>PREŞEDINTE,                                                                                   GREFIER,</w:t>
      </w:r>
    </w:p>
    <w:p w:rsidR="00711943">
      <w:pPr>
        <w:tabs>
          <w:tab w:val="left" w:pos="0"/>
        </w:tabs>
        <w:ind w:firstLine="709"/>
        <w:jc w:val="both"/>
      </w:pPr>
      <w:r>
        <w:t>CANDIDAT A0009</w:t>
      </w:r>
      <w:r w:rsidR="00B15223">
        <w:t xml:space="preserve">                                                                              </w:t>
      </w:r>
      <w:r>
        <w:t>...............</w:t>
      </w:r>
      <w:r w:rsidR="00B15223">
        <w:t xml:space="preserve"> </w:t>
      </w:r>
    </w:p>
    <w:p w:rsidR="00711943">
      <w:pPr>
        <w:ind w:firstLine="709"/>
        <w:jc w:val="both"/>
      </w:pPr>
    </w:p>
    <w:p w:rsidR="00711943">
      <w:pPr>
        <w:ind w:firstLine="709"/>
        <w:jc w:val="both"/>
      </w:pPr>
    </w:p>
    <w:p w:rsidR="00711943">
      <w:pPr>
        <w:ind w:firstLine="709"/>
        <w:jc w:val="both"/>
        <w:rPr>
          <w:rStyle w:val="Fontdeparagrafimplicit"/>
          <w:sz w:val="16"/>
        </w:rPr>
      </w:pPr>
      <w:r>
        <w:rPr>
          <w:rStyle w:val="Fontdeparagrafimplicit"/>
          <w:sz w:val="16"/>
        </w:rPr>
        <w:t>Red.jud.CANDIDAT A0009, thred.CANDIDAT A0009 4ex.</w:t>
      </w:r>
    </w:p>
    <w:p w:rsidR="00711943">
      <w:pPr>
        <w:ind w:firstLine="709"/>
        <w:rPr>
          <w:rStyle w:val="Fontdeparagrafimplicit"/>
        </w:rPr>
      </w:pPr>
    </w:p>
    <w:p w:rsidR="00711943">
      <w:pPr>
        <w:ind w:firstLine="709"/>
        <w:rPr>
          <w:rStyle w:val="Fontdeparagrafimplicit"/>
        </w:rPr>
      </w:pPr>
    </w:p>
    <w:p w:rsidR="00711943">
      <w:pPr>
        <w:ind w:firstLine="709"/>
        <w:rPr>
          <w:rStyle w:val="Fontdeparagrafimplicit"/>
        </w:rPr>
      </w:pPr>
    </w:p>
    <w:p w:rsidR="00711943">
      <w:pPr>
        <w:ind w:firstLine="709"/>
        <w:rPr>
          <w:rStyle w:val="Fontdeparagrafimplicit"/>
        </w:rPr>
      </w:pPr>
    </w:p>
    <w:p w:rsidR="00711943">
      <w:pPr>
        <w:ind w:firstLine="709"/>
        <w:rPr>
          <w:rStyle w:val="Fontdeparagrafimplicit"/>
        </w:rPr>
      </w:pPr>
    </w:p>
    <w:p w:rsidR="00711943">
      <w:pPr>
        <w:ind w:firstLine="709"/>
        <w:rPr>
          <w:rStyle w:val="Fontdeparagrafimplicit"/>
        </w:rPr>
      </w:pPr>
    </w:p>
    <w:p w:rsidR="00711943">
      <w:pPr>
        <w:ind w:firstLine="709"/>
        <w:jc w:val="both"/>
        <w:rPr>
          <w:rStyle w:val="Fontdeparagrafimplicit"/>
        </w:rPr>
      </w:pPr>
    </w:p>
    <w:p w:rsidR="00711943">
      <w:pPr>
        <w:ind w:firstLine="709"/>
        <w:jc w:val="both"/>
        <w:rPr>
          <w:rStyle w:val="Fontdeparagrafimplicit"/>
        </w:rPr>
      </w:pPr>
    </w:p>
    <w:p w:rsidR="00711943">
      <w:pPr>
        <w:ind w:firstLine="709"/>
        <w:jc w:val="both"/>
        <w:rPr>
          <w:rStyle w:val="Fontdeparagrafimplicit"/>
        </w:rPr>
      </w:pPr>
    </w:p>
    <w:p w:rsidR="00711943">
      <w:pPr>
        <w:ind w:firstLine="709"/>
        <w:jc w:val="both"/>
        <w:rPr>
          <w:rStyle w:val="Fontdeparagrafimplicit"/>
        </w:rPr>
      </w:pPr>
    </w:p>
    <w:p w:rsidR="00711943">
      <w:pPr>
        <w:ind w:firstLine="709"/>
        <w:jc w:val="both"/>
        <w:rPr>
          <w:rStyle w:val="Fontdeparagrafimplicit"/>
        </w:rPr>
      </w:pPr>
    </w:p>
    <w:p w:rsidR="00711943">
      <w:pPr>
        <w:ind w:firstLine="709"/>
        <w:jc w:val="both"/>
        <w:rPr>
          <w:rStyle w:val="Fontdeparagrafimplicit"/>
        </w:rPr>
      </w:pPr>
    </w:p>
    <w:p w:rsidR="00711943">
      <w:pPr>
        <w:ind w:firstLine="709"/>
        <w:jc w:val="both"/>
        <w:rPr>
          <w:rStyle w:val="Fontdeparagrafimplicit"/>
        </w:rPr>
      </w:pPr>
    </w:p>
    <w:p w:rsidR="00711943">
      <w:pPr>
        <w:ind w:firstLine="709"/>
        <w:jc w:val="both"/>
        <w:rPr>
          <w:rStyle w:val="Fontdeparagrafimplicit"/>
        </w:rPr>
      </w:pPr>
    </w:p>
    <w:p w:rsidR="00711943">
      <w:pPr>
        <w:ind w:firstLine="709"/>
        <w:jc w:val="both"/>
        <w:rPr>
          <w:rStyle w:val="Fontdeparagrafimplicit"/>
        </w:rPr>
      </w:pPr>
    </w:p>
    <w:sectPr w:rsidSect="00711943">
      <w:footerReference w:type="default" r:id="rId4"/>
      <w:pgSz w:w="11906" w:h="16838"/>
      <w:pgMar w:top="1134" w:right="1134"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943">
    <w:pPr>
      <w:pStyle w:val="Subsol"/>
      <w:jc w:val="center"/>
      <w:rPr>
        <w:rStyle w:val="Fontdeparagrafimplicit"/>
      </w:rPr>
    </w:pPr>
    <w:r>
      <w:t xml:space="preserve">Pagină </w:t>
    </w:r>
    <w:r w:rsidRPr="00DF4576" w:rsidR="00DF4576">
      <w:fldChar w:fldCharType="begin"/>
    </w:r>
    <w:r>
      <w:rPr>
        <w:rStyle w:val="Fontdeparagrafimplicit"/>
        <w:b/>
      </w:rPr>
      <w:instrText>PAGE</w:instrText>
    </w:r>
    <w:r w:rsidR="00DF4576">
      <w:rPr>
        <w:rStyle w:val="Fontdeparagrafimplicit"/>
      </w:rPr>
      <w:fldChar w:fldCharType="separate"/>
    </w:r>
    <w:r w:rsidR="00513751">
      <w:rPr>
        <w:rStyle w:val="Fontdeparagrafimplicit"/>
        <w:b/>
        <w:noProof/>
      </w:rPr>
      <w:t>9</w:t>
    </w:r>
    <w:r w:rsidR="00DF4576">
      <w:rPr>
        <w:rStyle w:val="Fontdeparagrafimplicit"/>
      </w:rPr>
      <w:fldChar w:fldCharType="end"/>
    </w:r>
    <w:r>
      <w:t xml:space="preserve"> din </w:t>
    </w:r>
    <w:r w:rsidRPr="00DF4576" w:rsidR="00DF4576">
      <w:fldChar w:fldCharType="begin"/>
    </w:r>
    <w:r>
      <w:rPr>
        <w:rStyle w:val="Fontdeparagrafimplicit"/>
        <w:b/>
      </w:rPr>
      <w:instrText>NUMPAGES</w:instrText>
    </w:r>
    <w:r w:rsidR="00DF4576">
      <w:rPr>
        <w:rStyle w:val="Fontdeparagrafimplicit"/>
      </w:rPr>
      <w:fldChar w:fldCharType="separate"/>
    </w:r>
    <w:r w:rsidR="00513751">
      <w:rPr>
        <w:rStyle w:val="Fontdeparagrafimplicit"/>
        <w:b/>
        <w:noProof/>
      </w:rPr>
      <w:t>9</w:t>
    </w:r>
    <w:r w:rsidR="00DF4576">
      <w:rPr>
        <w:rStyle w:val="Fontdeparagrafimplicit"/>
      </w:rPr>
      <w:fldChar w:fldCharType="end"/>
    </w:r>
  </w:p>
  <w:p w:rsidR="00711943">
    <w:pPr>
      <w:pStyle w:val="Subsol"/>
      <w:rPr>
        <w:rStyle w:val="Fontdeparagrafimplicit"/>
      </w:rP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8C2A49"/>
    <w:multiLevelType w:val="hybridMultilevel"/>
    <w:tmpl w:val="A840127E"/>
    <w:lvl w:ilvl="0">
      <w:start w:val="4"/>
      <w:numFmt w:val="bullet"/>
      <w:lvlText w:val="-"/>
      <w:lvlJc w:val="left"/>
      <w:pPr>
        <w:ind w:left="1068" w:hanging="360"/>
      </w:pPr>
      <w:rPr>
        <w:rFonts w:ascii="Times New Roman" w:hAnsi="Times New Roman"/>
      </w:rPr>
    </w:lvl>
    <w:lvl w:ilvl="1">
      <w:start w:val="1"/>
      <w:numFmt w:val="bullet"/>
      <w:lvlText w:val="o"/>
      <w:lvlJc w:val="left"/>
      <w:pPr>
        <w:ind w:left="1788" w:hanging="360"/>
      </w:pPr>
      <w:rPr>
        <w:rFonts w:ascii="Courier New" w:hAnsi="Courier New"/>
      </w:rPr>
    </w:lvl>
    <w:lvl w:ilvl="2">
      <w:start w:val="1"/>
      <w:numFmt w:val="bullet"/>
      <w:lvlText w:val=""/>
      <w:lvlJc w:val="left"/>
      <w:pPr>
        <w:ind w:left="2508" w:hanging="360"/>
      </w:pPr>
      <w:rPr>
        <w:rFonts w:ascii="Wingdings" w:hAnsi="Wingdings"/>
      </w:rPr>
    </w:lvl>
    <w:lvl w:ilvl="3">
      <w:start w:val="1"/>
      <w:numFmt w:val="bullet"/>
      <w:lvlText w:val=""/>
      <w:lvlJc w:val="left"/>
      <w:pPr>
        <w:ind w:left="3228" w:hanging="360"/>
      </w:pPr>
      <w:rPr>
        <w:rFonts w:ascii="Symbol" w:hAnsi="Symbol"/>
      </w:rPr>
    </w:lvl>
    <w:lvl w:ilvl="4">
      <w:start w:val="1"/>
      <w:numFmt w:val="bullet"/>
      <w:lvlText w:val="o"/>
      <w:lvlJc w:val="left"/>
      <w:pPr>
        <w:ind w:left="3948" w:hanging="360"/>
      </w:pPr>
      <w:rPr>
        <w:rFonts w:ascii="Courier New" w:hAnsi="Courier New"/>
      </w:rPr>
    </w:lvl>
    <w:lvl w:ilvl="5">
      <w:start w:val="1"/>
      <w:numFmt w:val="bullet"/>
      <w:lvlText w:val=""/>
      <w:lvlJc w:val="left"/>
      <w:pPr>
        <w:ind w:left="4668" w:hanging="360"/>
      </w:pPr>
      <w:rPr>
        <w:rFonts w:ascii="Wingdings" w:hAnsi="Wingdings"/>
      </w:rPr>
    </w:lvl>
    <w:lvl w:ilvl="6">
      <w:start w:val="1"/>
      <w:numFmt w:val="bullet"/>
      <w:lvlText w:val=""/>
      <w:lvlJc w:val="left"/>
      <w:pPr>
        <w:ind w:left="5388" w:hanging="360"/>
      </w:pPr>
      <w:rPr>
        <w:rFonts w:ascii="Symbol" w:hAnsi="Symbol"/>
      </w:rPr>
    </w:lvl>
    <w:lvl w:ilvl="7">
      <w:start w:val="1"/>
      <w:numFmt w:val="bullet"/>
      <w:lvlText w:val="o"/>
      <w:lvlJc w:val="left"/>
      <w:pPr>
        <w:ind w:left="6108" w:hanging="360"/>
      </w:pPr>
      <w:rPr>
        <w:rFonts w:ascii="Courier New" w:hAnsi="Courier New"/>
      </w:rPr>
    </w:lvl>
    <w:lvl w:ilvl="8">
      <w:start w:val="1"/>
      <w:numFmt w:val="bullet"/>
      <w:lvlText w:val=""/>
      <w:lvlJc w:val="left"/>
      <w:pPr>
        <w:ind w:left="6828" w:hanging="360"/>
      </w:pPr>
      <w:rPr>
        <w:rFonts w:ascii="Wingdings" w:hAnsi="Wingdings"/>
      </w:rPr>
    </w:lvl>
  </w:abstractNum>
  <w:abstractNum w:abstractNumId="1">
    <w:nsid w:val="1B7E64E5"/>
    <w:multiLevelType w:val="multilevel"/>
    <w:tmpl w:val="F6E2E8FE"/>
    <w:lvl w:ilvl="0">
      <w:start w:val="4"/>
      <w:numFmt w:val="decimal"/>
      <w:lvlText w:val="%1"/>
      <w:lvlJc w:val="left"/>
      <w:pPr>
        <w:ind w:left="600" w:hanging="600"/>
      </w:pPr>
    </w:lvl>
    <w:lvl w:ilvl="1">
      <w:start w:val="1"/>
      <w:numFmt w:val="decimal"/>
      <w:lvlText w:val="%1.%2"/>
      <w:lvlJc w:val="left"/>
      <w:pPr>
        <w:ind w:left="954" w:hanging="600"/>
      </w:pPr>
    </w:lvl>
    <w:lvl w:ilvl="2">
      <w:start w:val="10"/>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2">
    <w:nsid w:val="35941CE3"/>
    <w:multiLevelType w:val="multilevel"/>
    <w:tmpl w:val="09545B80"/>
    <w:lvl w:ilvl="0">
      <w:start w:val="1"/>
      <w:numFmt w:val="decimal"/>
      <w:lvlText w:val="%1."/>
      <w:lvlJc w:val="left"/>
      <w:pPr>
        <w:ind w:left="1068" w:hanging="360"/>
      </w:pPr>
    </w:lvl>
    <w:lvl w:ilvl="1">
      <w:start w:val="1"/>
      <w:numFmt w:val="decimal"/>
      <w:isLgl/>
      <w:lvlText w:val="%1.%2."/>
      <w:lvlJc w:val="left"/>
      <w:pPr>
        <w:ind w:left="1068" w:hanging="360"/>
      </w:pPr>
      <w:rPr>
        <w:b/>
      </w:rPr>
    </w:lvl>
    <w:lvl w:ilvl="2">
      <w:start w:val="1"/>
      <w:numFmt w:val="decimal"/>
      <w:isLgl/>
      <w:lvlText w:val="%1.%2.%3."/>
      <w:lvlJc w:val="left"/>
      <w:pPr>
        <w:ind w:left="1428" w:hanging="720"/>
      </w:pPr>
      <w:rPr>
        <w:b/>
      </w:r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2148" w:hanging="1440"/>
      </w:pPr>
    </w:lvl>
    <w:lvl w:ilvl="7">
      <w:start w:val="1"/>
      <w:numFmt w:val="decimal"/>
      <w:isLgl/>
      <w:lvlText w:val="%1.%2.%3.%4.%5.%6.%7.%8."/>
      <w:lvlJc w:val="left"/>
      <w:pPr>
        <w:ind w:left="2148" w:hanging="1440"/>
      </w:pPr>
    </w:lvl>
    <w:lvl w:ilvl="8">
      <w:start w:val="1"/>
      <w:numFmt w:val="decimal"/>
      <w:isLgl/>
      <w:lvlText w:val="%1.%2.%3.%4.%5.%6.%7.%8.%9."/>
      <w:lvlJc w:val="left"/>
      <w:pPr>
        <w:ind w:left="2508" w:hanging="1800"/>
      </w:pPr>
    </w:lvl>
  </w:abstractNum>
  <w:abstractNum w:abstractNumId="3">
    <w:nsid w:val="5AFC302F"/>
    <w:multiLevelType w:val="multilevel"/>
    <w:tmpl w:val="D27A279C"/>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hyphenationZone w:val="425"/>
  <w:characterSpacingControl w:val="doNotCompress"/>
  <w:compat/>
  <w:rsids>
    <w:rsidRoot w:val="00711943"/>
    <w:rsid w:val="003A0916"/>
    <w:rsid w:val="004225AF"/>
    <w:rsid w:val="00513751"/>
    <w:rsid w:val="00711943"/>
    <w:rsid w:val="007C5FB2"/>
    <w:rsid w:val="007D6913"/>
    <w:rsid w:val="00B15223"/>
    <w:rsid w:val="00C77E4E"/>
    <w:rsid w:val="00D70E94"/>
    <w:rsid w:val="00DF4576"/>
  </w:rsids>
  <w:docVars>
    <w:docVar w:name="url" w:val="https://cabuc.just.ro/ecris_cdms/document_upload.aspx?id_document=200000004394406&amp;id_departament=58&amp;id_sesiune=5758301&amp;id_user=928&amp;id_institutie=2&amp;actiune=modifica"/>
  </w:docVars>
  <m:mathPr>
    <m:mathFont m:val="Cambria Math"/>
  </m:mathPr>
  <w:themeFontLang w:val="ro-RO"/>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943"/>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rsid w:val="00711943"/>
    <w:pPr>
      <w:keepNext/>
      <w:jc w:val="center"/>
      <w:outlineLvl w:val="0"/>
    </w:pPr>
    <w:rPr>
      <w:b/>
      <w:sz w:val="28"/>
      <w:lang w:val="en-US"/>
    </w:rPr>
  </w:style>
  <w:style w:type="paragraph" w:styleId="NormalWeb">
    <w:name w:val="Normal (Web)"/>
    <w:basedOn w:val="Normal"/>
    <w:rsid w:val="00711943"/>
    <w:pPr>
      <w:spacing w:before="100" w:beforeAutospacing="1" w:after="100" w:afterAutospacing="1"/>
    </w:pPr>
  </w:style>
  <w:style w:type="paragraph" w:customStyle="1" w:styleId="Listparagraf">
    <w:name w:val="Listă paragraf"/>
    <w:basedOn w:val="Normal"/>
    <w:qFormat/>
    <w:rsid w:val="00711943"/>
    <w:pPr>
      <w:ind w:left="708"/>
    </w:pPr>
  </w:style>
  <w:style w:type="paragraph" w:customStyle="1" w:styleId="TextnBalon">
    <w:name w:val="Text în Balon"/>
    <w:basedOn w:val="Normal"/>
    <w:link w:val="TextnBalonCaracter"/>
    <w:rsid w:val="00711943"/>
    <w:rPr>
      <w:rFonts w:ascii="Tahoma" w:hAnsi="Tahoma"/>
      <w:sz w:val="16"/>
    </w:rPr>
  </w:style>
  <w:style w:type="paragraph" w:customStyle="1" w:styleId="Antet">
    <w:name w:val="Antet"/>
    <w:basedOn w:val="Normal"/>
    <w:link w:val="AntetCaracter"/>
    <w:rsid w:val="00711943"/>
    <w:pPr>
      <w:tabs>
        <w:tab w:val="center" w:pos="4536"/>
        <w:tab w:val="right" w:pos="9072"/>
      </w:tabs>
    </w:pPr>
  </w:style>
  <w:style w:type="paragraph" w:customStyle="1" w:styleId="Subsol">
    <w:name w:val="Subsol"/>
    <w:basedOn w:val="Normal"/>
    <w:link w:val="SubsolCaracter"/>
    <w:rsid w:val="00711943"/>
    <w:pPr>
      <w:tabs>
        <w:tab w:val="center" w:pos="4536"/>
        <w:tab w:val="right" w:pos="9072"/>
      </w:tabs>
    </w:pPr>
  </w:style>
  <w:style w:type="character" w:styleId="LineNumber">
    <w:name w:val="line number"/>
    <w:basedOn w:val="DefaultParagraphFont"/>
    <w:semiHidden/>
    <w:rsid w:val="00711943"/>
  </w:style>
  <w:style w:type="character" w:styleId="Hyperlink">
    <w:name w:val="Hyperlink"/>
    <w:rsid w:val="00711943"/>
    <w:rPr>
      <w:color w:val="0000FF"/>
      <w:u w:val="single"/>
    </w:rPr>
  </w:style>
  <w:style w:type="character" w:customStyle="1" w:styleId="Fontdeparagrafimplicit">
    <w:name w:val="Font de paragraf implicit"/>
    <w:rsid w:val="00711943"/>
  </w:style>
  <w:style w:type="character" w:customStyle="1" w:styleId="TextnBalonCaracter">
    <w:name w:val="Text în Balon Caracter"/>
    <w:link w:val="TextnBalon"/>
    <w:rsid w:val="00711943"/>
    <w:rPr>
      <w:rFonts w:ascii="Tahoma" w:hAnsi="Tahoma"/>
      <w:sz w:val="16"/>
    </w:rPr>
  </w:style>
  <w:style w:type="character" w:customStyle="1" w:styleId="AntetCaracter">
    <w:name w:val="Antet Caracter"/>
    <w:link w:val="Antet"/>
    <w:rsid w:val="00711943"/>
  </w:style>
  <w:style w:type="character" w:customStyle="1" w:styleId="SubsolCaracter">
    <w:name w:val="Subsol Caracter"/>
    <w:link w:val="Subsol"/>
    <w:rsid w:val="00711943"/>
  </w:style>
  <w:style w:type="table" w:styleId="TableSimple1">
    <w:name w:val="Table Simple 1"/>
    <w:basedOn w:val="TableNormal"/>
    <w:rsid w:val="0071194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Normal">
    <w:name w:val="Tabel Normal"/>
    <w:rsid w:val="00711943"/>
    <w:tblPr>
      <w:tblInd w:w="0" w:type="dxa"/>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43</ap:TotalTime>
  <ap:Pages>9</ap:Pages>
  <ap:Words>4431</ap:Words>
  <ap:Characters>25701</ap:Characters>
  <ap:Application>Microsoft Office Word</ap:Application>
  <ap:DocSecurity>0</ap:DocSecurity>
  <ap:Lines>214</ap:Lines>
  <ap:Paragraphs>60</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30072</ap:CharactersWithSpaces>
  <ap:HyperlinksChanged>false</ap:HyperlinksChanged>
  <ap:AppVersion>12.0000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2024-09-02T09:39:00.0000000Z</lastPrinted>
  <dc:subject/>
  <dc:description/>
  <keywords/>
  <category/>
  <contentStatus/>
  <dc:identifier/>
  <dc:language/>
  <version/>
</coreProperties>
</file>